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2"/>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default"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WKZB-2025-01</w:t>
      </w:r>
      <w:r>
        <w:rPr>
          <w:rFonts w:hint="eastAsia" w:ascii="宋体" w:hAnsi="宋体"/>
          <w:b/>
          <w:sz w:val="30"/>
          <w:szCs w:val="30"/>
          <w:highlight w:val="none"/>
          <w:lang w:val="en-US" w:eastAsia="zh-CN"/>
        </w:rPr>
        <w:t>3</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快递物流陆上运输</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五</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快递物流陆上运输</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WKZB-2025-013</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快递物流陆上运输</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快递物流陆上运输。</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快递物流陆上运输</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15843"/>
      <w:bookmarkStart w:id="17" w:name="_Toc23826"/>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快递物流陆上运输</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23490"/>
      <w:bookmarkStart w:id="25" w:name="_Toc6081"/>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7374"/>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3-5名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商入围快递物流陆上运输项目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233102490"/>
      <w:bookmarkStart w:id="37" w:name="_Toc152042303"/>
      <w:bookmarkStart w:id="38" w:name="_Toc390940505"/>
      <w:bookmarkStart w:id="39" w:name="_Toc179632544"/>
      <w:bookmarkStart w:id="40" w:name="_Toc144974495"/>
      <w:bookmarkStart w:id="41" w:name="_Toc25653"/>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2304"/>
      <w:bookmarkStart w:id="44" w:name="_Toc233102491"/>
      <w:bookmarkStart w:id="45" w:name="_Toc20399"/>
      <w:bookmarkStart w:id="46" w:name="_Toc390940506"/>
      <w:bookmarkStart w:id="47" w:name="_Toc109736027"/>
      <w:bookmarkStart w:id="48" w:name="_Toc152045528"/>
      <w:bookmarkStart w:id="49" w:name="_Toc18804"/>
      <w:bookmarkStart w:id="50" w:name="_Toc179632545"/>
      <w:bookmarkStart w:id="51" w:name="_Toc14497449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3-5</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none"/>
                <w:lang w:val="en-US" w:bidi="zh-CN"/>
              </w:rPr>
              <w:t>1年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152045529"/>
      <w:bookmarkStart w:id="56" w:name="_Toc179632546"/>
      <w:bookmarkStart w:id="57" w:name="_Toc144974497"/>
      <w:bookmarkStart w:id="58" w:name="_Toc152042305"/>
      <w:bookmarkStart w:id="59" w:name="_Toc233102492"/>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520356144"/>
      <w:bookmarkStart w:id="63" w:name="_Toc17941"/>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109736030"/>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205"/>
      <w:bookmarkStart w:id="70" w:name="_Toc520356145"/>
      <w:bookmarkStart w:id="71" w:name="_Toc30223"/>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10973603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75" w:name="_Toc109736033"/>
      <w:bookmarkStart w:id="76" w:name="_Toc216582806"/>
      <w:bookmarkStart w:id="77" w:name="_Toc1810"/>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Toc520356156"/>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3629"/>
      <w:bookmarkStart w:id="118" w:name="_Toc520356159"/>
      <w:bookmarkStart w:id="119" w:name="_Toc216582808"/>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3"/>
        <w:spacing w:before="0" w:line="360" w:lineRule="auto"/>
        <w:jc w:val="center"/>
        <w:rPr>
          <w:rFonts w:hint="eastAsia" w:ascii="宋体" w:hAnsi="宋体" w:eastAsia="宋体"/>
          <w:sz w:val="24"/>
          <w:szCs w:val="24"/>
          <w:highlight w:val="none"/>
        </w:rPr>
      </w:pPr>
      <w:bookmarkStart w:id="127" w:name="_Toc23762"/>
      <w:bookmarkStart w:id="128" w:name="_Toc216582809"/>
      <w:bookmarkStart w:id="129" w:name="_Toc520356163"/>
      <w:bookmarkStart w:id="130" w:name="_Toc10973604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142" w:name="_Toc109736055"/>
      <w:bookmarkStart w:id="143" w:name="_Toc6900"/>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Toc520356170"/>
      <w:bookmarkStart w:id="147" w:name="_Ref46730701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978"/>
      <w:bookmarkStart w:id="156" w:name="_Toc520356175"/>
      <w:bookmarkStart w:id="157" w:name="_Ref467307204"/>
      <w:bookmarkStart w:id="158" w:name="_Toc109736060"/>
      <w:bookmarkStart w:id="159" w:name="_Ref467307062"/>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3"/>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01"/>
      <w:bookmarkStart w:id="172" w:name="_Toc487900349"/>
      <w:bookmarkStart w:id="173" w:name="_Ref467379109"/>
      <w:bookmarkStart w:id="174" w:name="_Ref467379205"/>
      <w:bookmarkStart w:id="175" w:name="_Ref467379094"/>
      <w:bookmarkStart w:id="176" w:name="_Ref467378404"/>
      <w:bookmarkStart w:id="177" w:name="_Ref467379195"/>
      <w:bookmarkStart w:id="178" w:name="_Toc415222497"/>
      <w:bookmarkStart w:id="179" w:name="_Ref467378499"/>
      <w:bookmarkStart w:id="180" w:name="_Ref467379214"/>
      <w:bookmarkStart w:id="181" w:name="_Ref467378463"/>
      <w:bookmarkStart w:id="182" w:name="_Ref467379225"/>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487900350"/>
      <w:bookmarkStart w:id="190" w:name="_Toc415222498"/>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10492"/>
      <w:bookmarkStart w:id="193" w:name="_Toc487900351"/>
      <w:bookmarkStart w:id="194" w:name="_Toc2425"/>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693"/>
      <w:bookmarkStart w:id="198" w:name="_Toc487900352"/>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323"/>
      <w:bookmarkStart w:id="201" w:name="_Toc487900353"/>
      <w:bookmarkStart w:id="202" w:name="_Toc17967"/>
      <w:bookmarkStart w:id="203" w:name="_Toc415222501"/>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487900354"/>
      <w:bookmarkStart w:id="205" w:name="_Toc415222502"/>
      <w:bookmarkStart w:id="206" w:name="_Ref467379536"/>
      <w:bookmarkStart w:id="207" w:name="_Ref467379542"/>
      <w:bookmarkStart w:id="208" w:name="_Ref467378541"/>
      <w:bookmarkStart w:id="209" w:name="_Toc11864"/>
      <w:bookmarkStart w:id="210" w:name="_Toc18715"/>
      <w:bookmarkStart w:id="211" w:name="_Ref467378591"/>
      <w:bookmarkStart w:id="212" w:name="_Ref467379527"/>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6625"/>
      <w:bookmarkStart w:id="216" w:name="_Toc415222503"/>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15361"/>
      <w:bookmarkStart w:id="219" w:name="_Toc26337"/>
      <w:bookmarkStart w:id="220" w:name="_Toc415222504"/>
      <w:bookmarkStart w:id="221" w:name="_Ref467379807"/>
      <w:bookmarkStart w:id="222" w:name="_Ref467379793"/>
      <w:bookmarkStart w:id="223" w:name="_Toc48790035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Ref467379923"/>
      <w:bookmarkStart w:id="226" w:name="_Toc415222505"/>
      <w:bookmarkStart w:id="227" w:name="_Toc487900358"/>
      <w:bookmarkStart w:id="228" w:name="_Ref467379852"/>
      <w:bookmarkStart w:id="229" w:name="_Toc6588"/>
      <w:bookmarkStart w:id="230" w:name="_Toc1380"/>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15447"/>
      <w:bookmarkStart w:id="232" w:name="_Toc415222506"/>
      <w:bookmarkStart w:id="233" w:name="_Ref467377962"/>
      <w:bookmarkStart w:id="234" w:name="_Ref467379946"/>
      <w:bookmarkStart w:id="235" w:name="_Ref467377798"/>
      <w:bookmarkStart w:id="236" w:name="_Ref467379937"/>
      <w:bookmarkStart w:id="237" w:name="_Toc487900359"/>
      <w:bookmarkStart w:id="238" w:name="_Toc28649"/>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7155"/>
      <w:bookmarkStart w:id="242" w:name="_Toc11317"/>
      <w:bookmarkStart w:id="243" w:name="_Toc41522250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87900361"/>
      <w:bookmarkStart w:id="245" w:name="_Toc415222508"/>
      <w:bookmarkStart w:id="246" w:name="_Toc21509"/>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31482"/>
      <w:bookmarkStart w:id="251" w:name="_Toc415222509"/>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415222510"/>
      <w:bookmarkStart w:id="255" w:name="_Toc19929"/>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15222511"/>
      <w:bookmarkStart w:id="258" w:name="_Toc487900364"/>
      <w:bookmarkStart w:id="259" w:name="_Toc6322"/>
      <w:bookmarkStart w:id="260" w:name="_Toc22040"/>
      <w:bookmarkStart w:id="261" w:name="_Ref46737812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1755"/>
      <w:bookmarkStart w:id="264" w:name="_Toc29320"/>
      <w:bookmarkStart w:id="265" w:name="_Toc48790036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9543"/>
      <w:bookmarkStart w:id="272" w:name="_Toc16231"/>
      <w:bookmarkStart w:id="273" w:name="_Toc415222514"/>
      <w:bookmarkStart w:id="274" w:name="_Toc487900367"/>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23904"/>
      <w:bookmarkStart w:id="278" w:name="_Toc415222515"/>
      <w:bookmarkStart w:id="279" w:name="_Toc487900368"/>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10385"/>
      <w:bookmarkStart w:id="282" w:name="_Toc29725"/>
      <w:bookmarkStart w:id="283" w:name="_Toc415222516"/>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15222517"/>
      <w:bookmarkStart w:id="285" w:name="_Toc2142"/>
      <w:bookmarkStart w:id="286" w:name="_Toc13194"/>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87900371"/>
      <w:bookmarkStart w:id="290" w:name="_Toc737"/>
      <w:bookmarkStart w:id="291" w:name="_Toc415222518"/>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30523"/>
      <w:bookmarkStart w:id="294" w:name="_Toc27508"/>
      <w:bookmarkStart w:id="295" w:name="_Toc415222519"/>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28567"/>
      <w:bookmarkStart w:id="298" w:name="_Toc487900373"/>
      <w:bookmarkStart w:id="299" w:name="_Toc2374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9175623"/>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3"/>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8935352"/>
      <w:bookmarkStart w:id="314" w:name="_Toc220229326"/>
      <w:bookmarkStart w:id="315" w:name="_Toc219175636"/>
      <w:bookmarkStart w:id="316" w:name="_Toc15903"/>
      <w:bookmarkStart w:id="317" w:name="_Toc27454"/>
      <w:bookmarkStart w:id="318" w:name="_Toc220229431"/>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3"/>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w:t>
      </w:r>
      <w:r>
        <w:rPr>
          <w:rFonts w:hint="eastAsia" w:ascii="宋体" w:hAnsi="宋体"/>
          <w:szCs w:val="21"/>
          <w:highlight w:val="none"/>
          <w:lang w:val="en-US" w:eastAsia="zh-CN"/>
        </w:rPr>
        <w:t>根据运输要求，快递物流陆上运输承运人负责货物装上车辆，卸货至收货人指定地点，即门到门运输。</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每单货运指令完成后，承运人将收货人签收联等文件提交委托人，委托人验收确认后，承运人开具运费发票，款期3个月。</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如因运输质量造成时效、产品外观等损失，委托方向承运人索赔。</w:t>
      </w:r>
    </w:p>
    <w:p>
      <w:pPr>
        <w:spacing w:before="120" w:line="360" w:lineRule="exact"/>
        <w:rPr>
          <w:rFonts w:ascii="宋体" w:hAnsi="宋体"/>
          <w:szCs w:val="21"/>
          <w:highlight w:val="none"/>
        </w:rPr>
      </w:pPr>
      <w:r>
        <w:rPr>
          <w:rFonts w:hint="eastAsia" w:ascii="宋体" w:hAnsi="宋体"/>
          <w:szCs w:val="21"/>
          <w:highlight w:val="none"/>
        </w:rPr>
        <w:t>12.3索赔通知期限：</w:t>
      </w:r>
      <w:r>
        <w:rPr>
          <w:rFonts w:hint="eastAsia" w:ascii="宋体" w:hAnsi="宋体"/>
          <w:szCs w:val="21"/>
          <w:highlight w:val="none"/>
          <w:lang w:val="en-US" w:eastAsia="zh-CN"/>
        </w:rPr>
        <w:t>6</w:t>
      </w:r>
      <w:r>
        <w:rPr>
          <w:rFonts w:hint="eastAsia" w:ascii="宋体" w:hAnsi="宋体"/>
          <w:szCs w:val="21"/>
          <w:highlight w:val="none"/>
        </w:rPr>
        <w:t>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2"/>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2"/>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216582813"/>
      <w:bookmarkStart w:id="340" w:name="_Toc5329"/>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109736070"/>
      <w:bookmarkStart w:id="346" w:name="_Ref467988705"/>
      <w:bookmarkStart w:id="347" w:name="_Toc415222525"/>
      <w:bookmarkStart w:id="348" w:name="_Toc29788"/>
      <w:bookmarkStart w:id="349" w:name="_Toc216582814"/>
      <w:bookmarkStart w:id="350" w:name="_Toc520356218"/>
      <w:bookmarkStart w:id="351" w:name="_Toc48094235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快递物流陆上运输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w:t>
      </w:r>
      <w:r>
        <w:rPr>
          <w:rFonts w:hint="eastAsia" w:hAnsi="宋体"/>
          <w:szCs w:val="21"/>
          <w:highlight w:val="none"/>
          <w:u w:val="single"/>
          <w:lang w:val="en-US" w:eastAsia="zh-CN"/>
        </w:rPr>
        <w:t>3</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887"/>
        <w:gridCol w:w="1374"/>
        <w:gridCol w:w="1283"/>
        <w:gridCol w:w="1349"/>
        <w:gridCol w:w="1283"/>
        <w:gridCol w:w="1492"/>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7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省份</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城市</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1件</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13KG（元）</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1件</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时效（天）</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8件</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104KG（元)</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8件</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时效（天）</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39件</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507KG（元）</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5"/>
                <w:szCs w:val="15"/>
                <w:u w:val="none"/>
                <w:lang w:val="en-US" w:eastAsia="zh-CN" w:bidi="ar"/>
              </w:rPr>
            </w:pPr>
            <w:r>
              <w:rPr>
                <w:rFonts w:hint="eastAsia" w:ascii="微软雅黑" w:hAnsi="微软雅黑" w:eastAsia="微软雅黑" w:cs="微软雅黑"/>
                <w:b/>
                <w:bCs/>
                <w:i w:val="0"/>
                <w:iCs w:val="0"/>
                <w:color w:val="000000"/>
                <w:kern w:val="0"/>
                <w:sz w:val="15"/>
                <w:szCs w:val="15"/>
                <w:u w:val="none"/>
                <w:lang w:val="en-US" w:eastAsia="zh-CN" w:bidi="ar"/>
              </w:rPr>
              <w:t>39件</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时效（天）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北京市</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北京市</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天津市</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天津市</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河北省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石家庄</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沧州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山西省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大同</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运城</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内蒙古</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呼和浩特</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巴彦淖尔</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辽宁省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沈阳</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鞍山</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吉林省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长春</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延边</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黑龙江</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哈尔滨</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佳木斯</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上海市</w:t>
            </w:r>
          </w:p>
        </w:tc>
        <w:tc>
          <w:tcPr>
            <w:tcW w:w="458"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上海市</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江苏省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南京</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徐州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浙江省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杭州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衢州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安徽省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合肥</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六安</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福建省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福州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南平</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江西省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南昌</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赣州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山东省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济南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潍坊</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河南省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郑州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周口</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湖北省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武汉</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宜昌</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湖南省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长沙</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郴州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广东省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广州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云浮</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广西区</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南宁</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玉林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海南省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海口</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琼海</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重庆市</w:t>
            </w:r>
          </w:p>
        </w:tc>
        <w:tc>
          <w:tcPr>
            <w:tcW w:w="458"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重庆市</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四川省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成都</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广安</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贵州省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贵阳</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黔东南</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云南省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昆明</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曲靖</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陕西省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西安</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汉中</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甘肃省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兰州</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武威</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宁夏区</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银川</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吴忠</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新疆区</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乌鲁木齐</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阿克苏</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西藏区</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拉萨</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日喀则</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青海省</w:t>
            </w: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西宁</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微软雅黑" w:hAnsi="微软雅黑" w:eastAsia="微软雅黑" w:cs="微软雅黑"/>
                <w:b/>
                <w:bCs/>
                <w:i w:val="0"/>
                <w:iCs w:val="0"/>
                <w:color w:val="000000"/>
                <w:sz w:val="15"/>
                <w:szCs w:val="15"/>
                <w:u w:val="none"/>
              </w:rPr>
            </w:pPr>
          </w:p>
        </w:tc>
        <w:tc>
          <w:tcPr>
            <w:tcW w:w="45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格尔木</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1"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458"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10"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97"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771"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c>
          <w:tcPr>
            <w:tcW w:w="663" w:type="pct"/>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8"/>
            <w:vMerge w:val="restar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注：1.各省份皆以省会或常发地址为例。                                                                                                                                                       2.取1箱，8箱，39箱为计算标准，每箱13KG。                                                                                                                                               3.时效发出当天即算1天为计算标准。                                                                                                                                                            4.以上价格均不含保价费用。                                                                                                                                                                         5.以上价格均为官方价格无折扣。                                                                                                                                                                    6.均为陆运，门道门价格。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vMerge w:val="continue"/>
            <w:tcBorders>
              <w:top w:val="nil"/>
              <w:left w:val="nil"/>
              <w:bottom w:val="nil"/>
              <w:right w:val="nil"/>
            </w:tcBorders>
            <w:shd w:val="clear" w:color="auto" w:fill="auto"/>
            <w:vAlign w:val="top"/>
          </w:tcPr>
          <w:p>
            <w:pPr>
              <w:jc w:val="left"/>
              <w:rPr>
                <w:rFonts w:hint="eastAsia" w:ascii="微软雅黑" w:hAnsi="微软雅黑" w:eastAsia="微软雅黑" w:cs="微软雅黑"/>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vMerge w:val="continue"/>
            <w:tcBorders>
              <w:top w:val="nil"/>
              <w:left w:val="nil"/>
              <w:bottom w:val="nil"/>
              <w:right w:val="nil"/>
            </w:tcBorders>
            <w:shd w:val="clear" w:color="auto" w:fill="auto"/>
            <w:vAlign w:val="top"/>
          </w:tcPr>
          <w:p>
            <w:pPr>
              <w:jc w:val="left"/>
              <w:rPr>
                <w:rFonts w:hint="eastAsia" w:ascii="微软雅黑" w:hAnsi="微软雅黑" w:eastAsia="微软雅黑" w:cs="微软雅黑"/>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vMerge w:val="continue"/>
            <w:tcBorders>
              <w:top w:val="nil"/>
              <w:left w:val="nil"/>
              <w:bottom w:val="nil"/>
              <w:right w:val="nil"/>
            </w:tcBorders>
            <w:shd w:val="clear" w:color="auto" w:fill="auto"/>
            <w:vAlign w:val="top"/>
          </w:tcPr>
          <w:p>
            <w:pPr>
              <w:jc w:val="left"/>
              <w:rPr>
                <w:rFonts w:hint="eastAsia" w:ascii="微软雅黑" w:hAnsi="微软雅黑" w:eastAsia="微软雅黑" w:cs="微软雅黑"/>
                <w:b/>
                <w:bCs/>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8"/>
            <w:vMerge w:val="continue"/>
            <w:tcBorders>
              <w:top w:val="nil"/>
              <w:left w:val="nil"/>
              <w:bottom w:val="nil"/>
              <w:right w:val="nil"/>
            </w:tcBorders>
            <w:shd w:val="clear" w:color="auto" w:fill="auto"/>
            <w:vAlign w:val="top"/>
          </w:tcPr>
          <w:p>
            <w:pPr>
              <w:jc w:val="left"/>
              <w:rPr>
                <w:rFonts w:hint="eastAsia" w:ascii="微软雅黑" w:hAnsi="微软雅黑" w:eastAsia="微软雅黑" w:cs="微软雅黑"/>
                <w:b/>
                <w:bCs/>
                <w:i w:val="0"/>
                <w:iCs w:val="0"/>
                <w:color w:val="000000"/>
                <w:sz w:val="15"/>
                <w:szCs w:val="15"/>
                <w:u w:val="none"/>
              </w:rPr>
            </w:pPr>
          </w:p>
        </w:tc>
      </w:tr>
    </w:tbl>
    <w:p>
      <w:pPr>
        <w:tabs>
          <w:tab w:val="left" w:pos="1800"/>
          <w:tab w:val="left" w:pos="5580"/>
        </w:tabs>
        <w:spacing w:line="360" w:lineRule="auto"/>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3"/>
        <w:tabs>
          <w:tab w:val="left" w:pos="5580"/>
        </w:tabs>
        <w:spacing w:before="0" w:line="360" w:lineRule="auto"/>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rPr>
        <w:t>附件2　开标</w:t>
      </w:r>
      <w:r>
        <w:rPr>
          <w:rFonts w:hint="eastAsia" w:ascii="宋体" w:hAnsi="宋体" w:eastAsia="宋体"/>
          <w:sz w:val="21"/>
          <w:szCs w:val="21"/>
          <w:highlight w:val="none"/>
          <w:lang w:val="en-US" w:eastAsia="zh-CN"/>
        </w:rPr>
        <w:t>明细表</w:t>
      </w:r>
    </w:p>
    <w:p>
      <w:pPr>
        <w:pStyle w:val="25"/>
        <w:tabs>
          <w:tab w:val="left" w:pos="5580"/>
        </w:tabs>
        <w:spacing w:line="360" w:lineRule="auto"/>
        <w:ind w:left="1080" w:leftChars="257" w:hanging="540"/>
        <w:rPr>
          <w:rFonts w:hint="default" w:hAnsi="宋体"/>
          <w:color w:val="FF0000"/>
          <w:szCs w:val="21"/>
          <w:highlight w:val="none"/>
          <w:lang w:val="en-US" w:eastAsia="zh-CN"/>
        </w:rPr>
      </w:pPr>
      <w:r>
        <w:rPr>
          <w:rFonts w:hint="eastAsia" w:hAnsi="宋体"/>
          <w:szCs w:val="21"/>
          <w:highlight w:val="none"/>
          <w:lang w:val="en-US" w:eastAsia="zh-CN"/>
        </w:rPr>
        <w:t>全国主要城市快递物流陆上运输完整报价表</w:t>
      </w:r>
      <w:r>
        <w:rPr>
          <w:rFonts w:hint="eastAsia" w:hAnsi="宋体"/>
          <w:color w:val="FF0000"/>
          <w:szCs w:val="21"/>
          <w:highlight w:val="none"/>
          <w:lang w:val="en-US" w:eastAsia="zh-CN"/>
        </w:rPr>
        <w:t>(可使用自主的报价格式，包含以下表格中信息即可）</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943"/>
        <w:gridCol w:w="1568"/>
        <w:gridCol w:w="1568"/>
        <w:gridCol w:w="1853"/>
        <w:gridCol w:w="1398"/>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87"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目的省</w:t>
            </w:r>
          </w:p>
        </w:tc>
        <w:tc>
          <w:tcPr>
            <w:tcW w:w="487"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目的市</w:t>
            </w:r>
          </w:p>
        </w:tc>
        <w:tc>
          <w:tcPr>
            <w:tcW w:w="810"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1件</w:t>
            </w:r>
          </w:p>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13KG（元）</w:t>
            </w:r>
          </w:p>
        </w:tc>
        <w:tc>
          <w:tcPr>
            <w:tcW w:w="810"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8件</w:t>
            </w:r>
          </w:p>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104KG（元)</w:t>
            </w:r>
          </w:p>
        </w:tc>
        <w:tc>
          <w:tcPr>
            <w:tcW w:w="957"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39件</w:t>
            </w:r>
          </w:p>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507KG（元）</w:t>
            </w:r>
          </w:p>
        </w:tc>
        <w:tc>
          <w:tcPr>
            <w:tcW w:w="722" w:type="pct"/>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时效（天）</w:t>
            </w:r>
          </w:p>
        </w:tc>
        <w:tc>
          <w:tcPr>
            <w:tcW w:w="723"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7" w:type="pct"/>
            <w:tcBorders>
              <w:left w:val="single" w:color="auto" w:sz="4" w:space="0"/>
              <w:right w:val="single" w:color="auto" w:sz="4" w:space="0"/>
            </w:tcBorders>
            <w:vAlign w:val="center"/>
          </w:tcPr>
          <w:p>
            <w:pPr>
              <w:jc w:val="center"/>
              <w:rPr>
                <w:rFonts w:hint="eastAsia" w:ascii="仿宋" w:hAnsi="仿宋" w:eastAsia="仿宋" w:cs="仿宋"/>
                <w:sz w:val="24"/>
                <w:highlight w:val="none"/>
                <w:lang w:val="en-US" w:eastAsia="zh-CN"/>
              </w:rPr>
            </w:pPr>
          </w:p>
        </w:tc>
        <w:tc>
          <w:tcPr>
            <w:tcW w:w="487" w:type="pct"/>
            <w:tcBorders>
              <w:left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XXX</w:t>
            </w:r>
          </w:p>
        </w:tc>
        <w:tc>
          <w:tcPr>
            <w:tcW w:w="810" w:type="pct"/>
            <w:tcBorders>
              <w:left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10" w:type="pct"/>
            <w:tcBorders>
              <w:left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57" w:type="pct"/>
            <w:tcBorders>
              <w:left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722" w:type="pct"/>
            <w:tcBorders>
              <w:left w:val="single" w:color="auto" w:sz="4" w:space="0"/>
            </w:tcBorders>
            <w:vAlign w:val="center"/>
          </w:tcPr>
          <w:p>
            <w:pPr>
              <w:spacing w:line="380" w:lineRule="exact"/>
              <w:jc w:val="center"/>
              <w:rPr>
                <w:rFonts w:ascii="仿宋" w:hAnsi="仿宋" w:eastAsia="仿宋" w:cs="仿宋"/>
                <w:sz w:val="24"/>
                <w:highlight w:val="none"/>
              </w:rPr>
            </w:pPr>
          </w:p>
        </w:tc>
        <w:tc>
          <w:tcPr>
            <w:tcW w:w="723" w:type="pct"/>
            <w:tcBorders>
              <w:left w:val="single" w:color="auto" w:sz="4" w:space="0"/>
            </w:tcBorders>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487" w:type="pct"/>
            <w:tcBorders>
              <w:left w:val="single" w:color="auto" w:sz="4" w:space="0"/>
              <w:bottom w:val="single" w:color="auto" w:sz="4" w:space="0"/>
              <w:right w:val="single" w:color="auto" w:sz="4" w:space="0"/>
            </w:tcBorders>
            <w:vAlign w:val="center"/>
          </w:tcPr>
          <w:p>
            <w:pPr>
              <w:jc w:val="center"/>
              <w:rPr>
                <w:rFonts w:hint="eastAsia" w:ascii="仿宋" w:hAnsi="仿宋" w:eastAsia="仿宋" w:cs="仿宋"/>
                <w:sz w:val="24"/>
                <w:highlight w:val="none"/>
                <w:lang w:val="en-US" w:eastAsia="zh-CN"/>
              </w:rPr>
            </w:pPr>
          </w:p>
        </w:tc>
        <w:tc>
          <w:tcPr>
            <w:tcW w:w="487"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XXX</w:t>
            </w:r>
          </w:p>
        </w:tc>
        <w:tc>
          <w:tcPr>
            <w:tcW w:w="810"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10"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957"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722" w:type="pct"/>
            <w:tcBorders>
              <w:left w:val="single" w:color="auto" w:sz="4" w:space="0"/>
              <w:bottom w:val="single" w:color="auto" w:sz="4" w:space="0"/>
            </w:tcBorders>
            <w:vAlign w:val="center"/>
          </w:tcPr>
          <w:p>
            <w:pPr>
              <w:spacing w:line="380" w:lineRule="exact"/>
              <w:jc w:val="center"/>
              <w:rPr>
                <w:rFonts w:ascii="仿宋" w:hAnsi="仿宋" w:eastAsia="仿宋" w:cs="仿宋"/>
                <w:sz w:val="24"/>
                <w:highlight w:val="none"/>
              </w:rPr>
            </w:pPr>
          </w:p>
        </w:tc>
        <w:tc>
          <w:tcPr>
            <w:tcW w:w="723" w:type="pct"/>
            <w:tcBorders>
              <w:left w:val="single" w:color="auto" w:sz="4" w:space="0"/>
              <w:bottom w:val="single" w:color="auto" w:sz="4" w:space="0"/>
            </w:tcBorders>
            <w:vAlign w:val="center"/>
          </w:tcPr>
          <w:p>
            <w:pPr>
              <w:spacing w:line="38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报价为门到门</w:t>
            </w:r>
          </w:p>
        </w:tc>
      </w:tr>
    </w:tbl>
    <w:p>
      <w:pPr>
        <w:rPr>
          <w:rFonts w:hint="eastAsia" w:ascii="宋体" w:hAnsi="宋体" w:eastAsia="宋体"/>
          <w:sz w:val="21"/>
          <w:szCs w:val="21"/>
          <w:highlight w:val="none"/>
        </w:rPr>
      </w:pP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快递物流陆上运输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w:t>
      </w:r>
      <w:r>
        <w:rPr>
          <w:rFonts w:hint="eastAsia" w:hAnsi="宋体"/>
          <w:szCs w:val="21"/>
          <w:highlight w:val="none"/>
          <w:u w:val="single"/>
          <w:lang w:val="en-US" w:eastAsia="zh-CN"/>
        </w:rPr>
        <w:t>3</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8</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委托人验收确认后，承运人开具运费发票，款期3个月。</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报价有效期、服务期1年</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（其他内容自行填写）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415222528"/>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快递物流陆上运输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w:t>
      </w:r>
      <w:r>
        <w:rPr>
          <w:rFonts w:hint="eastAsia" w:hAnsi="宋体"/>
          <w:szCs w:val="21"/>
          <w:highlight w:val="none"/>
          <w:u w:val="single"/>
          <w:lang w:val="en-US" w:eastAsia="zh-CN"/>
        </w:rPr>
        <w:t>3</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13093"/>
      <w:bookmarkStart w:id="364" w:name="_Toc415222530"/>
      <w:bookmarkStart w:id="365" w:name="_Toc216582819"/>
      <w:bookmarkStart w:id="366" w:name="_Toc109736074"/>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1212"/>
      <w:bookmarkEnd w:id="369"/>
      <w:bookmarkStart w:id="370" w:name="_Hlt520274393"/>
      <w:bookmarkEnd w:id="370"/>
      <w:bookmarkStart w:id="371" w:name="_Hlt520274407"/>
      <w:bookmarkEnd w:id="371"/>
      <w:bookmarkStart w:id="372" w:name="_Hlt520274065"/>
      <w:bookmarkEnd w:id="372"/>
      <w:bookmarkStart w:id="373" w:name="_Hlt520274121"/>
      <w:bookmarkEnd w:id="373"/>
      <w:bookmarkStart w:id="374" w:name="_Hlt520350957"/>
      <w:bookmarkEnd w:id="374"/>
      <w:bookmarkStart w:id="375" w:name="_Hlt520350918"/>
      <w:bookmarkEnd w:id="375"/>
      <w:bookmarkStart w:id="376" w:name="_Hlt520273711"/>
      <w:bookmarkEnd w:id="376"/>
      <w:bookmarkStart w:id="377" w:name="_Hlt520273973"/>
      <w:bookmarkEnd w:id="377"/>
      <w:bookmarkStart w:id="378" w:name="_Hlt520343392"/>
      <w:bookmarkEnd w:id="378"/>
      <w:bookmarkStart w:id="379" w:name="_Hlt520343000"/>
      <w:bookmarkEnd w:id="379"/>
      <w:bookmarkStart w:id="380" w:name="_Toc2581"/>
      <w:bookmarkStart w:id="381" w:name="_Toc520125062"/>
      <w:bookmarkStart w:id="382" w:name="_Toc480942357"/>
      <w:bookmarkStart w:id="383" w:name="_Ref467988479"/>
      <w:bookmarkStart w:id="384" w:name="_Ref467988485"/>
      <w:bookmarkStart w:id="385" w:name="_Toc520356228"/>
      <w:bookmarkStart w:id="386" w:name="_Ref467990058"/>
      <w:bookmarkStart w:id="387" w:name="_Toc520125061"/>
      <w:bookmarkStart w:id="388" w:name="_Toc520356229"/>
      <w:bookmarkStart w:id="389" w:name="_Ref467990100"/>
      <w:bookmarkStart w:id="390" w:name="_Ref467988471"/>
      <w:bookmarkStart w:id="391" w:name="_Toc480942358"/>
      <w:bookmarkStart w:id="392" w:name="_Ref467990064"/>
      <w:bookmarkStart w:id="393" w:name="_Ref467990101"/>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3"/>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快递物流陆上运输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WKZB-2025-01</w:t>
      </w:r>
      <w:r>
        <w:rPr>
          <w:rFonts w:hint="eastAsia" w:hAnsi="宋体"/>
          <w:szCs w:val="21"/>
          <w:highlight w:val="none"/>
          <w:u w:val="single"/>
          <w:lang w:val="en-US" w:eastAsia="zh-CN"/>
        </w:rPr>
        <w:t>3</w:t>
      </w:r>
      <w:bookmarkStart w:id="415" w:name="_GoBack"/>
      <w:bookmarkEnd w:id="415"/>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18935355"/>
      <w:bookmarkStart w:id="407" w:name="_Toc216582826"/>
      <w:bookmarkStart w:id="408" w:name="_Toc109736075"/>
      <w:bookmarkStart w:id="409" w:name="_Toc220229434"/>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根据投标人履行快递物流陆上运输的实际能力（根据提供的供应商资质文件等评价），最高得5分，第二名得3分，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根据投标人提供过往产品或者服务实际使用情况优劣进行评分，最高得10分，</w:t>
            </w:r>
            <w:r>
              <w:rPr>
                <w:rFonts w:hint="eastAsia" w:ascii="微软雅黑" w:hAnsi="微软雅黑" w:eastAsia="微软雅黑" w:cs="微软雅黑"/>
                <w:i w:val="0"/>
                <w:iCs w:val="0"/>
                <w:color w:val="000000"/>
                <w:sz w:val="21"/>
                <w:szCs w:val="21"/>
                <w:highlight w:val="none"/>
                <w:u w:val="none"/>
                <w:lang w:val="en-US" w:eastAsia="zh-CN"/>
              </w:rPr>
              <w:t>第二得8分，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tbl>
      <w:tblPr>
        <w:tblStyle w:val="5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9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tcBorders>
              <w:top w:val="single" w:color="auto" w:sz="4" w:space="0"/>
            </w:tcBorders>
            <w:shd w:val="clear" w:color="auto" w:fill="7F7F7F"/>
            <w:vAlign w:val="center"/>
          </w:tcPr>
          <w:p>
            <w:pPr>
              <w:jc w:val="center"/>
              <w:rPr>
                <w:rFonts w:ascii="宋体" w:hAnsi="宋体" w:cs="宋体"/>
                <w:highlight w:val="red"/>
              </w:rPr>
            </w:pPr>
            <w:r>
              <w:rPr>
                <w:rFonts w:hint="eastAsia" w:ascii="宋体" w:hAnsi="宋体" w:cs="宋体"/>
              </w:rPr>
              <w:t>需求编号</w:t>
            </w:r>
          </w:p>
        </w:tc>
        <w:tc>
          <w:tcPr>
            <w:tcW w:w="6975" w:type="dxa"/>
            <w:tcBorders>
              <w:top w:val="single" w:color="auto" w:sz="4" w:space="0"/>
            </w:tcBorders>
            <w:shd w:val="clear" w:color="auto" w:fill="7F7F7F"/>
            <w:vAlign w:val="center"/>
          </w:tcPr>
          <w:p>
            <w:pPr>
              <w:jc w:val="center"/>
              <w:rPr>
                <w:rFonts w:ascii="宋体" w:hAnsi="宋体" w:cs="宋体"/>
                <w:highlight w:val="red"/>
              </w:rPr>
            </w:pPr>
            <w:r>
              <w:rPr>
                <w:rFonts w:hint="eastAsia" w:ascii="宋体" w:hAnsi="宋体" w:cs="宋体"/>
              </w:rPr>
              <w:t>需求说明</w:t>
            </w:r>
          </w:p>
        </w:tc>
        <w:tc>
          <w:tcPr>
            <w:tcW w:w="1290" w:type="dxa"/>
            <w:tcBorders>
              <w:top w:val="single" w:color="auto" w:sz="4" w:space="0"/>
            </w:tcBorders>
            <w:shd w:val="clear" w:color="auto" w:fill="7F7F7F"/>
            <w:vAlign w:val="center"/>
          </w:tcPr>
          <w:p>
            <w:pPr>
              <w:jc w:val="center"/>
              <w:rPr>
                <w:rFonts w:ascii="宋体" w:hAnsi="宋体" w:cs="宋体"/>
                <w:highlight w:val="red"/>
              </w:rPr>
            </w:pPr>
            <w:r>
              <w:rPr>
                <w:rFonts w:hint="eastAsia" w:ascii="宋体" w:hAnsi="宋体" w:cs="宋体"/>
              </w:rPr>
              <w:t>必须/期望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b/>
                <w:bCs/>
              </w:rPr>
            </w:pPr>
            <w:r>
              <w:rPr>
                <w:rFonts w:hint="eastAsia" w:ascii="宋体" w:hAnsi="宋体" w:cs="宋体"/>
                <w:b/>
                <w:bCs/>
              </w:rPr>
              <w:t>一</w:t>
            </w:r>
          </w:p>
        </w:tc>
        <w:tc>
          <w:tcPr>
            <w:tcW w:w="6975" w:type="dxa"/>
            <w:vAlign w:val="center"/>
          </w:tcPr>
          <w:p>
            <w:pPr>
              <w:jc w:val="left"/>
              <w:rPr>
                <w:rFonts w:ascii="宋体" w:hAnsi="宋体" w:cs="宋体"/>
                <w:b/>
                <w:bCs/>
                <w:szCs w:val="21"/>
              </w:rPr>
            </w:pPr>
            <w:r>
              <w:rPr>
                <w:rFonts w:hint="eastAsia" w:ascii="宋体" w:hAnsi="宋体" w:cs="宋体"/>
                <w:b/>
                <w:bCs/>
                <w:szCs w:val="21"/>
              </w:rPr>
              <w:t>项目总体要求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54" w:type="dxa"/>
            <w:vAlign w:val="center"/>
          </w:tcPr>
          <w:p>
            <w:pPr>
              <w:jc w:val="center"/>
              <w:rPr>
                <w:rFonts w:ascii="宋体" w:hAnsi="宋体" w:cs="宋体"/>
              </w:rPr>
            </w:pPr>
            <w:r>
              <w:rPr>
                <w:rFonts w:hint="eastAsia" w:ascii="宋体" w:hAnsi="宋体" w:cs="宋体"/>
              </w:rPr>
              <w:t>URS01</w:t>
            </w:r>
          </w:p>
        </w:tc>
        <w:tc>
          <w:tcPr>
            <w:tcW w:w="6975" w:type="dxa"/>
            <w:vAlign w:val="center"/>
          </w:tcPr>
          <w:p>
            <w:pPr>
              <w:jc w:val="left"/>
              <w:rPr>
                <w:rFonts w:ascii="宋体" w:hAnsi="宋体" w:cs="宋体"/>
                <w:szCs w:val="21"/>
              </w:rPr>
            </w:pPr>
            <w:r>
              <w:rPr>
                <w:rFonts w:hint="eastAsia" w:ascii="宋体" w:hAnsi="宋体" w:cs="宋体"/>
                <w:szCs w:val="21"/>
              </w:rPr>
              <w:t>投标单位应具备相应承揽能力、资质与业绩。</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rPr>
            </w:pPr>
            <w:r>
              <w:rPr>
                <w:rFonts w:hint="eastAsia" w:ascii="宋体" w:hAnsi="宋体" w:cs="宋体"/>
              </w:rPr>
              <w:t>URS02</w:t>
            </w:r>
          </w:p>
        </w:tc>
        <w:tc>
          <w:tcPr>
            <w:tcW w:w="6975" w:type="dxa"/>
            <w:vAlign w:val="center"/>
          </w:tcPr>
          <w:p>
            <w:pPr>
              <w:jc w:val="left"/>
              <w:rPr>
                <w:rFonts w:hint="eastAsia" w:ascii="宋体" w:hAnsi="宋体" w:eastAsia="宋体" w:cs="宋体"/>
                <w:szCs w:val="21"/>
                <w:lang w:eastAsia="zh-CN"/>
              </w:rPr>
            </w:pPr>
            <w:r>
              <w:rPr>
                <w:rFonts w:hint="eastAsia" w:ascii="宋体" w:hAnsi="宋体" w:cs="宋体"/>
                <w:szCs w:val="21"/>
              </w:rPr>
              <w:t>本项目禁止分包和转包，投标商需自主独立完成，并承担</w:t>
            </w:r>
            <w:r>
              <w:rPr>
                <w:rFonts w:hint="eastAsia" w:ascii="宋体" w:hAnsi="宋体" w:cs="宋体"/>
                <w:szCs w:val="21"/>
                <w:lang w:val="en-US" w:eastAsia="zh-CN"/>
              </w:rPr>
              <w:t>售后</w:t>
            </w:r>
            <w:r>
              <w:rPr>
                <w:rFonts w:hint="eastAsia" w:ascii="宋体" w:hAnsi="宋体" w:cs="宋体"/>
                <w:szCs w:val="21"/>
              </w:rPr>
              <w:t>工作</w:t>
            </w:r>
            <w:r>
              <w:rPr>
                <w:rFonts w:hint="eastAsia" w:ascii="宋体" w:hAnsi="宋体" w:cs="宋体"/>
                <w:szCs w:val="21"/>
                <w:lang w:eastAsia="zh-CN"/>
              </w:rPr>
              <w:t>。</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rPr>
            </w:pPr>
            <w:r>
              <w:rPr>
                <w:rFonts w:hint="eastAsia" w:ascii="宋体" w:hAnsi="宋体" w:cs="宋体"/>
              </w:rPr>
              <w:t>URS03</w:t>
            </w:r>
          </w:p>
        </w:tc>
        <w:tc>
          <w:tcPr>
            <w:tcW w:w="6975" w:type="dxa"/>
            <w:vAlign w:val="center"/>
          </w:tcPr>
          <w:p>
            <w:pPr>
              <w:jc w:val="left"/>
              <w:rPr>
                <w:rFonts w:hint="default" w:ascii="宋体" w:hAnsi="宋体" w:cs="宋体"/>
                <w:szCs w:val="21"/>
                <w:lang w:val="en-US"/>
              </w:rPr>
            </w:pPr>
            <w:r>
              <w:rPr>
                <w:rFonts w:hint="eastAsia" w:ascii="宋体" w:hAnsi="宋体" w:cs="宋体"/>
                <w:szCs w:val="21"/>
              </w:rPr>
              <w:t>投标单位</w:t>
            </w:r>
            <w:r>
              <w:rPr>
                <w:rFonts w:hint="eastAsia" w:ascii="宋体" w:hAnsi="宋体" w:cs="宋体"/>
                <w:szCs w:val="21"/>
                <w:lang w:val="en-US" w:eastAsia="zh-CN"/>
              </w:rPr>
              <w:t>应具备完善的五年内物流运输台账，并支持后期查询。</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rPr>
            </w:pPr>
            <w:r>
              <w:rPr>
                <w:rFonts w:hint="eastAsia" w:ascii="宋体" w:hAnsi="宋体" w:cs="宋体"/>
              </w:rPr>
              <w:t>URS04</w:t>
            </w:r>
          </w:p>
        </w:tc>
        <w:tc>
          <w:tcPr>
            <w:tcW w:w="6975" w:type="dxa"/>
            <w:vAlign w:val="center"/>
          </w:tcPr>
          <w:p>
            <w:pPr>
              <w:jc w:val="left"/>
              <w:rPr>
                <w:rFonts w:hint="default" w:ascii="宋体" w:hAnsi="宋体" w:cs="宋体"/>
                <w:szCs w:val="21"/>
                <w:lang w:val="en-US"/>
              </w:rPr>
            </w:pPr>
            <w:r>
              <w:rPr>
                <w:rFonts w:hint="eastAsia" w:ascii="宋体" w:hAnsi="宋体" w:cs="宋体"/>
                <w:szCs w:val="21"/>
              </w:rPr>
              <w:t>投标单位</w:t>
            </w:r>
            <w:r>
              <w:rPr>
                <w:rFonts w:hint="eastAsia" w:ascii="宋体" w:hAnsi="宋体" w:cs="宋体"/>
                <w:szCs w:val="21"/>
                <w:lang w:val="en-US" w:eastAsia="zh-CN"/>
              </w:rPr>
              <w:t>应支持异地取货并返回的服务。</w:t>
            </w:r>
          </w:p>
        </w:tc>
        <w:tc>
          <w:tcPr>
            <w:tcW w:w="1290" w:type="dxa"/>
            <w:vAlign w:val="center"/>
          </w:tcPr>
          <w:p>
            <w:pPr>
              <w:jc w:val="center"/>
              <w:rPr>
                <w:rFonts w:hint="eastAsia" w:ascii="宋体" w:hAnsi="宋体" w:eastAsia="宋体" w:cs="宋体"/>
                <w:lang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二</w:t>
            </w:r>
          </w:p>
        </w:tc>
        <w:tc>
          <w:tcPr>
            <w:tcW w:w="6975" w:type="dxa"/>
            <w:vAlign w:val="center"/>
          </w:tcPr>
          <w:p>
            <w:pPr>
              <w:jc w:val="left"/>
              <w:rPr>
                <w:rFonts w:hint="default" w:ascii="宋体" w:hAnsi="宋体" w:eastAsia="宋体" w:cs="宋体"/>
                <w:b/>
                <w:bCs/>
                <w:szCs w:val="21"/>
                <w:lang w:val="en-US" w:eastAsia="zh-CN"/>
              </w:rPr>
            </w:pPr>
            <w:r>
              <w:rPr>
                <w:rFonts w:hint="eastAsia" w:ascii="宋体" w:hAnsi="宋体" w:cs="宋体"/>
                <w:b/>
                <w:bCs/>
                <w:szCs w:val="21"/>
                <w:lang w:val="en-US" w:eastAsia="zh-CN"/>
              </w:rPr>
              <w:t>陆运服务</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rPr>
            </w:pPr>
          </w:p>
        </w:tc>
        <w:tc>
          <w:tcPr>
            <w:tcW w:w="6975" w:type="dxa"/>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项目</w:t>
            </w:r>
            <w:r>
              <w:rPr>
                <w:rFonts w:hint="eastAsia" w:ascii="宋体" w:hAnsi="宋体" w:cs="宋体"/>
                <w:szCs w:val="21"/>
              </w:rPr>
              <w:t>概述：</w:t>
            </w:r>
            <w:r>
              <w:rPr>
                <w:rFonts w:hint="eastAsia" w:ascii="宋体" w:hAnsi="宋体" w:cs="宋体"/>
                <w:szCs w:val="21"/>
                <w:lang w:val="en-US" w:eastAsia="zh-CN"/>
              </w:rPr>
              <w:t>从我司提货至目的地后的门到门服务。</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2.1</w:t>
            </w:r>
          </w:p>
        </w:tc>
        <w:tc>
          <w:tcPr>
            <w:tcW w:w="6975" w:type="dxa"/>
            <w:vAlign w:val="center"/>
          </w:tcPr>
          <w:p>
            <w:pPr>
              <w:jc w:val="left"/>
              <w:rPr>
                <w:rFonts w:hint="default" w:ascii="宋体" w:hAnsi="宋体" w:eastAsia="宋体" w:cs="宋体"/>
                <w:b/>
                <w:bCs/>
                <w:szCs w:val="21"/>
                <w:lang w:val="en-US" w:eastAsia="zh-CN"/>
              </w:rPr>
            </w:pPr>
            <w:r>
              <w:rPr>
                <w:rFonts w:hint="eastAsia" w:ascii="宋体" w:hAnsi="宋体" w:cs="宋体"/>
                <w:b/>
                <w:bCs/>
                <w:szCs w:val="21"/>
                <w:lang w:val="en-US" w:eastAsia="zh-CN"/>
              </w:rPr>
              <w:t>提货环节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lang w:eastAsia="zh-CN"/>
              </w:rPr>
            </w:pPr>
            <w:r>
              <w:rPr>
                <w:rFonts w:hint="eastAsia" w:ascii="宋体" w:hAnsi="宋体" w:cs="宋体"/>
              </w:rPr>
              <w:t>URS0</w:t>
            </w:r>
            <w:r>
              <w:rPr>
                <w:rFonts w:hint="eastAsia" w:ascii="宋体" w:hAnsi="宋体" w:cs="宋体"/>
                <w:lang w:val="en-US" w:eastAsia="zh-CN"/>
              </w:rPr>
              <w:t>5</w:t>
            </w:r>
          </w:p>
        </w:tc>
        <w:tc>
          <w:tcPr>
            <w:tcW w:w="6975" w:type="dxa"/>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我司根据当日订单情况下订单，</w:t>
            </w:r>
            <w:r>
              <w:rPr>
                <w:rFonts w:hint="eastAsia" w:ascii="宋体" w:hAnsi="宋体" w:cs="宋体"/>
                <w:szCs w:val="21"/>
              </w:rPr>
              <w:t>投标单位</w:t>
            </w:r>
            <w:r>
              <w:rPr>
                <w:rFonts w:hint="eastAsia" w:ascii="宋体" w:hAnsi="宋体" w:cs="宋体"/>
                <w:szCs w:val="21"/>
                <w:lang w:val="en-US" w:eastAsia="zh-CN"/>
              </w:rPr>
              <w:t>在我司下班前拿走产品</w:t>
            </w:r>
          </w:p>
        </w:tc>
        <w:tc>
          <w:tcPr>
            <w:tcW w:w="1290" w:type="dxa"/>
            <w:vAlign w:val="center"/>
          </w:tcPr>
          <w:p>
            <w:pPr>
              <w:jc w:val="center"/>
              <w:rPr>
                <w:rFonts w:hint="default" w:ascii="宋体" w:hAnsi="宋体" w:cs="宋体"/>
                <w:lang w:val="en-US"/>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rPr>
              <w:t>URS0</w:t>
            </w:r>
            <w:r>
              <w:rPr>
                <w:rFonts w:hint="eastAsia" w:ascii="宋体" w:hAnsi="宋体" w:cs="宋体"/>
                <w:lang w:val="en-US" w:eastAsia="zh-CN"/>
              </w:rPr>
              <w:t>6</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投标单位使用厢式车进行来承担提货任务。</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07</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投标单位自行寻找发运产品并装上车。</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08</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投标单位提供运单打印器械。</w:t>
            </w:r>
          </w:p>
        </w:tc>
        <w:tc>
          <w:tcPr>
            <w:tcW w:w="1290" w:type="dxa"/>
            <w:vAlign w:val="center"/>
          </w:tcPr>
          <w:p>
            <w:pPr>
              <w:jc w:val="center"/>
              <w:rPr>
                <w:rFonts w:hint="eastAsia" w:ascii="宋体" w:hAnsi="宋体" w:eastAsia="宋体" w:cs="宋体"/>
                <w:lang w:val="en-US" w:eastAsia="zh-CN"/>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09</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投标单位在提货前与我司相关人员进行沟通。</w:t>
            </w:r>
          </w:p>
        </w:tc>
        <w:tc>
          <w:tcPr>
            <w:tcW w:w="1290" w:type="dxa"/>
            <w:vAlign w:val="center"/>
          </w:tcPr>
          <w:p>
            <w:pPr>
              <w:jc w:val="center"/>
              <w:rPr>
                <w:rFonts w:hint="eastAsia" w:ascii="宋体" w:hAnsi="宋体" w:eastAsia="宋体" w:cs="宋体"/>
                <w:lang w:val="en-US" w:eastAsia="zh-CN"/>
              </w:rPr>
            </w:pPr>
            <w:r>
              <w:rPr>
                <w:rFonts w:hint="eastAsia" w:ascii="宋体" w:hAnsi="宋体" w:cs="宋体"/>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cs="宋体"/>
                <w:lang w:val="en-US"/>
              </w:rPr>
            </w:pPr>
            <w:r>
              <w:rPr>
                <w:rFonts w:hint="eastAsia" w:ascii="宋体" w:hAnsi="宋体" w:cs="宋体"/>
              </w:rPr>
              <w:t>URS</w:t>
            </w:r>
            <w:r>
              <w:rPr>
                <w:rFonts w:hint="eastAsia" w:ascii="宋体" w:hAnsi="宋体" w:cs="宋体"/>
                <w:lang w:val="en-US" w:eastAsia="zh-CN"/>
              </w:rPr>
              <w:t>10</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投标单位安排相对固定的提货或交接人员。</w:t>
            </w:r>
          </w:p>
        </w:tc>
        <w:tc>
          <w:tcPr>
            <w:tcW w:w="1290" w:type="dxa"/>
            <w:vAlign w:val="center"/>
          </w:tcPr>
          <w:p>
            <w:pPr>
              <w:jc w:val="center"/>
              <w:rPr>
                <w:rFonts w:hint="eastAsia" w:ascii="宋体" w:hAnsi="宋体" w:cs="宋体"/>
                <w:lang w:val="en-US" w:eastAsia="zh-CN"/>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2.2</w:t>
            </w:r>
          </w:p>
        </w:tc>
        <w:tc>
          <w:tcPr>
            <w:tcW w:w="6975" w:type="dxa"/>
            <w:vAlign w:val="center"/>
          </w:tcPr>
          <w:p>
            <w:pPr>
              <w:jc w:val="left"/>
              <w:rPr>
                <w:rFonts w:hint="eastAsia" w:ascii="宋体" w:hAnsi="宋体" w:eastAsia="宋体" w:cs="宋体"/>
                <w:b/>
                <w:bCs/>
                <w:lang w:eastAsia="zh-CN"/>
              </w:rPr>
            </w:pPr>
            <w:r>
              <w:rPr>
                <w:rFonts w:hint="eastAsia" w:ascii="宋体" w:hAnsi="宋体" w:cs="宋体"/>
                <w:b/>
                <w:bCs/>
                <w:lang w:val="en-US" w:eastAsia="zh-CN"/>
              </w:rPr>
              <w:t>运输</w:t>
            </w:r>
            <w:r>
              <w:rPr>
                <w:rFonts w:hint="eastAsia" w:ascii="宋体" w:hAnsi="宋体" w:cs="宋体"/>
                <w:b/>
                <w:bCs/>
                <w:szCs w:val="21"/>
                <w:lang w:val="en-US" w:eastAsia="zh-CN"/>
              </w:rPr>
              <w:t>环节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11</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szCs w:val="21"/>
                <w:lang w:val="en-US" w:eastAsia="zh-CN"/>
              </w:rPr>
              <w:t>投标单位</w:t>
            </w:r>
            <w:r>
              <w:rPr>
                <w:rFonts w:hint="eastAsia" w:ascii="宋体" w:hAnsi="宋体" w:cs="宋体"/>
                <w:lang w:val="en-US" w:eastAsia="zh-CN"/>
              </w:rPr>
              <w:t>应保障我司产品在发运途中得到充分的保护，严禁淋湿，进水，破损等损坏外包装的行为。</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12</w:t>
            </w:r>
          </w:p>
        </w:tc>
        <w:tc>
          <w:tcPr>
            <w:tcW w:w="6975" w:type="dxa"/>
            <w:vAlign w:val="center"/>
          </w:tcPr>
          <w:p>
            <w:pPr>
              <w:rPr>
                <w:rFonts w:hint="default" w:ascii="宋体" w:hAnsi="宋体" w:eastAsia="宋体" w:cs="宋体"/>
                <w:b/>
                <w:bCs/>
                <w:lang w:val="en-US" w:eastAsia="zh-CN"/>
              </w:rPr>
            </w:pPr>
            <w:r>
              <w:rPr>
                <w:rFonts w:hint="eastAsia" w:ascii="宋体" w:hAnsi="宋体" w:cs="宋体"/>
                <w:szCs w:val="21"/>
                <w:lang w:val="en-US" w:eastAsia="zh-CN"/>
              </w:rPr>
              <w:t>投标单位</w:t>
            </w:r>
            <w:r>
              <w:rPr>
                <w:rFonts w:hint="eastAsia" w:ascii="宋体" w:hAnsi="宋体" w:cs="宋体"/>
                <w:lang w:val="en-US" w:eastAsia="zh-CN"/>
              </w:rPr>
              <w:t>应保障我司产品能优先转运。</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13</w:t>
            </w:r>
          </w:p>
        </w:tc>
        <w:tc>
          <w:tcPr>
            <w:tcW w:w="6975" w:type="dxa"/>
            <w:vAlign w:val="center"/>
          </w:tcPr>
          <w:p>
            <w:pPr>
              <w:rPr>
                <w:rFonts w:hint="default" w:ascii="宋体" w:hAnsi="宋体" w:cs="宋体"/>
                <w:lang w:val="en-US" w:eastAsia="zh-CN"/>
              </w:rPr>
            </w:pPr>
            <w:r>
              <w:rPr>
                <w:rFonts w:hint="eastAsia" w:ascii="宋体" w:hAnsi="宋体" w:cs="宋体"/>
                <w:szCs w:val="21"/>
                <w:lang w:val="en-US" w:eastAsia="zh-CN"/>
              </w:rPr>
              <w:t>投标单位</w:t>
            </w:r>
            <w:r>
              <w:rPr>
                <w:rFonts w:hint="eastAsia" w:ascii="宋体" w:hAnsi="宋体" w:cs="宋体"/>
                <w:lang w:val="en-US" w:eastAsia="zh-CN"/>
              </w:rPr>
              <w:t>在产品在转运途中出现特殊情况及时与我司沟通。</w:t>
            </w:r>
          </w:p>
        </w:tc>
        <w:tc>
          <w:tcPr>
            <w:tcW w:w="1290" w:type="dxa"/>
            <w:vAlign w:val="center"/>
          </w:tcPr>
          <w:p>
            <w:pPr>
              <w:jc w:val="center"/>
              <w:rPr>
                <w:rFonts w:hint="eastAsia" w:ascii="宋体" w:hAnsi="宋体" w:eastAsia="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14</w:t>
            </w:r>
          </w:p>
        </w:tc>
        <w:tc>
          <w:tcPr>
            <w:tcW w:w="6975" w:type="dxa"/>
            <w:vAlign w:val="center"/>
          </w:tcPr>
          <w:p>
            <w:pPr>
              <w:rPr>
                <w:rFonts w:hint="default" w:ascii="宋体" w:hAnsi="宋体" w:cs="宋体"/>
                <w:szCs w:val="21"/>
                <w:lang w:val="en-US" w:eastAsia="zh-CN"/>
              </w:rPr>
            </w:pPr>
            <w:r>
              <w:rPr>
                <w:rFonts w:hint="eastAsia" w:ascii="宋体" w:hAnsi="宋体" w:cs="宋体"/>
                <w:szCs w:val="21"/>
                <w:lang w:val="en-US" w:eastAsia="zh-CN"/>
              </w:rPr>
              <w:t>投标单位规划最优中转路线确保我司产品能按时完好的到达客户手中。</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2.3</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b/>
                <w:bCs/>
                <w:lang w:val="en-US" w:eastAsia="zh-CN"/>
              </w:rPr>
              <w:t>派送环节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lang w:eastAsia="zh-CN"/>
              </w:rPr>
            </w:pPr>
            <w:r>
              <w:rPr>
                <w:rFonts w:hint="eastAsia" w:ascii="宋体" w:hAnsi="宋体" w:cs="宋体"/>
              </w:rPr>
              <w:t>URS1</w:t>
            </w:r>
            <w:r>
              <w:rPr>
                <w:rFonts w:hint="eastAsia" w:ascii="宋体" w:hAnsi="宋体" w:cs="宋体"/>
                <w:lang w:val="en-US" w:eastAsia="zh-CN"/>
              </w:rPr>
              <w:t>5</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szCs w:val="21"/>
                <w:lang w:val="en-US" w:eastAsia="zh-CN"/>
              </w:rPr>
              <w:t>投标单位保证优先派送我司产品。</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lang w:eastAsia="zh-CN"/>
              </w:rPr>
            </w:pPr>
            <w:r>
              <w:rPr>
                <w:rFonts w:hint="eastAsia" w:ascii="宋体" w:hAnsi="宋体" w:cs="宋体"/>
              </w:rPr>
              <w:t>URS1</w:t>
            </w:r>
            <w:r>
              <w:rPr>
                <w:rFonts w:hint="eastAsia" w:ascii="宋体" w:hAnsi="宋体" w:cs="宋体"/>
                <w:lang w:val="en-US" w:eastAsia="zh-CN"/>
              </w:rPr>
              <w:t>6</w:t>
            </w:r>
          </w:p>
        </w:tc>
        <w:tc>
          <w:tcPr>
            <w:tcW w:w="6975" w:type="dxa"/>
            <w:vAlign w:val="center"/>
          </w:tcPr>
          <w:p>
            <w:pPr>
              <w:jc w:val="left"/>
              <w:rPr>
                <w:rFonts w:hint="default" w:ascii="宋体" w:hAnsi="宋体" w:eastAsia="宋体" w:cs="宋体"/>
                <w:lang w:val="en-US" w:eastAsia="zh-CN"/>
              </w:rPr>
            </w:pPr>
            <w:r>
              <w:rPr>
                <w:rFonts w:hint="eastAsia" w:ascii="宋体" w:hAnsi="宋体" w:cs="宋体"/>
                <w:lang w:val="en-US" w:eastAsia="zh-CN"/>
              </w:rPr>
              <w:t>投标单位不能将我司产品送至菜鸟驿站等代收点，客户要求除外。</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URS1</w:t>
            </w:r>
            <w:r>
              <w:rPr>
                <w:rFonts w:hint="eastAsia" w:ascii="宋体" w:hAnsi="宋体" w:cs="宋体"/>
                <w:lang w:val="en-US" w:eastAsia="zh-CN"/>
              </w:rPr>
              <w:t>7</w:t>
            </w:r>
          </w:p>
        </w:tc>
        <w:tc>
          <w:tcPr>
            <w:tcW w:w="6975" w:type="dxa"/>
            <w:vAlign w:val="center"/>
          </w:tcPr>
          <w:p>
            <w:pPr>
              <w:jc w:val="left"/>
              <w:rPr>
                <w:rFonts w:hint="default" w:ascii="宋体" w:hAnsi="宋体" w:cs="宋体"/>
                <w:lang w:val="en-US" w:eastAsia="zh-CN"/>
              </w:rPr>
            </w:pPr>
            <w:r>
              <w:rPr>
                <w:rFonts w:hint="eastAsia" w:ascii="宋体" w:hAnsi="宋体" w:cs="宋体"/>
                <w:lang w:val="en-US" w:eastAsia="zh-CN"/>
              </w:rPr>
              <w:t>投标单位拥有冷链零担运输的业务。</w:t>
            </w:r>
          </w:p>
        </w:tc>
        <w:tc>
          <w:tcPr>
            <w:tcW w:w="1290" w:type="dxa"/>
            <w:vAlign w:val="center"/>
          </w:tcPr>
          <w:p>
            <w:pPr>
              <w:jc w:val="center"/>
              <w:rPr>
                <w:rFonts w:hint="eastAsia" w:ascii="宋体" w:hAnsi="宋体" w:eastAsia="宋体" w:cs="宋体"/>
                <w:lang w:eastAsia="zh-CN"/>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URS1</w:t>
            </w:r>
            <w:r>
              <w:rPr>
                <w:rFonts w:hint="eastAsia" w:ascii="宋体" w:hAnsi="宋体" w:cs="宋体"/>
                <w:lang w:val="en-US" w:eastAsia="zh-CN"/>
              </w:rPr>
              <w:t>8</w:t>
            </w:r>
          </w:p>
        </w:tc>
        <w:tc>
          <w:tcPr>
            <w:tcW w:w="6975" w:type="dxa"/>
            <w:vAlign w:val="center"/>
          </w:tcPr>
          <w:p>
            <w:pPr>
              <w:jc w:val="left"/>
              <w:rPr>
                <w:rFonts w:hint="default" w:ascii="宋体" w:hAnsi="宋体" w:cs="宋体"/>
                <w:lang w:val="en-US" w:eastAsia="zh-CN"/>
              </w:rPr>
            </w:pPr>
            <w:r>
              <w:rPr>
                <w:rFonts w:hint="eastAsia" w:ascii="宋体" w:hAnsi="宋体" w:cs="宋体"/>
                <w:szCs w:val="21"/>
                <w:lang w:val="en-US" w:eastAsia="zh-CN"/>
              </w:rPr>
              <w:t>投标单位保证在客户无法当时接货的情况下能按我司要求妥善的保存我司产品。</w:t>
            </w:r>
          </w:p>
        </w:tc>
        <w:tc>
          <w:tcPr>
            <w:tcW w:w="1290" w:type="dxa"/>
            <w:vAlign w:val="center"/>
          </w:tcPr>
          <w:p>
            <w:pPr>
              <w:jc w:val="center"/>
              <w:rPr>
                <w:rFonts w:hint="eastAsia" w:ascii="宋体" w:hAnsi="宋体" w:eastAsia="宋体" w:cs="宋体"/>
                <w:lang w:val="en-US" w:eastAsia="zh-CN"/>
              </w:rPr>
            </w:pPr>
            <w:r>
              <w:rPr>
                <w:rFonts w:hint="eastAsia" w:ascii="宋体" w:hAnsi="宋体" w:cs="宋体"/>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URS1</w:t>
            </w:r>
            <w:r>
              <w:rPr>
                <w:rFonts w:hint="eastAsia" w:ascii="宋体" w:hAnsi="宋体" w:cs="宋体"/>
                <w:lang w:val="en-US" w:eastAsia="zh-CN"/>
              </w:rPr>
              <w:t>9</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投标单位能在产品未到齐的情况下先到先送，并为客户解释。</w:t>
            </w:r>
          </w:p>
        </w:tc>
        <w:tc>
          <w:tcPr>
            <w:tcW w:w="1290" w:type="dxa"/>
            <w:vAlign w:val="center"/>
          </w:tcPr>
          <w:p>
            <w:pPr>
              <w:jc w:val="center"/>
              <w:rPr>
                <w:rFonts w:hint="eastAsia" w:ascii="宋体" w:hAnsi="宋体" w:cs="宋体"/>
                <w:lang w:val="en-US" w:eastAsia="zh-CN"/>
              </w:rPr>
            </w:pPr>
            <w:r>
              <w:rPr>
                <w:rFonts w:hint="eastAsia" w:ascii="宋体" w:hAnsi="宋体" w:cs="宋体"/>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rPr>
              <w:t>URS</w:t>
            </w:r>
            <w:r>
              <w:rPr>
                <w:rFonts w:hint="eastAsia" w:ascii="宋体" w:hAnsi="宋体" w:cs="宋体"/>
                <w:lang w:val="en-US" w:eastAsia="zh-CN"/>
              </w:rPr>
              <w:t>20</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投标单位能按我司其他要求进行派送。</w:t>
            </w:r>
          </w:p>
        </w:tc>
        <w:tc>
          <w:tcPr>
            <w:tcW w:w="1290" w:type="dxa"/>
            <w:vAlign w:val="center"/>
          </w:tcPr>
          <w:p>
            <w:pPr>
              <w:jc w:val="center"/>
              <w:rPr>
                <w:rFonts w:hint="default" w:ascii="宋体" w:hAnsi="宋体" w:cs="宋体"/>
                <w:lang w:val="en-US" w:eastAsia="zh-CN"/>
              </w:rPr>
            </w:pPr>
            <w:r>
              <w:rPr>
                <w:rFonts w:hint="eastAsia" w:ascii="宋体" w:hAnsi="宋体" w:cs="宋体"/>
                <w:lang w:val="en-US" w:eastAsia="zh-CN"/>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lang w:eastAsia="zh-CN"/>
              </w:rPr>
            </w:pPr>
            <w:r>
              <w:rPr>
                <w:rFonts w:hint="eastAsia" w:ascii="宋体" w:hAnsi="宋体" w:cs="宋体"/>
                <w:b/>
                <w:bCs/>
                <w:lang w:val="en-US" w:eastAsia="zh-CN"/>
              </w:rPr>
              <w:t>三</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b/>
                <w:bCs/>
                <w:lang w:val="en-US" w:eastAsia="zh-CN"/>
              </w:rPr>
              <w:t>其他</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b/>
                <w:bCs/>
                <w:lang w:val="en-US" w:eastAsia="zh-CN"/>
              </w:rPr>
              <w:t>3.1</w:t>
            </w:r>
          </w:p>
        </w:tc>
        <w:tc>
          <w:tcPr>
            <w:tcW w:w="6975" w:type="dxa"/>
            <w:vAlign w:val="center"/>
          </w:tcPr>
          <w:p>
            <w:pPr>
              <w:jc w:val="left"/>
              <w:rPr>
                <w:rFonts w:hint="default" w:ascii="宋体" w:hAnsi="宋体" w:cs="宋体"/>
                <w:szCs w:val="21"/>
                <w:lang w:val="en-US" w:eastAsia="zh-CN"/>
              </w:rPr>
            </w:pPr>
            <w:r>
              <w:rPr>
                <w:rFonts w:hint="eastAsia" w:ascii="宋体" w:hAnsi="宋体" w:cs="宋体"/>
                <w:b/>
                <w:bCs/>
                <w:szCs w:val="21"/>
                <w:lang w:val="en-US" w:eastAsia="zh-CN"/>
              </w:rPr>
              <w:t>账单</w:t>
            </w:r>
          </w:p>
        </w:tc>
        <w:tc>
          <w:tcPr>
            <w:tcW w:w="1290" w:type="dxa"/>
            <w:vAlign w:val="center"/>
          </w:tcPr>
          <w:p>
            <w:pPr>
              <w:jc w:val="center"/>
              <w:rPr>
                <w:rFonts w:hint="eastAsia" w:ascii="宋体" w:hAnsi="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21</w:t>
            </w:r>
          </w:p>
        </w:tc>
        <w:tc>
          <w:tcPr>
            <w:tcW w:w="6975" w:type="dxa"/>
            <w:vAlign w:val="center"/>
          </w:tcPr>
          <w:p>
            <w:pPr>
              <w:jc w:val="left"/>
              <w:rPr>
                <w:rFonts w:hint="default" w:ascii="宋体" w:hAnsi="宋体" w:eastAsia="宋体" w:cs="宋体"/>
                <w:lang w:val="en-US" w:eastAsia="zh-CN"/>
              </w:rPr>
            </w:pPr>
            <w:r>
              <w:rPr>
                <w:rFonts w:hint="eastAsia" w:ascii="宋体" w:hAnsi="宋体" w:cs="宋体"/>
                <w:szCs w:val="21"/>
                <w:lang w:val="en-US" w:eastAsia="zh-CN"/>
              </w:rPr>
              <w:t>投标单位</w:t>
            </w:r>
            <w:r>
              <w:rPr>
                <w:rFonts w:hint="eastAsia" w:ascii="宋体" w:hAnsi="宋体" w:cs="宋体"/>
                <w:lang w:val="en-US" w:eastAsia="zh-CN"/>
              </w:rPr>
              <w:t>27日将上月26日-本月25日账单准确无误的交予我司。</w:t>
            </w:r>
          </w:p>
        </w:tc>
        <w:tc>
          <w:tcPr>
            <w:tcW w:w="1290" w:type="dxa"/>
            <w:vAlign w:val="center"/>
          </w:tcPr>
          <w:p>
            <w:pPr>
              <w:jc w:val="center"/>
              <w:rPr>
                <w:rFonts w:hint="eastAsia" w:ascii="宋体" w:hAnsi="宋体" w:eastAsia="宋体" w:cs="宋体"/>
                <w:lang w:eastAsia="zh-CN"/>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b/>
                <w:bCs/>
                <w:lang w:val="en-US" w:eastAsia="zh-CN"/>
              </w:rPr>
              <w:t>3.2</w:t>
            </w:r>
          </w:p>
        </w:tc>
        <w:tc>
          <w:tcPr>
            <w:tcW w:w="6975" w:type="dxa"/>
            <w:vAlign w:val="center"/>
          </w:tcPr>
          <w:p>
            <w:pPr>
              <w:jc w:val="left"/>
              <w:rPr>
                <w:rFonts w:hint="default" w:ascii="宋体" w:hAnsi="宋体" w:cs="宋体"/>
                <w:szCs w:val="21"/>
                <w:lang w:val="en-US" w:eastAsia="zh-CN"/>
              </w:rPr>
            </w:pPr>
            <w:r>
              <w:rPr>
                <w:rFonts w:hint="eastAsia" w:ascii="宋体" w:hAnsi="宋体" w:cs="宋体"/>
                <w:b/>
                <w:bCs/>
                <w:szCs w:val="21"/>
                <w:lang w:val="en-US" w:eastAsia="zh-CN"/>
              </w:rPr>
              <w:t>客服</w:t>
            </w:r>
          </w:p>
        </w:tc>
        <w:tc>
          <w:tcPr>
            <w:tcW w:w="1290" w:type="dxa"/>
            <w:vAlign w:val="center"/>
          </w:tcPr>
          <w:p>
            <w:pPr>
              <w:jc w:val="center"/>
              <w:rPr>
                <w:rFonts w:hint="eastAsia" w:ascii="宋体" w:hAnsi="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22</w:t>
            </w:r>
          </w:p>
        </w:tc>
        <w:tc>
          <w:tcPr>
            <w:tcW w:w="6975" w:type="dxa"/>
            <w:vAlign w:val="center"/>
          </w:tcPr>
          <w:p>
            <w:pPr>
              <w:jc w:val="left"/>
              <w:rPr>
                <w:rFonts w:hint="default" w:ascii="宋体" w:hAnsi="宋体" w:cs="宋体"/>
                <w:lang w:val="en-US"/>
              </w:rPr>
            </w:pPr>
            <w:r>
              <w:rPr>
                <w:rFonts w:hint="eastAsia" w:ascii="宋体" w:hAnsi="宋体" w:cs="宋体"/>
                <w:szCs w:val="21"/>
                <w:lang w:val="en-US" w:eastAsia="zh-CN"/>
              </w:rPr>
              <w:t>投标单位配备专门人员对应我司的咨询与对接。</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tabs>
                <w:tab w:val="left" w:pos="413"/>
              </w:tabs>
              <w:jc w:val="center"/>
              <w:rPr>
                <w:rFonts w:hint="default" w:ascii="宋体" w:hAnsi="宋体" w:eastAsia="宋体" w:cs="宋体"/>
                <w:lang w:val="en-US" w:eastAsia="zh-CN"/>
              </w:rPr>
            </w:pPr>
            <w:r>
              <w:rPr>
                <w:rFonts w:hint="eastAsia" w:ascii="宋体" w:hAnsi="宋体" w:cs="宋体"/>
                <w:b/>
                <w:bCs/>
                <w:lang w:val="en-US" w:eastAsia="zh-CN"/>
              </w:rPr>
              <w:t>3.3</w:t>
            </w:r>
          </w:p>
        </w:tc>
        <w:tc>
          <w:tcPr>
            <w:tcW w:w="6975" w:type="dxa"/>
            <w:vAlign w:val="center"/>
          </w:tcPr>
          <w:p>
            <w:pPr>
              <w:jc w:val="left"/>
              <w:rPr>
                <w:rFonts w:hint="default" w:ascii="宋体" w:hAnsi="宋体" w:cs="宋体"/>
                <w:szCs w:val="21"/>
                <w:lang w:val="en-US" w:eastAsia="zh-CN"/>
              </w:rPr>
            </w:pPr>
            <w:r>
              <w:rPr>
                <w:rFonts w:hint="eastAsia" w:ascii="宋体" w:hAnsi="宋体" w:cs="宋体"/>
                <w:b/>
                <w:bCs/>
                <w:szCs w:val="21"/>
                <w:lang w:val="en-US" w:eastAsia="zh-CN"/>
              </w:rPr>
              <w:t>索赔</w:t>
            </w:r>
          </w:p>
        </w:tc>
        <w:tc>
          <w:tcPr>
            <w:tcW w:w="1290" w:type="dxa"/>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23</w:t>
            </w:r>
          </w:p>
        </w:tc>
        <w:tc>
          <w:tcPr>
            <w:tcW w:w="6975" w:type="dxa"/>
            <w:vAlign w:val="center"/>
          </w:tcPr>
          <w:p>
            <w:pPr>
              <w:jc w:val="left"/>
              <w:rPr>
                <w:rFonts w:hint="default" w:ascii="宋体" w:hAnsi="宋体" w:cs="宋体"/>
                <w:lang w:val="en-US"/>
              </w:rPr>
            </w:pPr>
            <w:r>
              <w:rPr>
                <w:rFonts w:hint="eastAsia" w:ascii="宋体" w:hAnsi="宋体" w:cs="宋体"/>
                <w:szCs w:val="21"/>
                <w:lang w:val="en-US" w:eastAsia="zh-CN"/>
              </w:rPr>
              <w:t>投标单位对时效延误，运输破损等非我司原因造成的客户拒收负责，并全额赔偿我司和客户损失。</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b/>
                <w:bCs/>
                <w:lang w:val="en-US" w:eastAsia="zh-CN"/>
              </w:rPr>
              <w:t>3.4</w:t>
            </w:r>
          </w:p>
        </w:tc>
        <w:tc>
          <w:tcPr>
            <w:tcW w:w="6975" w:type="dxa"/>
            <w:vAlign w:val="center"/>
          </w:tcPr>
          <w:p>
            <w:pPr>
              <w:jc w:val="left"/>
              <w:rPr>
                <w:rFonts w:hint="default" w:ascii="宋体" w:hAnsi="宋体" w:cs="宋体"/>
                <w:szCs w:val="21"/>
                <w:lang w:val="en-US" w:eastAsia="zh-CN"/>
              </w:rPr>
            </w:pPr>
            <w:r>
              <w:rPr>
                <w:rFonts w:hint="eastAsia" w:ascii="宋体" w:hAnsi="宋体" w:cs="宋体"/>
                <w:b/>
                <w:bCs/>
                <w:szCs w:val="21"/>
                <w:lang w:val="en-US" w:eastAsia="zh-CN"/>
              </w:rPr>
              <w:t>时效</w:t>
            </w:r>
          </w:p>
        </w:tc>
        <w:tc>
          <w:tcPr>
            <w:tcW w:w="1290" w:type="dxa"/>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color w:val="auto"/>
                <w:lang w:val="en-US" w:eastAsia="zh-CN"/>
              </w:rPr>
            </w:pPr>
            <w:r>
              <w:rPr>
                <w:rFonts w:hint="eastAsia" w:ascii="宋体" w:hAnsi="宋体" w:cs="宋体"/>
                <w:color w:val="auto"/>
              </w:rPr>
              <w:t>URS</w:t>
            </w:r>
            <w:r>
              <w:rPr>
                <w:rFonts w:hint="eastAsia" w:ascii="宋体" w:hAnsi="宋体" w:cs="宋体"/>
                <w:color w:val="auto"/>
                <w:lang w:val="en-US" w:eastAsia="zh-CN"/>
              </w:rPr>
              <w:t>24</w:t>
            </w:r>
          </w:p>
        </w:tc>
        <w:tc>
          <w:tcPr>
            <w:tcW w:w="6975" w:type="dxa"/>
            <w:vAlign w:val="center"/>
          </w:tcPr>
          <w:p>
            <w:pPr>
              <w:jc w:val="left"/>
              <w:rPr>
                <w:rFonts w:hint="default" w:ascii="宋体" w:hAnsi="宋体" w:cs="宋体"/>
                <w:color w:val="auto"/>
                <w:lang w:val="en-US"/>
              </w:rPr>
            </w:pPr>
            <w:r>
              <w:rPr>
                <w:rFonts w:hint="eastAsia" w:ascii="宋体" w:hAnsi="宋体" w:cs="宋体"/>
                <w:szCs w:val="21"/>
                <w:lang w:val="en-US" w:eastAsia="zh-CN"/>
              </w:rPr>
              <w:t>投标单位严格遵守合同承诺时效，超过时效按照</w:t>
            </w:r>
          </w:p>
        </w:tc>
        <w:tc>
          <w:tcPr>
            <w:tcW w:w="1290" w:type="dxa"/>
            <w:vAlign w:val="center"/>
          </w:tcPr>
          <w:p>
            <w:pPr>
              <w:jc w:val="center"/>
              <w:rPr>
                <w:rFonts w:ascii="宋体" w:hAnsi="宋体" w:cs="宋体"/>
                <w:color w:val="auto"/>
              </w:rPr>
            </w:pPr>
            <w:r>
              <w:rPr>
                <w:rFonts w:hint="eastAsia" w:ascii="宋体" w:hAnsi="宋体" w:cs="宋体"/>
                <w:color w:val="auto"/>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color w:val="auto"/>
              </w:rPr>
            </w:pPr>
            <w:r>
              <w:rPr>
                <w:rFonts w:hint="eastAsia" w:ascii="宋体" w:hAnsi="宋体" w:cs="宋体"/>
                <w:b/>
                <w:bCs/>
                <w:lang w:val="en-US" w:eastAsia="zh-CN"/>
              </w:rPr>
              <w:t>3.5</w:t>
            </w:r>
          </w:p>
        </w:tc>
        <w:tc>
          <w:tcPr>
            <w:tcW w:w="6975" w:type="dxa"/>
            <w:vAlign w:val="center"/>
          </w:tcPr>
          <w:p>
            <w:pPr>
              <w:jc w:val="left"/>
              <w:rPr>
                <w:rFonts w:hint="default" w:ascii="宋体" w:hAnsi="宋体" w:cs="宋体"/>
                <w:szCs w:val="21"/>
                <w:lang w:val="en-US" w:eastAsia="zh-CN"/>
              </w:rPr>
            </w:pPr>
            <w:r>
              <w:rPr>
                <w:rFonts w:hint="eastAsia" w:ascii="宋体" w:hAnsi="宋体" w:cs="宋体"/>
                <w:b/>
                <w:bCs/>
                <w:szCs w:val="21"/>
                <w:lang w:val="en-US" w:eastAsia="zh-CN"/>
              </w:rPr>
              <w:t>其他</w:t>
            </w:r>
          </w:p>
        </w:tc>
        <w:tc>
          <w:tcPr>
            <w:tcW w:w="1290" w:type="dxa"/>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color w:val="auto"/>
                <w:lang w:val="en-US" w:eastAsia="zh-CN"/>
              </w:rPr>
            </w:pPr>
            <w:r>
              <w:rPr>
                <w:rFonts w:hint="eastAsia" w:ascii="宋体" w:hAnsi="宋体" w:cs="宋体"/>
                <w:color w:val="auto"/>
              </w:rPr>
              <w:t>URS</w:t>
            </w:r>
            <w:r>
              <w:rPr>
                <w:rFonts w:hint="eastAsia" w:ascii="宋体" w:hAnsi="宋体" w:cs="宋体"/>
                <w:color w:val="auto"/>
                <w:lang w:val="en-US" w:eastAsia="zh-CN"/>
              </w:rPr>
              <w:t>25</w:t>
            </w:r>
          </w:p>
        </w:tc>
        <w:tc>
          <w:tcPr>
            <w:tcW w:w="6975" w:type="dxa"/>
            <w:vAlign w:val="center"/>
          </w:tcPr>
          <w:p>
            <w:pPr>
              <w:jc w:val="left"/>
              <w:rPr>
                <w:rFonts w:hint="default" w:ascii="宋体" w:hAnsi="宋体" w:cs="宋体"/>
                <w:color w:val="auto"/>
                <w:lang w:val="en-US"/>
              </w:rPr>
            </w:pPr>
            <w:r>
              <w:rPr>
                <w:rFonts w:hint="eastAsia" w:ascii="宋体" w:hAnsi="宋体" w:cs="宋体"/>
                <w:szCs w:val="21"/>
                <w:lang w:val="en-US" w:eastAsia="zh-CN"/>
              </w:rPr>
              <w:t>投标单位在运输过程出现各种问题应与我司沟通，并有应急预案。</w:t>
            </w:r>
          </w:p>
        </w:tc>
        <w:tc>
          <w:tcPr>
            <w:tcW w:w="1290" w:type="dxa"/>
            <w:vAlign w:val="center"/>
          </w:tcPr>
          <w:p>
            <w:pPr>
              <w:jc w:val="center"/>
              <w:rPr>
                <w:rFonts w:hint="eastAsia" w:ascii="宋体" w:hAnsi="宋体" w:cs="宋体"/>
                <w:color w:val="auto"/>
              </w:rPr>
            </w:pPr>
            <w:r>
              <w:rPr>
                <w:rFonts w:hint="eastAsia" w:ascii="宋体" w:hAnsi="宋体" w:cs="宋体"/>
                <w:color w:val="auto"/>
              </w:rPr>
              <w:t>必须</w:t>
            </w:r>
          </w:p>
        </w:tc>
      </w:tr>
    </w:tbl>
    <w:p>
      <w:pPr>
        <w:pStyle w:val="20"/>
        <w:rPr>
          <w:rFonts w:hint="eastAsia"/>
          <w:lang w:val="en-US" w:eastAsia="zh-CN"/>
        </w:rPr>
      </w:pPr>
    </w:p>
    <w:p>
      <w:pPr>
        <w:pStyle w:val="2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070D65"/>
    <w:rsid w:val="025D3C33"/>
    <w:rsid w:val="0299777A"/>
    <w:rsid w:val="031B3B28"/>
    <w:rsid w:val="03310133"/>
    <w:rsid w:val="033A7147"/>
    <w:rsid w:val="034072F4"/>
    <w:rsid w:val="03D33F78"/>
    <w:rsid w:val="05BD6C4F"/>
    <w:rsid w:val="068A051E"/>
    <w:rsid w:val="07714A42"/>
    <w:rsid w:val="084367D4"/>
    <w:rsid w:val="084E0615"/>
    <w:rsid w:val="08E36DB2"/>
    <w:rsid w:val="09545AC8"/>
    <w:rsid w:val="0AFF4E4A"/>
    <w:rsid w:val="0B933243"/>
    <w:rsid w:val="0BD842AB"/>
    <w:rsid w:val="0BEE13A6"/>
    <w:rsid w:val="0D792EAC"/>
    <w:rsid w:val="0D8D0EA8"/>
    <w:rsid w:val="0E175D7C"/>
    <w:rsid w:val="0E8F45F1"/>
    <w:rsid w:val="100F10E1"/>
    <w:rsid w:val="114C6D7B"/>
    <w:rsid w:val="119D1D5C"/>
    <w:rsid w:val="124848DD"/>
    <w:rsid w:val="12AF40AF"/>
    <w:rsid w:val="143E54A0"/>
    <w:rsid w:val="149208C7"/>
    <w:rsid w:val="17493924"/>
    <w:rsid w:val="17524BB4"/>
    <w:rsid w:val="17634B0D"/>
    <w:rsid w:val="17DD21C5"/>
    <w:rsid w:val="1A060CD7"/>
    <w:rsid w:val="1A6A2B36"/>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9A209C"/>
    <w:rsid w:val="24C741C2"/>
    <w:rsid w:val="25350541"/>
    <w:rsid w:val="258B1F8D"/>
    <w:rsid w:val="268E2E7C"/>
    <w:rsid w:val="27A02191"/>
    <w:rsid w:val="27E04F0C"/>
    <w:rsid w:val="28240F4B"/>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179271E"/>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F6744C"/>
    <w:rsid w:val="635D0E7E"/>
    <w:rsid w:val="63827325"/>
    <w:rsid w:val="639F5962"/>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6FED5D17"/>
    <w:rsid w:val="706F08A3"/>
    <w:rsid w:val="70977707"/>
    <w:rsid w:val="71033854"/>
    <w:rsid w:val="711663FD"/>
    <w:rsid w:val="714D5CAB"/>
    <w:rsid w:val="73951FFE"/>
    <w:rsid w:val="73BA04D5"/>
    <w:rsid w:val="753B3AE9"/>
    <w:rsid w:val="76190D95"/>
    <w:rsid w:val="770478DC"/>
    <w:rsid w:val="773C186D"/>
    <w:rsid w:val="78BC2324"/>
    <w:rsid w:val="78CC6D3B"/>
    <w:rsid w:val="78DC67E8"/>
    <w:rsid w:val="792340C6"/>
    <w:rsid w:val="7AAB15D2"/>
    <w:rsid w:val="7B6706DA"/>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10369</Words>
  <Characters>10968</Characters>
  <Lines>243</Lines>
  <Paragraphs>68</Paragraphs>
  <TotalTime>24</TotalTime>
  <ScaleCrop>false</ScaleCrop>
  <LinksUpToDate>false</LinksUpToDate>
  <CharactersWithSpaces>11425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2025-06-23T07:52:44Z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