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WKZB-2025-032</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塑铝盖</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塑铝盖</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WKZB-2025-032</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8276"/>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塑铝盖</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6931"/>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塑铝盖</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塑铝盖</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塑铝盖</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商入围塑铝盖项目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21816"/>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233102490"/>
      <w:bookmarkStart w:id="36" w:name="_Toc179632544"/>
      <w:bookmarkStart w:id="37" w:name="_Toc152042303"/>
      <w:bookmarkStart w:id="38" w:name="_Toc390940505"/>
      <w:bookmarkStart w:id="39" w:name="_Toc109736026"/>
      <w:bookmarkStart w:id="40" w:name="_Toc25653"/>
      <w:bookmarkStart w:id="41" w:name="_Toc144974495"/>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44974496"/>
      <w:bookmarkStart w:id="44" w:name="_Toc152042304"/>
      <w:bookmarkStart w:id="45" w:name="_Toc109736027"/>
      <w:bookmarkStart w:id="46" w:name="_Toc18804"/>
      <w:bookmarkStart w:id="47" w:name="_Toc233102491"/>
      <w:bookmarkStart w:id="48" w:name="_Toc20399"/>
      <w:bookmarkStart w:id="49" w:name="_Toc152045528"/>
      <w:bookmarkStart w:id="50" w:name="_Toc179632545"/>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bookmarkStart w:id="451" w:name="_GoBack"/>
            <w:bookmarkEnd w:id="451"/>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520356143"/>
      <w:bookmarkStart w:id="54" w:name="_Toc109736028"/>
      <w:bookmarkStart w:id="55" w:name="_Toc152042305"/>
      <w:bookmarkStart w:id="56" w:name="_Toc233102492"/>
      <w:bookmarkStart w:id="57" w:name="_Toc179632546"/>
      <w:bookmarkStart w:id="58" w:name="_Toc144974497"/>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2757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541"/>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30223"/>
      <w:bookmarkStart w:id="70" w:name="_Toc52035614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216582806"/>
      <w:bookmarkStart w:id="77" w:name="_Toc1810"/>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20356153"/>
      <w:bookmarkStart w:id="103" w:name="_Toc51636702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Toc109736042"/>
      <w:bookmarkStart w:id="110" w:name="_Ref467306513"/>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216582808"/>
      <w:bookmarkStart w:id="119" w:name="_Toc520356159"/>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109736049"/>
      <w:bookmarkStart w:id="129" w:name="_Toc23762"/>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109736055"/>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062"/>
      <w:bookmarkStart w:id="156" w:name="_Ref467306978"/>
      <w:bookmarkStart w:id="157" w:name="_Toc520356175"/>
      <w:bookmarkStart w:id="158" w:name="_Toc109736060"/>
      <w:bookmarkStart w:id="159" w:name="_Ref467307204"/>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214"/>
      <w:bookmarkStart w:id="172" w:name="_Ref467379109"/>
      <w:bookmarkStart w:id="173" w:name="_Ref467379225"/>
      <w:bookmarkStart w:id="174" w:name="_Ref467379094"/>
      <w:bookmarkStart w:id="175" w:name="_Ref467379205"/>
      <w:bookmarkStart w:id="176" w:name="_Ref467379195"/>
      <w:bookmarkStart w:id="177" w:name="_Ref467378499"/>
      <w:bookmarkStart w:id="178" w:name="_Ref467378463"/>
      <w:bookmarkStart w:id="179" w:name="_Toc415222497"/>
      <w:bookmarkStart w:id="180" w:name="_Toc487900349"/>
      <w:bookmarkStart w:id="181" w:name="_Ref467379101"/>
      <w:bookmarkStart w:id="182" w:name="_Ref467378404"/>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15222498"/>
      <w:bookmarkStart w:id="189" w:name="_Toc487900350"/>
      <w:bookmarkStart w:id="190" w:name="_Toc31740"/>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10492"/>
      <w:bookmarkStart w:id="193" w:name="_Toc487900351"/>
      <w:bookmarkStart w:id="194" w:name="_Toc415222499"/>
      <w:bookmarkStart w:id="195" w:name="_Toc2425"/>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1323"/>
      <w:bookmarkStart w:id="202" w:name="_Toc415222501"/>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11864"/>
      <w:bookmarkStart w:id="205" w:name="_Toc487900354"/>
      <w:bookmarkStart w:id="206" w:name="_Ref467378591"/>
      <w:bookmarkStart w:id="207" w:name="_Toc415222502"/>
      <w:bookmarkStart w:id="208" w:name="_Toc18715"/>
      <w:bookmarkStart w:id="209" w:name="_Ref467379542"/>
      <w:bookmarkStart w:id="210" w:name="_Ref467379536"/>
      <w:bookmarkStart w:id="211" w:name="_Ref467378541"/>
      <w:bookmarkStart w:id="212" w:name="_Ref467379527"/>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6625"/>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807"/>
      <w:bookmarkStart w:id="219" w:name="_Toc415222504"/>
      <w:bookmarkStart w:id="220" w:name="_Toc15361"/>
      <w:bookmarkStart w:id="221" w:name="_Toc487900357"/>
      <w:bookmarkStart w:id="222" w:name="_Ref467379793"/>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Ref467379923"/>
      <w:bookmarkStart w:id="226" w:name="_Ref467379852"/>
      <w:bookmarkStart w:id="227" w:name="_Toc415222505"/>
      <w:bookmarkStart w:id="228" w:name="_Toc1380"/>
      <w:bookmarkStart w:id="229" w:name="_Toc487900358"/>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Ref467379946"/>
      <w:bookmarkStart w:id="233" w:name="_Toc28649"/>
      <w:bookmarkStart w:id="234" w:name="_Ref467377962"/>
      <w:bookmarkStart w:id="235" w:name="_Ref467377798"/>
      <w:bookmarkStart w:id="236" w:name="_Toc15447"/>
      <w:bookmarkStart w:id="237" w:name="_Toc487900359"/>
      <w:bookmarkStart w:id="238" w:name="_Ref46737993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7155"/>
      <w:bookmarkStart w:id="242" w:name="_Toc415222507"/>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87900361"/>
      <w:bookmarkStart w:id="245" w:name="_Toc415222508"/>
      <w:bookmarkStart w:id="246" w:name="_Toc31728"/>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487900362"/>
      <w:bookmarkStart w:id="251" w:name="_Toc15086"/>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19929"/>
      <w:bookmarkStart w:id="255" w:name="_Toc3725"/>
      <w:bookmarkStart w:id="256" w:name="_Toc415222510"/>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6322"/>
      <w:bookmarkStart w:id="259" w:name="_Toc22040"/>
      <w:bookmarkStart w:id="260" w:name="_Toc415222511"/>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29320"/>
      <w:bookmarkStart w:id="264" w:name="_Toc487900365"/>
      <w:bookmarkStart w:id="265" w:name="_Toc175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16231"/>
      <w:bookmarkStart w:id="273" w:name="_Toc487900367"/>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487900368"/>
      <w:bookmarkStart w:id="278" w:name="_Toc23904"/>
      <w:bookmarkStart w:id="279" w:name="_Toc2206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1038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87900370"/>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737"/>
      <w:bookmarkStart w:id="290" w:name="_Toc487900371"/>
      <w:bookmarkStart w:id="291" w:name="_Toc14345"/>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30523"/>
      <w:bookmarkStart w:id="294" w:name="_Toc415222519"/>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3747"/>
      <w:bookmarkStart w:id="298" w:name="_Toc28567"/>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415222522"/>
      <w:bookmarkStart w:id="305" w:name="_Toc31958"/>
      <w:bookmarkStart w:id="306" w:name="_Toc26939"/>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9175623"/>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7454"/>
      <w:bookmarkStart w:id="315" w:name="_Toc15903"/>
      <w:bookmarkStart w:id="316" w:name="_Toc220229326"/>
      <w:bookmarkStart w:id="317" w:name="_Toc220229431"/>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5329"/>
      <w:bookmarkStart w:id="339" w:name="_Toc415222524"/>
      <w:bookmarkStart w:id="340" w:name="_Toc216582813"/>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29788"/>
      <w:bookmarkStart w:id="346" w:name="_Toc520356218"/>
      <w:bookmarkStart w:id="347" w:name="_Ref467988705"/>
      <w:bookmarkStart w:id="348" w:name="_Toc480942350"/>
      <w:bookmarkStart w:id="349" w:name="_Toc415222525"/>
      <w:bookmarkStart w:id="350" w:name="_Toc109736070"/>
      <w:bookmarkStart w:id="351" w:name="_Toc216582814"/>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塑铝盖</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WKZB-2025-032</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425"/>
        <w:gridCol w:w="1608"/>
        <w:gridCol w:w="1608"/>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1"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2"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1"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塑铝盖</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易撕定向塑铝组合盖</w:t>
            </w:r>
            <w:r>
              <w:rPr>
                <w:rFonts w:hint="eastAsia" w:ascii="宋体" w:hAnsi="宋体" w:eastAsia="宋体" w:cs="宋体"/>
                <w:i w:val="0"/>
                <w:iCs w:val="0"/>
                <w:color w:val="000000"/>
                <w:kern w:val="0"/>
                <w:sz w:val="22"/>
                <w:szCs w:val="22"/>
                <w:u w:val="none"/>
                <w:lang w:val="en-US" w:eastAsia="zh-CN" w:bidi="ar"/>
              </w:rPr>
              <w:t>￠20</w:t>
            </w: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1"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塑铝盖</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非易撕定向塑铝组合盖</w:t>
            </w:r>
            <w:r>
              <w:rPr>
                <w:rFonts w:hint="eastAsia" w:ascii="宋体" w:hAnsi="宋体" w:eastAsia="宋体" w:cs="宋体"/>
                <w:i w:val="0"/>
                <w:iCs w:val="0"/>
                <w:color w:val="000000"/>
                <w:kern w:val="0"/>
                <w:sz w:val="22"/>
                <w:szCs w:val="22"/>
                <w:u w:val="none"/>
                <w:lang w:val="en-US" w:eastAsia="zh-CN" w:bidi="ar"/>
              </w:rPr>
              <w:t>￠20</w:t>
            </w: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1"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塑铝盖</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非易撕定向塑铝组合盖</w:t>
            </w:r>
            <w:r>
              <w:rPr>
                <w:rFonts w:hint="eastAsia" w:ascii="宋体" w:hAnsi="宋体" w:eastAsia="宋体" w:cs="宋体"/>
                <w:i w:val="0"/>
                <w:iCs w:val="0"/>
                <w:color w:val="000000"/>
                <w:kern w:val="0"/>
                <w:sz w:val="22"/>
                <w:szCs w:val="22"/>
                <w:u w:val="none"/>
                <w:lang w:val="en-US" w:eastAsia="zh-CN" w:bidi="ar"/>
              </w:rPr>
              <w:t>￠28</w:t>
            </w: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2"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1"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新开模具</w:t>
            </w:r>
          </w:p>
        </w:tc>
        <w:tc>
          <w:tcPr>
            <w:tcW w:w="4378" w:type="pct"/>
            <w:gridSpan w:val="4"/>
            <w:tcBorders>
              <w:left w:val="single" w:color="auto" w:sz="4" w:space="0"/>
              <w:bottom w:val="single" w:color="auto" w:sz="4" w:space="0"/>
            </w:tcBorders>
            <w:vAlign w:val="center"/>
          </w:tcPr>
          <w:p>
            <w:pPr>
              <w:spacing w:line="380" w:lineRule="exact"/>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可免费开模具？套</w:t>
            </w:r>
          </w:p>
          <w:p>
            <w:pPr>
              <w:pStyle w:val="2"/>
              <w:tabs>
                <w:tab w:val="left" w:pos="3452"/>
              </w:tabs>
              <w:ind w:left="0" w:leftChars="0" w:firstLine="0" w:firstLineChars="0"/>
              <w:jc w:val="left"/>
              <w:rPr>
                <w:rFonts w:hint="default"/>
                <w:lang w:val="en-US" w:eastAsia="zh-CN"/>
              </w:rPr>
            </w:pPr>
            <w:r>
              <w:rPr>
                <w:rFonts w:hint="eastAsia" w:ascii="仿宋" w:hAnsi="仿宋" w:eastAsia="仿宋" w:cs="仿宋"/>
                <w:sz w:val="24"/>
                <w:highlight w:val="none"/>
                <w:lang w:val="en-US" w:eastAsia="zh-CN"/>
              </w:rPr>
              <w:t>其他新开模具费用？元/套，返还开模费要求为：？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216582818"/>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塑铝盖</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WKZB-2025-032</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塑铝盖</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WKZB-2025-032</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415222530"/>
      <w:bookmarkStart w:id="364" w:name="_Toc216582819"/>
      <w:bookmarkStart w:id="365" w:name="_Toc13093"/>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50918"/>
      <w:bookmarkEnd w:id="369"/>
      <w:bookmarkStart w:id="370" w:name="_Hlt520274121"/>
      <w:bookmarkEnd w:id="370"/>
      <w:bookmarkStart w:id="371" w:name="_Hlt520271212"/>
      <w:bookmarkEnd w:id="371"/>
      <w:bookmarkStart w:id="372" w:name="_Hlt520273973"/>
      <w:bookmarkEnd w:id="372"/>
      <w:bookmarkStart w:id="373" w:name="_Hlt520273711"/>
      <w:bookmarkEnd w:id="373"/>
      <w:bookmarkStart w:id="374" w:name="_Hlt520274393"/>
      <w:bookmarkEnd w:id="374"/>
      <w:bookmarkStart w:id="375" w:name="_Hlt520274065"/>
      <w:bookmarkEnd w:id="375"/>
      <w:bookmarkStart w:id="376" w:name="_Hlt520350957"/>
      <w:bookmarkEnd w:id="376"/>
      <w:bookmarkStart w:id="377" w:name="_Hlt520343000"/>
      <w:bookmarkEnd w:id="377"/>
      <w:bookmarkStart w:id="378" w:name="_Hlt520274407"/>
      <w:bookmarkEnd w:id="378"/>
      <w:bookmarkStart w:id="379" w:name="_Hlt520343392"/>
      <w:bookmarkEnd w:id="379"/>
      <w:bookmarkStart w:id="380" w:name="_Toc2581"/>
      <w:bookmarkStart w:id="381" w:name="_Toc520125062"/>
      <w:bookmarkStart w:id="382" w:name="_Toc520125061"/>
      <w:bookmarkStart w:id="383" w:name="_Toc520356229"/>
      <w:bookmarkStart w:id="384" w:name="_Ref467988485"/>
      <w:bookmarkStart w:id="385" w:name="_Ref467990058"/>
      <w:bookmarkStart w:id="386" w:name="_Ref467988471"/>
      <w:bookmarkStart w:id="387" w:name="_Toc520356228"/>
      <w:bookmarkStart w:id="388" w:name="_Ref467988479"/>
      <w:bookmarkStart w:id="389" w:name="_Ref467990101"/>
      <w:bookmarkStart w:id="390" w:name="_Ref467990064"/>
      <w:bookmarkStart w:id="391" w:name="_Toc480942357"/>
      <w:bookmarkStart w:id="392" w:name="_Toc480942358"/>
      <w:bookmarkStart w:id="393" w:name="_Ref467990100"/>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塑铝盖</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WKZB-2025-032</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20229434"/>
      <w:bookmarkStart w:id="406" w:name="_Toc109736075"/>
      <w:bookmarkStart w:id="407" w:name="_Toc218935355"/>
      <w:bookmarkStart w:id="408" w:name="_Toc219175639"/>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1561"/>
      <w:bookmarkStart w:id="416" w:name="_Toc18725"/>
      <w:bookmarkStart w:id="417" w:name="_Toc61418267"/>
      <w:bookmarkStart w:id="418" w:name="_Toc188181412"/>
      <w:r>
        <w:rPr>
          <w:rFonts w:hint="eastAsia" w:ascii="宋体" w:hAnsi="宋体" w:eastAsia="宋体" w:cs="Times New Roman"/>
          <w:b/>
          <w:caps w:val="0"/>
          <w:kern w:val="28"/>
          <w:sz w:val="30"/>
          <w:szCs w:val="30"/>
          <w:lang w:val="fr-FR" w:eastAsia="zh-CN" w:bidi="ar-SA"/>
        </w:rPr>
        <w:t>目的</w:t>
      </w:r>
      <w:bookmarkEnd w:id="415"/>
      <w:bookmarkEnd w:id="416"/>
    </w:p>
    <w:bookmarkEnd w:id="417"/>
    <w:bookmarkEnd w:id="418"/>
    <w:p>
      <w:pPr>
        <w:widowControl/>
        <w:spacing w:before="120" w:beforeLines="50"/>
        <w:ind w:firstLine="400" w:firstLineChars="200"/>
        <w:jc w:val="left"/>
        <w:rPr>
          <w:rFonts w:hint="eastAsia" w:ascii="宋体" w:hAnsi="宋体" w:eastAsia="宋体"/>
          <w:kern w:val="0"/>
          <w:sz w:val="20"/>
          <w:szCs w:val="20"/>
          <w:lang w:val="fr-FR"/>
        </w:rPr>
      </w:pPr>
      <w:bookmarkStart w:id="419" w:name="_Hlk528847756"/>
      <w:bookmarkStart w:id="420" w:name="_Toc28598"/>
      <w:r>
        <w:rPr>
          <w:rFonts w:ascii="宋体" w:hAnsi="宋体" w:eastAsia="宋体"/>
          <w:kern w:val="0"/>
          <w:sz w:val="20"/>
          <w:szCs w:val="20"/>
          <w:lang w:val="fr-FR"/>
        </w:rPr>
        <w:t>本</w:t>
      </w:r>
      <w:r>
        <w:rPr>
          <w:rFonts w:hint="eastAsia" w:ascii="宋体" w:hAnsi="宋体" w:eastAsia="宋体"/>
          <w:kern w:val="0"/>
          <w:sz w:val="20"/>
          <w:szCs w:val="20"/>
          <w:lang w:val="fr-FR"/>
        </w:rPr>
        <w:t>URS</w:t>
      </w:r>
      <w:r>
        <w:rPr>
          <w:rFonts w:ascii="宋体" w:hAnsi="宋体" w:eastAsia="宋体"/>
          <w:kern w:val="0"/>
          <w:sz w:val="20"/>
          <w:szCs w:val="20"/>
          <w:lang w:val="fr-FR"/>
        </w:rPr>
        <w:t>文件旨在以文件的形式描述</w:t>
      </w:r>
      <w:r>
        <w:rPr>
          <w:rFonts w:hint="eastAsia" w:ascii="宋体" w:hAnsi="宋体" w:eastAsia="宋体"/>
          <w:kern w:val="0"/>
          <w:sz w:val="20"/>
          <w:szCs w:val="20"/>
          <w:lang w:val="en-US" w:eastAsia="zh-CN"/>
        </w:rPr>
        <w:t>国药集团扬州生物有限公司铝塑盖</w:t>
      </w:r>
      <w:r>
        <w:rPr>
          <w:rFonts w:ascii="宋体" w:hAnsi="宋体" w:eastAsia="宋体"/>
          <w:kern w:val="0"/>
          <w:sz w:val="20"/>
          <w:szCs w:val="20"/>
          <w:lang w:val="fr-FR"/>
        </w:rPr>
        <w:t>需要。包括</w:t>
      </w:r>
      <w:r>
        <w:rPr>
          <w:rFonts w:hint="eastAsia" w:ascii="宋体" w:hAnsi="宋体" w:eastAsia="宋体"/>
          <w:kern w:val="0"/>
          <w:sz w:val="20"/>
          <w:szCs w:val="20"/>
          <w:lang w:val="en-US" w:eastAsia="zh-CN"/>
        </w:rPr>
        <w:t>主要技术规格</w:t>
      </w:r>
      <w:r>
        <w:rPr>
          <w:rFonts w:ascii="宋体" w:hAnsi="宋体" w:eastAsia="宋体"/>
          <w:kern w:val="0"/>
          <w:sz w:val="20"/>
          <w:szCs w:val="20"/>
          <w:lang w:val="fr-FR"/>
        </w:rPr>
        <w:t>、</w:t>
      </w:r>
      <w:r>
        <w:rPr>
          <w:rFonts w:hint="eastAsia" w:ascii="宋体" w:hAnsi="宋体" w:eastAsia="宋体"/>
          <w:kern w:val="0"/>
          <w:sz w:val="20"/>
          <w:szCs w:val="20"/>
          <w:lang w:val="en-US" w:eastAsia="zh-CN"/>
        </w:rPr>
        <w:t>外观、</w:t>
      </w:r>
      <w:r>
        <w:rPr>
          <w:rFonts w:hint="eastAsia" w:ascii="宋体" w:hAnsi="宋体" w:eastAsia="宋体" w:cs="Times New Roman"/>
          <w:kern w:val="0"/>
          <w:sz w:val="20"/>
          <w:szCs w:val="20"/>
          <w:lang w:val="en-US" w:eastAsia="zh-CN"/>
        </w:rPr>
        <w:t>凸</w:t>
      </w:r>
      <w:r>
        <w:rPr>
          <w:rFonts w:hint="eastAsia" w:ascii="宋体" w:hAnsi="宋体" w:eastAsia="宋体"/>
          <w:kern w:val="0"/>
          <w:sz w:val="20"/>
          <w:szCs w:val="20"/>
          <w:lang w:val="en-US" w:eastAsia="zh-CN"/>
        </w:rPr>
        <w:t>边、配合性、涂层、供货要求</w:t>
      </w:r>
      <w:r>
        <w:rPr>
          <w:rFonts w:ascii="宋体" w:hAnsi="宋体" w:eastAsia="宋体"/>
          <w:kern w:val="0"/>
          <w:sz w:val="20"/>
          <w:szCs w:val="20"/>
          <w:lang w:val="fr-FR"/>
        </w:rPr>
        <w:t>等方面</w:t>
      </w:r>
      <w:r>
        <w:rPr>
          <w:rFonts w:hint="eastAsia" w:ascii="宋体" w:hAnsi="宋体" w:eastAsia="宋体"/>
          <w:kern w:val="0"/>
          <w:sz w:val="20"/>
          <w:szCs w:val="20"/>
          <w:lang w:val="fr-FR"/>
        </w:rPr>
        <w:t>，</w:t>
      </w:r>
      <w:r>
        <w:rPr>
          <w:rFonts w:ascii="宋体" w:hAnsi="宋体" w:eastAsia="宋体"/>
          <w:kern w:val="0"/>
          <w:sz w:val="20"/>
          <w:szCs w:val="20"/>
          <w:lang w:val="fr-FR"/>
        </w:rPr>
        <w:t>是合同等商业行为后续技术、质量体系工作的基础</w:t>
      </w:r>
      <w:r>
        <w:rPr>
          <w:rFonts w:hint="eastAsia" w:ascii="宋体" w:hAnsi="宋体" w:eastAsia="宋体"/>
          <w:kern w:val="0"/>
          <w:sz w:val="20"/>
          <w:szCs w:val="20"/>
          <w:lang w:val="fr-FR"/>
        </w:rPr>
        <w:t>，并</w:t>
      </w:r>
      <w:r>
        <w:rPr>
          <w:rFonts w:ascii="宋体" w:hAnsi="宋体" w:eastAsia="宋体"/>
          <w:kern w:val="0"/>
          <w:sz w:val="20"/>
          <w:szCs w:val="20"/>
          <w:lang w:val="fr-FR"/>
        </w:rPr>
        <w:t>将作为</w:t>
      </w:r>
      <w:r>
        <w:rPr>
          <w:rFonts w:hint="eastAsia" w:ascii="宋体" w:hAnsi="宋体" w:eastAsia="宋体"/>
          <w:kern w:val="0"/>
          <w:sz w:val="20"/>
          <w:szCs w:val="20"/>
          <w:lang w:val="en-US"/>
        </w:rPr>
        <w:t>最后</w:t>
      </w:r>
      <w:r>
        <w:rPr>
          <w:rFonts w:ascii="宋体" w:hAnsi="宋体" w:eastAsia="宋体"/>
          <w:kern w:val="0"/>
          <w:sz w:val="20"/>
          <w:szCs w:val="20"/>
          <w:lang w:val="fr-FR"/>
        </w:rPr>
        <w:t>验收的依据。</w:t>
      </w:r>
      <w:r>
        <w:rPr>
          <w:rFonts w:hint="eastAsia" w:ascii="宋体" w:hAnsi="宋体" w:eastAsia="宋体"/>
          <w:kern w:val="0"/>
          <w:sz w:val="20"/>
          <w:szCs w:val="20"/>
          <w:lang w:val="fr-FR"/>
        </w:rPr>
        <w:t>以</w:t>
      </w:r>
      <w:r>
        <w:rPr>
          <w:rFonts w:ascii="宋体" w:hAnsi="宋体" w:eastAsia="宋体"/>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1" w:name="_Toc716"/>
      <w:r>
        <w:rPr>
          <w:rFonts w:hint="eastAsia" w:ascii="宋体" w:hAnsi="宋体" w:eastAsia="宋体" w:cs="Times New Roman"/>
          <w:b/>
          <w:caps/>
          <w:kern w:val="28"/>
          <w:sz w:val="30"/>
          <w:szCs w:val="30"/>
          <w:lang w:val="en-US" w:eastAsia="zh-CN" w:bidi="ar-SA"/>
        </w:rPr>
        <w:t>范围</w:t>
      </w:r>
      <w:bookmarkEnd w:id="420"/>
      <w:bookmarkEnd w:id="421"/>
    </w:p>
    <w:p>
      <w:pPr>
        <w:keepNext/>
        <w:widowControl/>
        <w:spacing w:before="240" w:after="60"/>
        <w:jc w:val="left"/>
        <w:outlineLvl w:val="0"/>
        <w:rPr>
          <w:rFonts w:hint="eastAsia" w:ascii="宋体" w:hAnsi="宋体" w:eastAsia="宋体"/>
          <w:kern w:val="0"/>
          <w:sz w:val="20"/>
          <w:szCs w:val="20"/>
          <w:highlight w:val="yellow"/>
          <w:lang w:val="fr-FR"/>
        </w:rPr>
      </w:pPr>
      <w:bookmarkStart w:id="422" w:name="_Hlk528847449"/>
      <w:r>
        <w:rPr>
          <w:rFonts w:hint="eastAsia" w:ascii="宋体" w:hAnsi="宋体" w:eastAsia="宋体"/>
          <w:kern w:val="0"/>
          <w:sz w:val="20"/>
          <w:szCs w:val="20"/>
          <w:lang w:val="en-US"/>
        </w:rPr>
        <w:t>用于规定</w:t>
      </w:r>
      <w:r>
        <w:rPr>
          <w:rFonts w:hint="eastAsia" w:ascii="宋体" w:hAnsi="宋体" w:eastAsia="宋体"/>
          <w:kern w:val="0"/>
          <w:sz w:val="20"/>
          <w:szCs w:val="20"/>
          <w:lang w:val="en-US" w:eastAsia="zh-CN"/>
        </w:rPr>
        <w:t>不同规格铝塑盖</w:t>
      </w:r>
      <w:r>
        <w:rPr>
          <w:rFonts w:hint="eastAsia" w:ascii="宋体" w:hAnsi="宋体" w:eastAsia="宋体"/>
          <w:kern w:val="0"/>
          <w:sz w:val="20"/>
          <w:szCs w:val="20"/>
          <w:lang w:val="en-US"/>
        </w:rPr>
        <w:t>的质量</w:t>
      </w:r>
      <w:r>
        <w:rPr>
          <w:rFonts w:hint="eastAsia" w:ascii="宋体" w:hAnsi="宋体" w:eastAsia="宋体"/>
          <w:kern w:val="0"/>
          <w:sz w:val="20"/>
          <w:szCs w:val="20"/>
          <w:lang w:val="en-US" w:eastAsia="zh-CN"/>
        </w:rPr>
        <w:t>要求</w:t>
      </w:r>
      <w:r>
        <w:rPr>
          <w:rFonts w:hint="eastAsia" w:ascii="宋体" w:hAnsi="宋体" w:eastAsia="宋体"/>
          <w:kern w:val="0"/>
          <w:sz w:val="20"/>
          <w:szCs w:val="20"/>
          <w:lang w:val="fr-FR"/>
        </w:rPr>
        <w:t>。</w:t>
      </w:r>
    </w:p>
    <w:bookmarkEnd w:id="422"/>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3" w:name="_Toc16805"/>
      <w:bookmarkStart w:id="424" w:name="_Toc26852"/>
      <w:r>
        <w:rPr>
          <w:rFonts w:hint="eastAsia" w:ascii="宋体" w:hAnsi="宋体" w:eastAsia="宋体" w:cs="Times New Roman"/>
          <w:b/>
          <w:caps/>
          <w:kern w:val="28"/>
          <w:sz w:val="30"/>
          <w:szCs w:val="30"/>
          <w:lang w:val="fr-FR" w:eastAsia="zh-CN" w:bidi="ar-SA"/>
        </w:rPr>
        <w:t>定义和缩略语</w:t>
      </w:r>
      <w:bookmarkEnd w:id="423"/>
      <w:bookmarkEnd w:id="424"/>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kern w:val="0"/>
                <w:sz w:val="24"/>
                <w:szCs w:val="24"/>
                <w:lang w:val="fr-FR"/>
              </w:rPr>
            </w:pPr>
            <w:bookmarkStart w:id="425" w:name="_Hlk528847918"/>
            <w:r>
              <w:rPr>
                <w:rFonts w:ascii="宋体" w:hAnsi="宋体" w:eastAsia="宋体"/>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kern w:val="0"/>
                <w:sz w:val="24"/>
                <w:szCs w:val="24"/>
                <w:lang w:val="fr-FR"/>
              </w:rPr>
            </w:pPr>
            <w:r>
              <w:rPr>
                <w:rFonts w:ascii="宋体" w:hAnsi="宋体" w:eastAsia="宋体"/>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GMP</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FDA</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URS</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WHO</w:t>
            </w:r>
          </w:p>
        </w:tc>
        <w:tc>
          <w:tcPr>
            <w:tcW w:w="7371" w:type="dxa"/>
            <w:noWrap w:val="0"/>
            <w:vAlign w:val="center"/>
          </w:tcPr>
          <w:p>
            <w:pPr>
              <w:widowControl/>
              <w:jc w:val="left"/>
              <w:rPr>
                <w:rFonts w:ascii="宋体" w:hAnsi="宋体" w:eastAsia="宋体"/>
                <w:kern w:val="0"/>
                <w:sz w:val="20"/>
                <w:szCs w:val="20"/>
                <w:lang w:val="fr-FR"/>
              </w:rPr>
            </w:pPr>
            <w:r>
              <w:rPr>
                <w:rFonts w:ascii="宋体" w:hAnsi="宋体" w:eastAsia="宋体"/>
                <w:kern w:val="0"/>
                <w:sz w:val="20"/>
                <w:szCs w:val="20"/>
                <w:lang w:val="fr-FR"/>
              </w:rPr>
              <w:t>World Health Organization 世界卫生组织</w:t>
            </w:r>
          </w:p>
        </w:tc>
      </w:tr>
      <w:bookmarkEnd w:id="425"/>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6" w:name="_Toc14542"/>
      <w:bookmarkStart w:id="427" w:name="_Toc20878"/>
      <w:r>
        <w:rPr>
          <w:rFonts w:hint="eastAsia" w:ascii="宋体" w:hAnsi="宋体" w:eastAsia="宋体" w:cs="Times New Roman"/>
          <w:b/>
          <w:caps/>
          <w:color w:val="000000"/>
          <w:kern w:val="28"/>
          <w:sz w:val="30"/>
          <w:szCs w:val="30"/>
          <w:lang w:val="en-US" w:eastAsia="zh-CN" w:bidi="ar-SA"/>
        </w:rPr>
        <w:t>技术规格</w:t>
      </w:r>
      <w:bookmarkEnd w:id="426"/>
      <w:bookmarkEnd w:id="427"/>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olor w:val="000000"/>
          <w:kern w:val="0"/>
          <w:sz w:val="20"/>
          <w:szCs w:val="20"/>
          <w:lang w:val="en-US"/>
        </w:rPr>
        <w:t>URS中用户仅提出基本的质量要求，并未涵盖和限制制造商所提供的产品具有更高的制造标准。制造方的产品应满足国家有关</w:t>
      </w:r>
      <w:r>
        <w:rPr>
          <w:rFonts w:hint="eastAsia" w:ascii="宋体" w:hAnsi="宋体" w:eastAsia="宋体"/>
          <w:color w:val="000000"/>
          <w:kern w:val="0"/>
          <w:sz w:val="20"/>
          <w:szCs w:val="20"/>
          <w:lang w:val="en-US" w:eastAsia="zh-CN"/>
        </w:rPr>
        <w:t>规定</w:t>
      </w:r>
      <w:r>
        <w:rPr>
          <w:rFonts w:hint="eastAsia" w:ascii="宋体" w:hAnsi="宋体" w:eastAsia="宋体"/>
          <w:color w:val="000000"/>
          <w:kern w:val="0"/>
          <w:sz w:val="20"/>
          <w:szCs w:val="20"/>
          <w:lang w:val="en-US"/>
        </w:rPr>
        <w:t>、规程、规范和强制性标准要求。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ind w:firstLine="400" w:firstLineChars="200"/>
        <w:jc w:val="left"/>
        <w:rPr>
          <w:rFonts w:hint="eastAsia" w:ascii="宋体" w:hAnsi="宋体" w:eastAsia="宋体" w:cs="Arial"/>
          <w:kern w:val="0"/>
          <w:sz w:val="20"/>
          <w:szCs w:val="21"/>
          <w:lang w:val="fr-FR"/>
        </w:rPr>
      </w:pPr>
      <w:r>
        <w:rPr>
          <w:rFonts w:hint="eastAsia" w:ascii="宋体" w:hAnsi="宋体" w:eastAsia="宋体" w:cs="Arial"/>
          <w:kern w:val="0"/>
          <w:sz w:val="20"/>
          <w:szCs w:val="21"/>
          <w:lang w:val="fr-FR"/>
        </w:rPr>
        <w:t>兽药</w:t>
      </w:r>
      <w:r>
        <w:rPr>
          <w:rFonts w:ascii="宋体" w:hAnsi="宋体" w:eastAsia="宋体" w:cs="Arial"/>
          <w:kern w:val="0"/>
          <w:sz w:val="20"/>
          <w:szCs w:val="21"/>
          <w:lang w:val="fr-FR"/>
        </w:rPr>
        <w:t>生产质量管理规范</w:t>
      </w:r>
      <w:r>
        <w:rPr>
          <w:rFonts w:hint="eastAsia" w:ascii="宋体" w:hAnsi="宋体" w:eastAsia="宋体" w:cs="Arial"/>
          <w:kern w:val="0"/>
          <w:sz w:val="20"/>
          <w:szCs w:val="21"/>
          <w:lang w:val="fr-FR"/>
        </w:rPr>
        <w:t>2020年版</w:t>
      </w:r>
    </w:p>
    <w:p>
      <w:pPr>
        <w:widowControl/>
        <w:jc w:val="left"/>
        <w:rPr>
          <w:rFonts w:hint="default" w:ascii="宋体" w:hAnsi="宋体" w:eastAsia="宋体" w:cs="Arial"/>
          <w:kern w:val="0"/>
          <w:sz w:val="20"/>
          <w:szCs w:val="21"/>
          <w:lang w:val="en-US" w:eastAsia="zh-CN"/>
        </w:rPr>
      </w:pPr>
      <w:r>
        <w:rPr>
          <w:rFonts w:hint="eastAsia" w:ascii="宋体" w:hAnsi="宋体" w:eastAsia="宋体" w:cs="Arial"/>
          <w:kern w:val="0"/>
          <w:sz w:val="20"/>
          <w:szCs w:val="21"/>
          <w:lang w:val="en-US" w:eastAsia="zh-CN"/>
        </w:rPr>
        <w:t xml:space="preserve">    </w:t>
      </w:r>
      <w:r>
        <w:rPr>
          <w:rFonts w:hint="eastAsia" w:eastAsia="宋体"/>
          <w:bCs/>
          <w:kern w:val="0"/>
          <w:sz w:val="20"/>
          <w:szCs w:val="21"/>
          <w:lang w:val="fr-FR"/>
        </w:rPr>
        <w:t>中华人民共和国兽药典2015年版</w:t>
      </w:r>
    </w:p>
    <w:p>
      <w:pPr>
        <w:widowControl/>
        <w:jc w:val="left"/>
        <w:rPr>
          <w:rFonts w:hint="eastAsia" w:eastAsia="宋体"/>
          <w:kern w:val="0"/>
          <w:sz w:val="20"/>
          <w:szCs w:val="20"/>
          <w:lang w:val="fr-FR"/>
        </w:rPr>
      </w:pP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 xml:space="preserve"> 质量标准</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原料</w:t>
      </w:r>
    </w:p>
    <w:p>
      <w:pPr>
        <w:widowControl/>
        <w:ind w:firstLine="400" w:firstLineChars="20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铝合金和塑料</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bookmarkStart w:id="428" w:name="_Toc21956"/>
      <w:bookmarkStart w:id="429" w:name="_Toc24623"/>
      <w:bookmarkStart w:id="430" w:name="_Toc19342"/>
      <w:bookmarkStart w:id="431" w:name="_Toc15484"/>
      <w:bookmarkStart w:id="432" w:name="_Toc24397"/>
      <w:bookmarkStart w:id="433" w:name="_Toc10735"/>
      <w:bookmarkStart w:id="434" w:name="_Toc1419"/>
      <w:bookmarkStart w:id="435" w:name="_Toc28088407"/>
      <w:bookmarkStart w:id="436" w:name="_Toc725"/>
      <w:bookmarkStart w:id="437" w:name="_Toc16200"/>
      <w:bookmarkStart w:id="438" w:name="_Toc1578"/>
      <w:bookmarkStart w:id="439" w:name="_Toc31970"/>
      <w:bookmarkStart w:id="440" w:name="_Toc25464"/>
      <w:r>
        <w:rPr>
          <w:rFonts w:hint="eastAsia" w:ascii="Times New Roman" w:hAnsi="Times New Roman" w:eastAsia="宋体" w:cs="Times New Roman"/>
          <w:i/>
          <w:sz w:val="24"/>
          <w:lang w:val="en-US" w:eastAsia="zh-CN" w:bidi="ar-SA"/>
        </w:rPr>
        <w:t>主要技术规格</w:t>
      </w:r>
      <w:bookmarkEnd w:id="428"/>
      <w:bookmarkEnd w:id="429"/>
      <w:bookmarkEnd w:id="430"/>
      <w:bookmarkEnd w:id="431"/>
      <w:bookmarkEnd w:id="432"/>
      <w:bookmarkEnd w:id="433"/>
      <w:bookmarkEnd w:id="434"/>
      <w:bookmarkEnd w:id="435"/>
      <w:bookmarkEnd w:id="436"/>
      <w:bookmarkEnd w:id="437"/>
      <w:bookmarkEnd w:id="438"/>
      <w:bookmarkEnd w:id="439"/>
      <w:bookmarkEnd w:id="440"/>
    </w:p>
    <w:p>
      <w:pPr>
        <w:widowControl/>
        <w:ind w:firstLine="400" w:firstLineChars="200"/>
        <w:jc w:val="left"/>
        <w:rPr>
          <w:rFonts w:hint="eastAsia" w:ascii="Times New Roman" w:hAnsi="Times New Roman" w:eastAsia="宋体" w:cs="Times New Roman"/>
          <w:bCs/>
          <w:kern w:val="0"/>
          <w:sz w:val="20"/>
          <w:szCs w:val="21"/>
          <w:lang w:val="fr-FR"/>
        </w:rPr>
      </w:pPr>
      <w:r>
        <w:rPr>
          <w:rFonts w:hint="eastAsia" w:ascii="Times New Roman" w:hAnsi="Times New Roman" w:eastAsia="宋体" w:cs="Times New Roman"/>
          <w:bCs/>
          <w:kern w:val="0"/>
          <w:sz w:val="20"/>
          <w:szCs w:val="21"/>
          <w:lang w:val="fr-FR"/>
        </w:rPr>
        <w:t>Ø20：</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内 径：19.90±0.10mm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外 径：22.10±0.20mm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内 高：7.50±0.10mm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材  厚 度：0.19±0.01mm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组合盖总高：8.70±0.10mm</w:t>
      </w:r>
    </w:p>
    <w:p>
      <w:pPr>
        <w:widowControl/>
        <w:ind w:firstLine="400" w:firstLineChars="200"/>
        <w:jc w:val="left"/>
        <w:rPr>
          <w:rFonts w:hint="eastAsia" w:ascii="Times New Roman" w:hAnsi="Times New Roman" w:eastAsia="宋体" w:cs="Times New Roman"/>
          <w:bCs/>
          <w:kern w:val="0"/>
          <w:sz w:val="20"/>
          <w:szCs w:val="21"/>
          <w:lang w:val="en-GB"/>
        </w:rPr>
      </w:pPr>
    </w:p>
    <w:p>
      <w:pPr>
        <w:widowControl/>
        <w:ind w:firstLine="400" w:firstLineChars="200"/>
        <w:jc w:val="left"/>
        <w:rPr>
          <w:rFonts w:hint="eastAsia" w:ascii="Times New Roman" w:hAnsi="Times New Roman" w:eastAsia="宋体" w:cs="Times New Roman"/>
          <w:bCs/>
          <w:kern w:val="0"/>
          <w:sz w:val="20"/>
          <w:szCs w:val="21"/>
          <w:lang w:val="en-GB"/>
        </w:rPr>
      </w:pPr>
    </w:p>
    <w:p>
      <w:pPr>
        <w:widowControl/>
        <w:ind w:firstLine="400" w:firstLineChars="200"/>
        <w:jc w:val="left"/>
        <w:rPr>
          <w:rFonts w:hint="eastAsia" w:ascii="Times New Roman" w:hAnsi="Times New Roman" w:eastAsia="宋体" w:cs="Times New Roman"/>
          <w:bCs/>
          <w:kern w:val="0"/>
          <w:sz w:val="20"/>
          <w:szCs w:val="21"/>
          <w:lang w:val="en-US" w:eastAsia="zh-CN"/>
        </w:rPr>
      </w:pPr>
      <w:r>
        <w:rPr>
          <w:rFonts w:hint="eastAsia" w:ascii="Times New Roman" w:hAnsi="Times New Roman" w:eastAsia="宋体" w:cs="Times New Roman"/>
          <w:bCs/>
          <w:kern w:val="0"/>
          <w:sz w:val="20"/>
          <w:szCs w:val="21"/>
          <w:lang w:val="fr-FR"/>
        </w:rPr>
        <w:t>Ø2</w:t>
      </w:r>
      <w:r>
        <w:rPr>
          <w:rFonts w:hint="eastAsia" w:ascii="Times New Roman" w:hAnsi="Times New Roman" w:eastAsia="宋体" w:cs="Times New Roman"/>
          <w:bCs/>
          <w:kern w:val="0"/>
          <w:sz w:val="20"/>
          <w:szCs w:val="21"/>
          <w:lang w:val="en-US" w:eastAsia="zh-CN"/>
        </w:rPr>
        <w:t>8：</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内 径：28.60±0.10mm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外 径：31.20±0.20mm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材  厚 度：0.20±0.01mm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铝 盖  内 高：9.50±0.10mm</w:t>
      </w:r>
    </w:p>
    <w:p>
      <w:pPr>
        <w:widowControl/>
        <w:ind w:firstLine="400" w:firstLineChars="20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组合盖总高：10.60±0.40mm</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US" w:eastAsia="zh-CN" w:bidi="ar-SA"/>
        </w:rPr>
        <w:t>外观</w:t>
      </w:r>
    </w:p>
    <w:p>
      <w:pPr>
        <w:widowControl/>
        <w:numPr>
          <w:ilvl w:val="0"/>
          <w:numId w:val="16"/>
        </w:numPr>
        <w:ind w:left="420" w:leftChars="0" w:hanging="420" w:firstLineChars="0"/>
        <w:jc w:val="left"/>
        <w:rPr>
          <w:rFonts w:hint="eastAsia" w:ascii="Times New Roman" w:hAnsi="Times New Roman" w:eastAsia="宋体" w:cs="Times New Roman"/>
          <w:bCs/>
          <w:kern w:val="0"/>
          <w:sz w:val="20"/>
          <w:szCs w:val="21"/>
          <w:lang w:val="en-US" w:eastAsia="zh-CN"/>
        </w:rPr>
      </w:pPr>
      <w:r>
        <w:rPr>
          <w:rFonts w:hint="eastAsia" w:ascii="Times New Roman" w:hAnsi="Times New Roman" w:eastAsia="宋体" w:cs="Times New Roman"/>
          <w:bCs/>
          <w:kern w:val="0"/>
          <w:sz w:val="20"/>
          <w:szCs w:val="21"/>
          <w:lang w:val="en-GB"/>
        </w:rPr>
        <w:t>在自然光线明亮处目测，应清洁，无残留润滑剂、切边刀口平整，无毛刺</w:t>
      </w:r>
      <w:r>
        <w:rPr>
          <w:rFonts w:hint="eastAsia" w:ascii="Times New Roman" w:hAnsi="Times New Roman" w:eastAsia="宋体" w:cs="Times New Roman"/>
          <w:bCs/>
          <w:kern w:val="0"/>
          <w:sz w:val="20"/>
          <w:szCs w:val="21"/>
          <w:lang w:val="en-GB" w:eastAsia="zh-CN"/>
        </w:rPr>
        <w:t>、无</w:t>
      </w:r>
      <w:r>
        <w:rPr>
          <w:rFonts w:hint="eastAsia" w:ascii="Times New Roman" w:hAnsi="Times New Roman" w:eastAsia="宋体" w:cs="Times New Roman"/>
          <w:bCs/>
          <w:kern w:val="0"/>
          <w:sz w:val="20"/>
          <w:szCs w:val="21"/>
          <w:lang w:val="en-US" w:eastAsia="zh-CN"/>
        </w:rPr>
        <w:t>变形</w:t>
      </w:r>
      <w:r>
        <w:rPr>
          <w:rFonts w:hint="eastAsia" w:ascii="Times New Roman" w:hAnsi="Times New Roman" w:eastAsia="宋体" w:cs="Times New Roman"/>
          <w:bCs/>
          <w:kern w:val="0"/>
          <w:sz w:val="20"/>
          <w:szCs w:val="21"/>
          <w:lang w:val="en-GB"/>
        </w:rPr>
        <w:t>和损伤，铝盖涂膜不能有不均匀的或脱落现象；塑料件应与铝件完整结合。外观检测不合格率＜万分之一。</w:t>
      </w:r>
    </w:p>
    <w:p>
      <w:pPr>
        <w:keepNext/>
        <w:numPr>
          <w:ilvl w:val="2"/>
          <w:numId w:val="15"/>
        </w:numPr>
        <w:bidi w:val="0"/>
        <w:spacing w:before="240" w:beforeLines="0" w:after="60" w:afterLines="0"/>
        <w:outlineLvl w:val="2"/>
        <w:rPr>
          <w:rFonts w:hint="eastAsia" w:ascii="Times New Roman" w:hAnsi="Times New Roman" w:eastAsia="宋体" w:cs="Times New Roman"/>
          <w:bCs/>
          <w:i/>
          <w:sz w:val="24"/>
          <w:szCs w:val="21"/>
          <w:lang w:val="en-US" w:eastAsia="zh-CN" w:bidi="ar-SA"/>
        </w:rPr>
      </w:pPr>
      <w:r>
        <w:rPr>
          <w:rFonts w:hint="eastAsia" w:ascii="Times New Roman" w:hAnsi="Times New Roman" w:eastAsia="宋体" w:cs="Times New Roman"/>
          <w:i/>
          <w:sz w:val="24"/>
          <w:lang w:val="fr-FR" w:eastAsia="zh-CN" w:bidi="ar-SA"/>
        </w:rPr>
        <w:t>凸边</w:t>
      </w:r>
    </w:p>
    <w:p>
      <w:pPr>
        <w:widowControl/>
        <w:numPr>
          <w:ilvl w:val="0"/>
          <w:numId w:val="17"/>
        </w:numPr>
        <w:ind w:left="420" w:leftChars="0" w:hanging="420" w:firstLineChars="0"/>
        <w:jc w:val="left"/>
        <w:rPr>
          <w:rFonts w:hint="eastAsia" w:ascii="Times New Roman" w:hAnsi="Times New Roman" w:eastAsia="宋体" w:cs="Times New Roman"/>
          <w:bCs/>
          <w:kern w:val="0"/>
          <w:sz w:val="20"/>
          <w:szCs w:val="21"/>
          <w:lang w:val="en-US" w:eastAsia="zh-CN"/>
        </w:rPr>
      </w:pPr>
      <w:r>
        <w:rPr>
          <w:rFonts w:hint="eastAsia" w:ascii="Times New Roman" w:hAnsi="Times New Roman" w:eastAsia="宋体" w:cs="Times New Roman"/>
          <w:bCs/>
          <w:kern w:val="0"/>
          <w:sz w:val="20"/>
          <w:szCs w:val="21"/>
          <w:lang w:val="en-GB"/>
        </w:rPr>
        <w:t>铝盖用游标卡尺测量，精确至0.1mm，铝盖铝件的凸边应不大于3%</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fr-FR" w:eastAsia="zh-CN" w:bidi="ar-SA"/>
        </w:rPr>
        <w:t>清洗灭菌</w:t>
      </w:r>
    </w:p>
    <w:p>
      <w:pPr>
        <w:widowControl/>
        <w:numPr>
          <w:ilvl w:val="0"/>
          <w:numId w:val="18"/>
        </w:numPr>
        <w:ind w:left="420" w:leftChars="0" w:hanging="420" w:firstLineChars="0"/>
        <w:jc w:val="left"/>
        <w:rPr>
          <w:rFonts w:hint="eastAsia" w:ascii="Times New Roman" w:hAnsi="Times New Roman" w:eastAsia="宋体" w:cs="Times New Roman"/>
          <w:bCs/>
          <w:kern w:val="0"/>
          <w:sz w:val="20"/>
          <w:szCs w:val="21"/>
          <w:lang w:val="en-GB"/>
        </w:rPr>
      </w:pPr>
      <w:r>
        <w:rPr>
          <w:rFonts w:hint="eastAsia" w:ascii="Times New Roman" w:hAnsi="Times New Roman" w:eastAsia="宋体" w:cs="Times New Roman"/>
          <w:bCs/>
          <w:kern w:val="0"/>
          <w:sz w:val="20"/>
          <w:szCs w:val="21"/>
          <w:lang w:val="en-GB"/>
        </w:rPr>
        <w:t>经清洗表面应无变化。</w:t>
      </w:r>
    </w:p>
    <w:p>
      <w:pPr>
        <w:widowControl/>
        <w:numPr>
          <w:ilvl w:val="0"/>
          <w:numId w:val="18"/>
        </w:numPr>
        <w:ind w:left="420" w:leftChars="0" w:hanging="420" w:firstLineChars="0"/>
        <w:jc w:val="left"/>
        <w:rPr>
          <w:rFonts w:hint="eastAsia" w:ascii="Times New Roman" w:hAnsi="Times New Roman" w:eastAsia="宋体" w:cs="Times New Roman"/>
          <w:bCs/>
          <w:kern w:val="0"/>
          <w:sz w:val="20"/>
          <w:szCs w:val="21"/>
          <w:lang w:val="en-US"/>
        </w:rPr>
      </w:pPr>
      <w:r>
        <w:rPr>
          <w:rFonts w:hint="eastAsia" w:ascii="Times New Roman" w:hAnsi="Times New Roman" w:eastAsia="宋体" w:cs="Times New Roman"/>
          <w:bCs/>
          <w:kern w:val="0"/>
          <w:sz w:val="20"/>
          <w:szCs w:val="21"/>
          <w:lang w:val="en-GB"/>
        </w:rPr>
        <w:t>耐灭菌  铝盖经121℃±2℃ 30min，包含130℃±2℃ 5min蒸汽灭菌后塑料件应无变形、变色，铝件表面不应有明显变化。</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fr-FR" w:eastAsia="zh-CN" w:bidi="ar-SA"/>
        </w:rPr>
        <w:t>配合性</w:t>
      </w:r>
    </w:p>
    <w:p>
      <w:pPr>
        <w:widowControl/>
        <w:numPr>
          <w:ilvl w:val="0"/>
          <w:numId w:val="18"/>
        </w:numPr>
        <w:ind w:left="420" w:leftChars="0" w:hanging="420" w:firstLineChars="0"/>
        <w:jc w:val="left"/>
        <w:rPr>
          <w:rFonts w:hint="eastAsia" w:ascii="Times New Roman" w:hAnsi="Times New Roman" w:eastAsia="宋体" w:cs="Times New Roman"/>
          <w:bCs/>
          <w:kern w:val="0"/>
          <w:sz w:val="20"/>
          <w:szCs w:val="21"/>
          <w:lang w:val="en-US"/>
        </w:rPr>
      </w:pPr>
      <w:r>
        <w:rPr>
          <w:rFonts w:hint="eastAsia" w:ascii="Times New Roman" w:hAnsi="Times New Roman" w:eastAsia="宋体" w:cs="Times New Roman"/>
          <w:bCs/>
          <w:kern w:val="0"/>
          <w:sz w:val="20"/>
          <w:szCs w:val="21"/>
          <w:lang w:val="en-GB"/>
        </w:rPr>
        <w:t>铝盖盖在相适宜的装有公称容量水的瓶上（含胶塞），用封盖装置封盖，应配合适宜。</w:t>
      </w:r>
    </w:p>
    <w:p>
      <w:pPr>
        <w:keepNext/>
        <w:numPr>
          <w:ilvl w:val="2"/>
          <w:numId w:val="15"/>
        </w:numPr>
        <w:bidi w:val="0"/>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fr-FR" w:eastAsia="zh-CN" w:bidi="ar-SA"/>
        </w:rPr>
        <w:t>涂层</w:t>
      </w:r>
    </w:p>
    <w:p>
      <w:pPr>
        <w:widowControl/>
        <w:numPr>
          <w:ilvl w:val="0"/>
          <w:numId w:val="18"/>
        </w:numPr>
        <w:ind w:left="420" w:leftChars="0" w:hanging="420" w:firstLineChars="0"/>
        <w:jc w:val="left"/>
        <w:rPr>
          <w:rFonts w:hint="eastAsia" w:ascii="Times New Roman" w:hAnsi="Times New Roman" w:eastAsia="宋体" w:cs="Times New Roman"/>
          <w:bCs/>
          <w:kern w:val="0"/>
          <w:sz w:val="20"/>
          <w:szCs w:val="21"/>
          <w:lang w:val="en-US"/>
        </w:rPr>
      </w:pPr>
      <w:r>
        <w:rPr>
          <w:rFonts w:hint="eastAsia" w:ascii="Times New Roman" w:hAnsi="Times New Roman" w:eastAsia="宋体" w:cs="Times New Roman"/>
          <w:bCs/>
          <w:kern w:val="0"/>
          <w:sz w:val="20"/>
          <w:szCs w:val="21"/>
          <w:lang w:val="en-GB"/>
        </w:rPr>
        <w:t>铝盖（外表面有涂层）经121℃±2℃ 30min，包含130℃±2℃5min蒸汽灭菌后，去除塑料件，用浸有80%（V/V）乙醇溶液的脱脂棉擦拭表面30秒，再用浸有70%（V/V）异丙醇溶液的脱脂棉擦拭表面30秒，涂层应无任何磨损。</w:t>
      </w:r>
    </w:p>
    <w:p>
      <w:pPr>
        <w:widowControl/>
        <w:numPr>
          <w:ilvl w:val="0"/>
          <w:numId w:val="0"/>
        </w:numPr>
        <w:ind w:leftChars="0"/>
        <w:jc w:val="left"/>
        <w:rPr>
          <w:rFonts w:hint="eastAsia" w:ascii="Times New Roman" w:hAnsi="Times New Roman" w:eastAsia="宋体" w:cs="Times New Roman"/>
          <w:bCs/>
          <w:kern w:val="0"/>
          <w:sz w:val="20"/>
          <w:szCs w:val="21"/>
          <w:lang w:val="en-US" w:eastAsia="zh-CN"/>
        </w:rPr>
      </w:pP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贮藏</w:t>
      </w:r>
    </w:p>
    <w:p>
      <w:pPr>
        <w:widowControl/>
        <w:jc w:val="left"/>
        <w:rPr>
          <w:rFonts w:hint="default" w:eastAsia="宋体"/>
          <w:kern w:val="0"/>
          <w:sz w:val="20"/>
          <w:szCs w:val="20"/>
          <w:lang w:val="en-US" w:eastAsia="zh-CN"/>
        </w:rPr>
      </w:pPr>
      <w:r>
        <w:rPr>
          <w:rFonts w:hint="eastAsia" w:eastAsia="宋体"/>
          <w:kern w:val="0"/>
          <w:sz w:val="20"/>
          <w:szCs w:val="20"/>
          <w:lang w:val="en-US" w:eastAsia="zh-CN"/>
        </w:rPr>
        <w:t>常温保存。</w:t>
      </w: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en-US" w:eastAsia="zh-CN" w:bidi="ar-SA"/>
        </w:rPr>
      </w:pPr>
      <w:r>
        <w:rPr>
          <w:rFonts w:hint="eastAsia" w:ascii="Times New Roman" w:hAnsi="Times New Roman" w:eastAsia="宋体" w:cs="Times New Roman"/>
          <w:b/>
          <w:caps/>
          <w:kern w:val="28"/>
          <w:sz w:val="30"/>
          <w:lang w:val="en-US" w:eastAsia="zh-CN" w:bidi="ar-SA"/>
        </w:rPr>
        <w:t xml:space="preserve"> </w:t>
      </w:r>
      <w:bookmarkStart w:id="441" w:name="_Toc14378"/>
      <w:bookmarkStart w:id="442" w:name="_Toc7805"/>
      <w:bookmarkStart w:id="443" w:name="_Toc18380"/>
      <w:bookmarkStart w:id="444" w:name="_Toc1632"/>
      <w:bookmarkStart w:id="445" w:name="_Toc4397"/>
      <w:bookmarkStart w:id="446" w:name="_Toc14427"/>
      <w:bookmarkStart w:id="447" w:name="_Toc12097"/>
      <w:bookmarkStart w:id="448" w:name="_Toc31950"/>
      <w:bookmarkStart w:id="449" w:name="_Toc6441"/>
      <w:bookmarkStart w:id="450" w:name="_Toc4723"/>
      <w:r>
        <w:rPr>
          <w:rFonts w:hint="eastAsia" w:ascii="Times New Roman" w:hAnsi="Times New Roman" w:eastAsia="宋体" w:cs="Times New Roman"/>
          <w:b/>
          <w:caps/>
          <w:kern w:val="28"/>
          <w:sz w:val="30"/>
          <w:lang w:val="en-US" w:eastAsia="zh-CN" w:bidi="ar-SA"/>
        </w:rPr>
        <w:t>异常情况处理</w:t>
      </w:r>
      <w:bookmarkEnd w:id="441"/>
      <w:bookmarkEnd w:id="442"/>
      <w:bookmarkEnd w:id="443"/>
      <w:bookmarkEnd w:id="444"/>
      <w:bookmarkEnd w:id="445"/>
      <w:bookmarkEnd w:id="446"/>
      <w:bookmarkEnd w:id="447"/>
      <w:bookmarkEnd w:id="448"/>
      <w:bookmarkEnd w:id="449"/>
      <w:bookmarkEnd w:id="450"/>
    </w:p>
    <w:p>
      <w:pPr>
        <w:widowControl/>
        <w:jc w:val="left"/>
        <w:rPr>
          <w:rFonts w:hint="eastAsia" w:eastAsia="宋体"/>
          <w:kern w:val="0"/>
          <w:sz w:val="20"/>
          <w:szCs w:val="20"/>
          <w:lang w:val="en-GB"/>
        </w:rPr>
      </w:pPr>
      <w:r>
        <w:rPr>
          <w:rFonts w:hint="eastAsia" w:ascii="Times New Roman" w:hAnsi="Times New Roman" w:eastAsia="宋体" w:cs="Times New Roman"/>
          <w:kern w:val="0"/>
          <w:sz w:val="20"/>
          <w:szCs w:val="20"/>
          <w:lang w:val="en-US" w:eastAsia="zh-CN"/>
        </w:rPr>
        <w:t>当检验结果出现异常时，复检或启动偏差调查。若确认为</w:t>
      </w:r>
      <w:r>
        <w:rPr>
          <w:rFonts w:hint="eastAsia" w:eastAsia="宋体"/>
          <w:kern w:val="0"/>
          <w:sz w:val="20"/>
          <w:szCs w:val="20"/>
          <w:lang w:val="en-US" w:eastAsia="zh-CN"/>
        </w:rPr>
        <w:t>供试品的</w:t>
      </w:r>
      <w:r>
        <w:rPr>
          <w:rFonts w:hint="eastAsia" w:ascii="Times New Roman" w:hAnsi="Times New Roman" w:eastAsia="宋体" w:cs="Times New Roman"/>
          <w:kern w:val="0"/>
          <w:sz w:val="20"/>
          <w:szCs w:val="20"/>
          <w:lang w:val="en-US" w:eastAsia="zh-CN"/>
        </w:rPr>
        <w:t>质量原因导致的结果异常，则相关部门与供应商沟通，采取相应措施。</w:t>
      </w:r>
    </w:p>
    <w:p>
      <w:pPr>
        <w:widowControl/>
        <w:jc w:val="left"/>
        <w:rPr>
          <w:rFonts w:hint="eastAsia" w:eastAsia="宋体"/>
          <w:kern w:val="0"/>
          <w:sz w:val="20"/>
          <w:szCs w:val="20"/>
          <w:lang w:val="en-US" w:eastAsia="zh-CN"/>
        </w:rPr>
      </w:pPr>
    </w:p>
    <w:p>
      <w:pPr>
        <w:keepNext/>
        <w:numPr>
          <w:ilvl w:val="0"/>
          <w:numId w:val="15"/>
        </w:numPr>
        <w:spacing w:before="240" w:beforeLines="0" w:after="60" w:afterLines="0"/>
        <w:outlineLvl w:val="0"/>
        <w:rPr>
          <w:rFonts w:hint="eastAsia" w:ascii="宋体" w:hAnsi="宋体" w:eastAsia="宋体" w:cs="Times New Roman"/>
          <w:b/>
          <w:caps/>
          <w:color w:val="000000"/>
          <w:kern w:val="28"/>
          <w:sz w:val="30"/>
          <w:szCs w:val="30"/>
          <w:lang w:val="en-US" w:eastAsia="zh-CN" w:bidi="ar-SA"/>
        </w:rPr>
      </w:pPr>
      <w:r>
        <w:rPr>
          <w:rFonts w:hint="eastAsia" w:ascii="宋体" w:hAnsi="宋体" w:eastAsia="宋体" w:cs="Times New Roman"/>
          <w:b/>
          <w:caps/>
          <w:color w:val="000000"/>
          <w:kern w:val="28"/>
          <w:sz w:val="30"/>
          <w:szCs w:val="30"/>
          <w:lang w:val="en-US" w:eastAsia="zh-CN" w:bidi="ar-SA"/>
        </w:rPr>
        <w:t>供货要求</w:t>
      </w:r>
    </w:p>
    <w:p>
      <w:pPr>
        <w:widowControl/>
        <w:spacing w:line="360" w:lineRule="auto"/>
        <w:jc w:val="left"/>
        <w:rPr>
          <w:rFonts w:eastAsia="宋体"/>
          <w:kern w:val="0"/>
          <w:sz w:val="24"/>
          <w:szCs w:val="20"/>
          <w:lang w:val="fr-FR"/>
        </w:rPr>
      </w:pPr>
      <w:r>
        <w:rPr>
          <w:rFonts w:hint="eastAsia" w:ascii="宋体" w:hAnsi="宋体" w:eastAsia="宋体" w:cs="宋体"/>
          <w:kern w:val="0"/>
          <w:sz w:val="20"/>
          <w:szCs w:val="20"/>
          <w:lang w:val="en-US" w:eastAsia="zh-CN"/>
        </w:rPr>
        <w:t>1.生产厂家年产能应＞1500万个。确保在接收到订单计划后10日内向本公司完成供货。</w:t>
      </w:r>
    </w:p>
    <w:p>
      <w:pPr>
        <w:widowControl/>
        <w:numPr>
          <w:ilvl w:val="0"/>
          <w:numId w:val="0"/>
        </w:numPr>
        <w:spacing w:line="360" w:lineRule="auto"/>
        <w:ind w:leftChars="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lang w:val="en-US"/>
        </w:rPr>
        <w:t>产品</w:t>
      </w:r>
      <w:r>
        <w:rPr>
          <w:rFonts w:hint="eastAsia" w:ascii="宋体" w:hAnsi="宋体" w:eastAsia="宋体" w:cs="宋体"/>
          <w:kern w:val="0"/>
          <w:sz w:val="20"/>
          <w:szCs w:val="20"/>
          <w:lang w:val="en-US" w:eastAsia="zh-CN"/>
        </w:rPr>
        <w:t>在生产使用前，</w:t>
      </w:r>
      <w:r>
        <w:rPr>
          <w:rFonts w:hint="eastAsia" w:ascii="宋体" w:hAnsi="宋体" w:eastAsia="宋体" w:cs="宋体"/>
          <w:kern w:val="0"/>
          <w:sz w:val="20"/>
          <w:szCs w:val="20"/>
          <w:lang w:val="en-US"/>
        </w:rPr>
        <w:t>产品外观无破损。</w:t>
      </w:r>
    </w:p>
    <w:p>
      <w:pPr>
        <w:widowControl/>
        <w:numPr>
          <w:ilvl w:val="0"/>
          <w:numId w:val="0"/>
        </w:numPr>
        <w:spacing w:line="360" w:lineRule="auto"/>
        <w:ind w:leftChars="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lang w:val="en-US"/>
        </w:rPr>
        <w:t>按批次提供相应的合格检测报告。</w:t>
      </w: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03FD9B1D"/>
    <w:multiLevelType w:val="singleLevel"/>
    <w:tmpl w:val="03FD9B1D"/>
    <w:lvl w:ilvl="0" w:tentative="0">
      <w:start w:val="1"/>
      <w:numFmt w:val="bullet"/>
      <w:lvlText w:val=""/>
      <w:lvlJc w:val="left"/>
      <w:pPr>
        <w:ind w:left="420" w:hanging="420"/>
      </w:pPr>
      <w:rPr>
        <w:rFonts w:hint="default" w:ascii="Wingdings" w:hAnsi="Wingdings"/>
      </w:rPr>
    </w:lvl>
  </w:abstractNum>
  <w:abstractNum w:abstractNumId="6">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DD06C71"/>
    <w:multiLevelType w:val="singleLevel"/>
    <w:tmpl w:val="2DD06C71"/>
    <w:lvl w:ilvl="0" w:tentative="0">
      <w:start w:val="1"/>
      <w:numFmt w:val="bullet"/>
      <w:lvlText w:val=""/>
      <w:lvlJc w:val="left"/>
      <w:pPr>
        <w:ind w:left="420" w:hanging="420"/>
      </w:pPr>
      <w:rPr>
        <w:rFonts w:hint="default" w:ascii="Wingdings" w:hAnsi="Wingdings"/>
      </w:rPr>
    </w:lvl>
  </w:abstractNum>
  <w:abstractNum w:abstractNumId="12">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3D07373A"/>
    <w:multiLevelType w:val="singleLevel"/>
    <w:tmpl w:val="3D07373A"/>
    <w:lvl w:ilvl="0" w:tentative="0">
      <w:start w:val="1"/>
      <w:numFmt w:val="bullet"/>
      <w:lvlText w:val=""/>
      <w:lvlJc w:val="left"/>
      <w:pPr>
        <w:ind w:left="420" w:hanging="420"/>
      </w:pPr>
      <w:rPr>
        <w:rFonts w:hint="default" w:ascii="Wingdings" w:hAnsi="Wingdings"/>
      </w:rPr>
    </w:lvl>
  </w:abstractNum>
  <w:abstractNum w:abstractNumId="14">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5">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9"/>
  </w:num>
  <w:num w:numId="2">
    <w:abstractNumId w:val="1"/>
  </w:num>
  <w:num w:numId="3">
    <w:abstractNumId w:val="3"/>
  </w:num>
  <w:num w:numId="4">
    <w:abstractNumId w:val="17"/>
  </w:num>
  <w:num w:numId="5">
    <w:abstractNumId w:val="2"/>
  </w:num>
  <w:num w:numId="6">
    <w:abstractNumId w:val="16"/>
  </w:num>
  <w:num w:numId="7">
    <w:abstractNumId w:val="12"/>
  </w:num>
  <w:num w:numId="8">
    <w:abstractNumId w:val="6"/>
  </w:num>
  <w:num w:numId="9">
    <w:abstractNumId w:val="0"/>
  </w:num>
  <w:num w:numId="10">
    <w:abstractNumId w:val="14"/>
  </w:num>
  <w:num w:numId="11">
    <w:abstractNumId w:val="10"/>
  </w:num>
  <w:num w:numId="12">
    <w:abstractNumId w:val="15"/>
  </w:num>
  <w:num w:numId="13">
    <w:abstractNumId w:val="7"/>
  </w:num>
  <w:num w:numId="14">
    <w:abstractNumId w:val="8"/>
  </w:num>
  <w:num w:numId="15">
    <w:abstractNumId w:val="4"/>
  </w:num>
  <w:num w:numId="16">
    <w:abstractNumId w:val="1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021D56"/>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5E71B5"/>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10172</Words>
  <Characters>10765</Characters>
  <Lines>243</Lines>
  <Paragraphs>68</Paragraphs>
  <TotalTime>0</TotalTime>
  <ScaleCrop>false</ScaleCrop>
  <LinksUpToDate>false</LinksUpToDate>
  <CharactersWithSpaces>11268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2025-11-12T05:44:14Z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