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WKZB-2025-009</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粘度计</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四</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粘度计</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WKZB-2025-009</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粘度计</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10698"/>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粘度计，1台。</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粘度计</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粘度计</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具有良好的财务状况(提供202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1名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粘度计</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至质保期满</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30277"/>
      <w:bookmarkStart w:id="30" w:name="_Toc16177"/>
      <w:bookmarkStart w:id="31" w:name="_Toc14869"/>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25653"/>
      <w:bookmarkStart w:id="37" w:name="_Toc390940505"/>
      <w:bookmarkStart w:id="38" w:name="_Toc233102490"/>
      <w:bookmarkStart w:id="39" w:name="_Toc179632544"/>
      <w:bookmarkStart w:id="40" w:name="_Toc109736026"/>
      <w:bookmarkStart w:id="41" w:name="_Toc152045527"/>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0399"/>
      <w:bookmarkStart w:id="44" w:name="_Toc152045528"/>
      <w:bookmarkStart w:id="45" w:name="_Toc179632545"/>
      <w:bookmarkStart w:id="46" w:name="_Toc390940506"/>
      <w:bookmarkStart w:id="47" w:name="_Toc144974496"/>
      <w:bookmarkStart w:id="48" w:name="_Toc233102491"/>
      <w:bookmarkStart w:id="49" w:name="_Toc152042304"/>
      <w:bookmarkStart w:id="50" w:name="_Toc18804"/>
      <w:bookmarkStart w:id="51" w:name="_Toc109736027"/>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w:t>
            </w:r>
          </w:p>
          <w:p>
            <w:pPr>
              <w:spacing w:line="320" w:lineRule="exact"/>
              <w:rPr>
                <w:rFonts w:hint="eastAsia" w:ascii="宋体" w:hAnsi="宋体"/>
                <w:szCs w:val="21"/>
                <w:highlight w:val="none"/>
              </w:rPr>
            </w:pPr>
            <w:bookmarkStart w:id="442" w:name="_GoBack"/>
            <w:bookmarkEnd w:id="442"/>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1</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none"/>
                <w:lang w:val="en-US" w:bidi="zh-CN"/>
              </w:rPr>
              <w:t>至质保期满</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152045529"/>
      <w:bookmarkStart w:id="56" w:name="_Toc144974497"/>
      <w:bookmarkStart w:id="57" w:name="_Toc179632546"/>
      <w:bookmarkStart w:id="58" w:name="_Toc233102492"/>
      <w:bookmarkStart w:id="59" w:name="_Toc152042305"/>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2757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29658"/>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109736031"/>
      <w:bookmarkStart w:id="70" w:name="_Toc30223"/>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810"/>
      <w:bookmarkStart w:id="76" w:name="_Toc520356146"/>
      <w:bookmarkStart w:id="77" w:name="_Toc216582806"/>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Ref467378678"/>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16367023"/>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216582808"/>
      <w:bookmarkStart w:id="119" w:name="_Toc520356159"/>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109736049"/>
      <w:bookmarkStart w:id="129" w:name="_Toc520356163"/>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377"/>
      <w:bookmarkStart w:id="156" w:name="_Toc520356175"/>
      <w:bookmarkStart w:id="157" w:name="_Ref467307204"/>
      <w:bookmarkStart w:id="158" w:name="_Ref467306978"/>
      <w:bookmarkStart w:id="159" w:name="_Ref467307062"/>
      <w:bookmarkStart w:id="160" w:name="_Toc10973606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Ref467306425"/>
      <w:bookmarkStart w:id="163" w:name="_Toc520356176"/>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87900349"/>
      <w:bookmarkStart w:id="172" w:name="_Ref467378499"/>
      <w:bookmarkStart w:id="173" w:name="_Ref467379195"/>
      <w:bookmarkStart w:id="174" w:name="_Toc415222497"/>
      <w:bookmarkStart w:id="175" w:name="_Ref467378404"/>
      <w:bookmarkStart w:id="176" w:name="_Ref467379205"/>
      <w:bookmarkStart w:id="177" w:name="_Ref467379214"/>
      <w:bookmarkStart w:id="178" w:name="_Ref467379225"/>
      <w:bookmarkStart w:id="179" w:name="_Ref467378463"/>
      <w:bookmarkStart w:id="180" w:name="_Ref467379101"/>
      <w:bookmarkStart w:id="181" w:name="_Ref467379109"/>
      <w:bookmarkStart w:id="182" w:name="_Ref46737909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15222498"/>
      <w:bookmarkStart w:id="189" w:name="_Toc31740"/>
      <w:bookmarkStart w:id="190" w:name="_Toc10889"/>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415222499"/>
      <w:bookmarkStart w:id="194" w:name="_Toc2425"/>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18031"/>
      <w:bookmarkStart w:id="198" w:name="_Toc415222500"/>
      <w:bookmarkStart w:id="199" w:name="_Toc4693"/>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7967"/>
      <w:bookmarkStart w:id="202" w:name="_Toc1323"/>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36"/>
      <w:bookmarkStart w:id="205" w:name="_Ref467378591"/>
      <w:bookmarkStart w:id="206" w:name="_Ref467379542"/>
      <w:bookmarkStart w:id="207" w:name="_Toc415222502"/>
      <w:bookmarkStart w:id="208" w:name="_Ref467379527"/>
      <w:bookmarkStart w:id="209" w:name="_Toc487900354"/>
      <w:bookmarkStart w:id="210" w:name="_Toc18715"/>
      <w:bookmarkStart w:id="211" w:name="_Ref467378541"/>
      <w:bookmarkStart w:id="212" w:name="_Toc11864"/>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15222503"/>
      <w:bookmarkStart w:id="216" w:name="_Toc487900355"/>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Ref467379793"/>
      <w:bookmarkStart w:id="220" w:name="_Ref467379807"/>
      <w:bookmarkStart w:id="221" w:name="_Toc15361"/>
      <w:bookmarkStart w:id="222" w:name="_Toc487900357"/>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Ref467379852"/>
      <w:bookmarkStart w:id="226" w:name="_Toc487900358"/>
      <w:bookmarkStart w:id="227" w:name="_Ref467379923"/>
      <w:bookmarkStart w:id="228" w:name="_Toc6588"/>
      <w:bookmarkStart w:id="229" w:name="_Toc1380"/>
      <w:bookmarkStart w:id="230" w:name="_Toc415222505"/>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37"/>
      <w:bookmarkStart w:id="232" w:name="_Toc15447"/>
      <w:bookmarkStart w:id="233" w:name="_Ref467377798"/>
      <w:bookmarkStart w:id="234" w:name="_Ref467379946"/>
      <w:bookmarkStart w:id="235" w:name="_Toc28649"/>
      <w:bookmarkStart w:id="236" w:name="_Toc487900359"/>
      <w:bookmarkStart w:id="237" w:name="_Toc415222506"/>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11317"/>
      <w:bookmarkStart w:id="242" w:name="_Toc7155"/>
      <w:bookmarkStart w:id="243" w:name="_Toc41522250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487900361"/>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415222509"/>
      <w:bookmarkStart w:id="251" w:name="_Toc31482"/>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87900363"/>
      <w:bookmarkStart w:id="255" w:name="_Toc415222510"/>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22040"/>
      <w:bookmarkStart w:id="259" w:name="_Toc6322"/>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29320"/>
      <w:bookmarkStart w:id="264" w:name="_Toc415222512"/>
      <w:bookmarkStart w:id="265" w:name="_Toc48790036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9543"/>
      <w:bookmarkStart w:id="272" w:name="_Toc487900367"/>
      <w:bookmarkStart w:id="273" w:name="_Toc415222514"/>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3904"/>
      <w:bookmarkStart w:id="278" w:name="_Toc22065"/>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487900369"/>
      <w:bookmarkStart w:id="282" w:name="_Toc10385"/>
      <w:bookmarkStart w:id="283" w:name="_Toc2972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2142"/>
      <w:bookmarkStart w:id="286" w:name="_Toc415222517"/>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87900371"/>
      <w:bookmarkStart w:id="289" w:name="_Toc14345"/>
      <w:bookmarkStart w:id="290" w:name="_Toc415222518"/>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27508"/>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87900373"/>
      <w:bookmarkStart w:id="297" w:name="_Toc415222520"/>
      <w:bookmarkStart w:id="298" w:name="_Toc28567"/>
      <w:bookmarkStart w:id="299" w:name="_Toc2374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26432"/>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415222522"/>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7454"/>
      <w:bookmarkStart w:id="314" w:name="_Toc220229326"/>
      <w:bookmarkStart w:id="315" w:name="_Toc15903"/>
      <w:bookmarkStart w:id="316" w:name="_Toc220229431"/>
      <w:bookmarkStart w:id="317" w:name="_Toc218935352"/>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货物安装完毕，验收合格后，支付全部货款的90%，质保满支付全部货款的10%.</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承诺货物符合买方技术要求。质保期至少1年。</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216582813"/>
      <w:bookmarkStart w:id="339" w:name="_Toc109736069"/>
      <w:bookmarkStart w:id="340" w:name="_Toc415222524"/>
      <w:bookmarkStart w:id="341" w:name="_Toc532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415222525"/>
      <w:bookmarkStart w:id="346" w:name="_Toc29788"/>
      <w:bookmarkStart w:id="347" w:name="_Toc520356218"/>
      <w:bookmarkStart w:id="348" w:name="_Ref467988705"/>
      <w:bookmarkStart w:id="349" w:name="_Toc480942350"/>
      <w:bookmarkStart w:id="350" w:name="_Toc216582814"/>
      <w:bookmarkStart w:id="351" w:name="_Toc10973607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粘度计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WKZB-2025-009</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1"/>
        <w:gridCol w:w="1869"/>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6"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（元）</w:t>
            </w:r>
          </w:p>
        </w:tc>
        <w:tc>
          <w:tcPr>
            <w:tcW w:w="96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2"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品牌</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粘度计</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1196"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49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至质保期满</w:t>
            </w:r>
            <w:r>
              <w:rPr>
                <w:rFonts w:hint="eastAsia"/>
                <w:highlight w:val="none"/>
              </w:rPr>
              <w:t>。</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商务磋商联系人：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415222529"/>
      <w:bookmarkStart w:id="354" w:name="_Toc216582818"/>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粘度计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WKZB-2025-009</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安装完毕后开展现场培训至少一次</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rPr>
              <w:t xml:space="preserve"> </w:t>
            </w:r>
            <w:r>
              <w:rPr>
                <w:rFonts w:hint="eastAsia" w:ascii="宋体" w:hAnsi="宋体"/>
                <w:szCs w:val="21"/>
                <w:highlight w:val="none"/>
                <w:lang w:val="en-US" w:eastAsia="zh-CN"/>
              </w:rPr>
              <w:t>货物安装完毕，验收合格后，支付全部货款的90%，质保满支付全部货款的10%。</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质保期至少1年</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216582817"/>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粘度计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WKZB-2025-009</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Ref467988543"/>
      <w:bookmarkStart w:id="362" w:name="_Toc480942355"/>
      <w:bookmarkStart w:id="363" w:name="_Toc13093"/>
      <w:bookmarkStart w:id="364" w:name="_Toc109736074"/>
      <w:bookmarkStart w:id="365" w:name="_Toc415222530"/>
      <w:bookmarkStart w:id="366" w:name="_Toc216582819"/>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343000"/>
      <w:bookmarkEnd w:id="369"/>
      <w:bookmarkStart w:id="370" w:name="_Hlt520273973"/>
      <w:bookmarkEnd w:id="370"/>
      <w:bookmarkStart w:id="371" w:name="_Hlt520350957"/>
      <w:bookmarkEnd w:id="371"/>
      <w:bookmarkStart w:id="372" w:name="_Hlt520274407"/>
      <w:bookmarkEnd w:id="372"/>
      <w:bookmarkStart w:id="373" w:name="_Hlt520274065"/>
      <w:bookmarkEnd w:id="373"/>
      <w:bookmarkStart w:id="374" w:name="_Hlt520274393"/>
      <w:bookmarkEnd w:id="374"/>
      <w:bookmarkStart w:id="375" w:name="_Hlt520274121"/>
      <w:bookmarkEnd w:id="375"/>
      <w:bookmarkStart w:id="376" w:name="_Hlt520343392"/>
      <w:bookmarkEnd w:id="376"/>
      <w:bookmarkStart w:id="377" w:name="_Hlt520271212"/>
      <w:bookmarkEnd w:id="377"/>
      <w:bookmarkStart w:id="378" w:name="_Hlt520350918"/>
      <w:bookmarkEnd w:id="378"/>
      <w:bookmarkStart w:id="379" w:name="_Hlt520273711"/>
      <w:bookmarkEnd w:id="379"/>
      <w:bookmarkStart w:id="380" w:name="_Ref467988485"/>
      <w:bookmarkStart w:id="381" w:name="_Ref467990100"/>
      <w:bookmarkStart w:id="382" w:name="_Toc480942358"/>
      <w:bookmarkStart w:id="383" w:name="_Ref467990058"/>
      <w:bookmarkStart w:id="384" w:name="_Ref467988479"/>
      <w:bookmarkStart w:id="385" w:name="_Toc480942357"/>
      <w:bookmarkStart w:id="386" w:name="_Ref467990101"/>
      <w:bookmarkStart w:id="387" w:name="_Ref467988471"/>
      <w:bookmarkStart w:id="388" w:name="_Toc520125062"/>
      <w:bookmarkStart w:id="389" w:name="_Toc520356228"/>
      <w:bookmarkStart w:id="390" w:name="_Toc520356229"/>
      <w:bookmarkStart w:id="391" w:name="_Toc520125061"/>
      <w:bookmarkStart w:id="392" w:name="_Ref467990064"/>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粘度计</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WKZB-2025-009</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6582826"/>
      <w:bookmarkStart w:id="406" w:name="_Toc220229434"/>
      <w:bookmarkStart w:id="407" w:name="_Toc219175639"/>
      <w:bookmarkStart w:id="408" w:name="_Toc218935355"/>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35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产品质量情况及质保期承诺，</w:t>
            </w:r>
            <w:r>
              <w:rPr>
                <w:rFonts w:hint="eastAsia" w:ascii="微软雅黑" w:hAnsi="微软雅黑" w:eastAsia="微软雅黑" w:cs="微软雅黑"/>
                <w:i w:val="0"/>
                <w:iCs w:val="0"/>
                <w:color w:val="000000"/>
                <w:sz w:val="21"/>
                <w:szCs w:val="21"/>
                <w:highlight w:val="none"/>
                <w:u w:val="none"/>
                <w:lang w:val="en-US" w:eastAsia="zh-CN"/>
              </w:rPr>
              <w:t>最优得10分，第二得8分，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30-[（投标报价-基准价）/基准价]×100×0.3；（2）每低于基准价1%扣0.2分，以此类推，扣完为止。计算公式为：报价得分=30-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3"/>
        <w:jc w:val="both"/>
        <w:rPr>
          <w:rFonts w:hint="eastAsia"/>
          <w:caps w:val="0"/>
        </w:rPr>
      </w:pPr>
      <w:r>
        <w:rPr>
          <w:rFonts w:hint="eastAsia"/>
          <w:caps w:val="0"/>
        </w:rPr>
        <w:t>目的</w:t>
      </w:r>
    </w:p>
    <w:p>
      <w:pPr>
        <w:rPr>
          <w:rFonts w:hint="default" w:ascii="Times New Roman" w:hAnsi="Times New Roman" w:eastAsia="宋体" w:cs="Times New Roman"/>
          <w:highlight w:val="none"/>
          <w:lang w:val="en-US"/>
        </w:rPr>
      </w:pPr>
      <w:r>
        <w:rPr>
          <w:rFonts w:hint="eastAsia" w:ascii="Times New Roman" w:hAnsi="Times New Roman" w:eastAsia="宋体" w:cs="Times New Roman"/>
          <w:lang w:val="en-US" w:eastAsia="zh-CN"/>
        </w:rPr>
        <w:t>本</w:t>
      </w:r>
      <w:r>
        <w:rPr>
          <w:rFonts w:hint="eastAsia" w:ascii="Times New Roman" w:hAnsi="Times New Roman" w:eastAsia="宋体" w:cs="Times New Roman"/>
          <w:highlight w:val="none"/>
          <w:lang w:val="en-US" w:eastAsia="zh-CN"/>
        </w:rPr>
        <w:t>用户需求标准文件明确了我司对</w:t>
      </w:r>
      <w:r>
        <w:rPr>
          <w:rFonts w:hint="eastAsia" w:cs="Times New Roman"/>
          <w:highlight w:val="none"/>
          <w:lang w:val="en-US" w:eastAsia="zh-CN"/>
        </w:rPr>
        <w:t>粘度计</w:t>
      </w:r>
      <w:r>
        <w:rPr>
          <w:rFonts w:hint="eastAsia" w:ascii="Times New Roman" w:hAnsi="Times New Roman" w:eastAsia="宋体" w:cs="Times New Roman"/>
          <w:highlight w:val="none"/>
          <w:lang w:val="en-US" w:eastAsia="zh-CN"/>
        </w:rPr>
        <w:t>的质量</w:t>
      </w:r>
      <w:r>
        <w:rPr>
          <w:rFonts w:hint="eastAsia" w:cs="Times New Roman"/>
          <w:highlight w:val="none"/>
          <w:lang w:val="en-US" w:eastAsia="zh-CN"/>
        </w:rPr>
        <w:t>及技术</w:t>
      </w:r>
      <w:r>
        <w:rPr>
          <w:rFonts w:hint="eastAsia" w:ascii="Times New Roman" w:hAnsi="Times New Roman" w:eastAsia="宋体" w:cs="Times New Roman"/>
          <w:highlight w:val="none"/>
          <w:lang w:val="en-US" w:eastAsia="zh-CN"/>
        </w:rPr>
        <w:t>要求，以及对其</w:t>
      </w:r>
      <w:r>
        <w:rPr>
          <w:rFonts w:hint="eastAsia" w:cs="Times New Roman"/>
          <w:highlight w:val="none"/>
          <w:lang w:val="en-US" w:eastAsia="zh-CN"/>
        </w:rPr>
        <w:t>运输、安装调试、售后服务等</w:t>
      </w:r>
      <w:r>
        <w:rPr>
          <w:rFonts w:hint="eastAsia" w:ascii="Times New Roman" w:hAnsi="Times New Roman" w:eastAsia="宋体" w:cs="Times New Roman"/>
          <w:highlight w:val="none"/>
          <w:lang w:val="en-US" w:eastAsia="zh-CN"/>
        </w:rPr>
        <w:t>的期望，作为供方</w:t>
      </w:r>
      <w:r>
        <w:rPr>
          <w:rFonts w:hint="eastAsia" w:cs="Times New Roman"/>
          <w:highlight w:val="none"/>
          <w:lang w:val="en-US" w:eastAsia="zh-CN"/>
        </w:rPr>
        <w:t>供货</w:t>
      </w:r>
      <w:r>
        <w:rPr>
          <w:rFonts w:hint="eastAsia" w:ascii="Times New Roman" w:hAnsi="Times New Roman" w:eastAsia="宋体" w:cs="Times New Roman"/>
          <w:highlight w:val="none"/>
          <w:lang w:val="en-US" w:eastAsia="zh-CN"/>
        </w:rPr>
        <w:t>标准的依据。</w:t>
      </w:r>
    </w:p>
    <w:p>
      <w:pPr>
        <w:pStyle w:val="3"/>
        <w:rPr>
          <w:rFonts w:hint="eastAsia"/>
        </w:rPr>
      </w:pPr>
      <w:bookmarkStart w:id="415" w:name="_Toc28598"/>
      <w:bookmarkStart w:id="416" w:name="_Toc31114"/>
      <w:bookmarkStart w:id="417" w:name="_Toc17119"/>
      <w:r>
        <w:rPr>
          <w:rFonts w:hint="eastAsia"/>
          <w:lang w:val="en-US" w:eastAsia="zh-CN"/>
        </w:rPr>
        <w:t>范围</w:t>
      </w:r>
      <w:bookmarkEnd w:id="415"/>
      <w:bookmarkEnd w:id="416"/>
      <w:bookmarkEnd w:id="417"/>
    </w:p>
    <w:p>
      <w:pPr>
        <w:rPr>
          <w:rFonts w:hint="eastAsia"/>
        </w:rPr>
      </w:pPr>
      <w:r>
        <w:rPr>
          <w:rFonts w:hint="eastAsia" w:cs="Times New Roman"/>
          <w:lang w:val="en-US" w:eastAsia="zh-CN"/>
        </w:rPr>
        <w:t>选购的粘度计</w:t>
      </w:r>
      <w:r>
        <w:rPr>
          <w:rFonts w:hint="eastAsia"/>
        </w:rPr>
        <w:t>用于我司质检系统</w:t>
      </w:r>
      <w:r>
        <w:rPr>
          <w:rFonts w:hint="eastAsia"/>
          <w:lang w:val="en-US" w:eastAsia="zh-CN"/>
        </w:rPr>
        <w:t>对原材料、成品等进行粘度检测。</w:t>
      </w:r>
    </w:p>
    <w:p>
      <w:pPr>
        <w:pStyle w:val="3"/>
        <w:rPr>
          <w:rFonts w:hint="eastAsia"/>
        </w:rPr>
      </w:pPr>
      <w:bookmarkStart w:id="418" w:name="_Toc3989"/>
      <w:bookmarkStart w:id="419" w:name="_Toc8349"/>
      <w:bookmarkStart w:id="420" w:name="_Toc26852"/>
      <w:r>
        <w:rPr>
          <w:rFonts w:hint="eastAsia"/>
        </w:rPr>
        <w:t>定义和缩略语</w:t>
      </w:r>
      <w:bookmarkEnd w:id="418"/>
      <w:bookmarkEnd w:id="419"/>
      <w:bookmarkEnd w:id="420"/>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pPr>
              <w:jc w:val="center"/>
              <w:rPr>
                <w:rFonts w:hint="eastAsia"/>
                <w:b/>
              </w:rPr>
            </w:pPr>
            <w:bookmarkStart w:id="421" w:name="_Toc18809"/>
            <w:r>
              <w:rPr>
                <w:b/>
              </w:rPr>
              <w:t>缩略语</w:t>
            </w:r>
            <w:r>
              <w:rPr>
                <w:rFonts w:hint="eastAsia"/>
                <w:b/>
              </w:rPr>
              <w:t>/术语</w:t>
            </w:r>
          </w:p>
        </w:tc>
        <w:tc>
          <w:tcPr>
            <w:tcW w:w="7205" w:type="dxa"/>
            <w:noWrap w:val="0"/>
            <w:vAlign w:val="center"/>
          </w:tcPr>
          <w:p>
            <w:pPr>
              <w:jc w:val="center"/>
              <w:rPr>
                <w:b/>
              </w:rPr>
            </w:pPr>
            <w:r>
              <w:rPr>
                <w:b/>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lang w:val="en-US" w:eastAsia="zh-CN"/>
              </w:rPr>
            </w:pPr>
            <w:r>
              <w:rPr>
                <w:rFonts w:hint="eastAsia"/>
                <w:bCs/>
                <w:lang w:val="en-US" w:eastAsia="zh-CN"/>
              </w:rPr>
              <w:t>URS</w:t>
            </w:r>
          </w:p>
        </w:tc>
        <w:tc>
          <w:tcPr>
            <w:tcW w:w="7205" w:type="dxa"/>
            <w:noWrap w:val="0"/>
            <w:vAlign w:val="center"/>
          </w:tcPr>
          <w:p>
            <w:pPr>
              <w:jc w:val="center"/>
              <w:rPr>
                <w:rFonts w:hint="default" w:eastAsia="宋体"/>
                <w:lang w:val="en-US" w:eastAsia="zh-CN"/>
              </w:rPr>
            </w:pPr>
            <w:r>
              <w:rPr>
                <w:rFonts w:hint="eastAsia"/>
                <w:lang w:val="en-US" w:eastAsia="zh-CN"/>
              </w:rPr>
              <w:t>User Requirement Specification用户需求说明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lang w:val="fr-FR" w:eastAsia="zh-CN" w:bidi="ar-SA"/>
              </w:rPr>
            </w:pPr>
            <w:r>
              <w:rPr>
                <w:bCs/>
              </w:rPr>
              <w:t>GMP</w:t>
            </w:r>
          </w:p>
        </w:tc>
        <w:tc>
          <w:tcPr>
            <w:tcW w:w="7205" w:type="dxa"/>
            <w:noWrap w:val="0"/>
            <w:vAlign w:val="center"/>
          </w:tcPr>
          <w:p>
            <w:pPr>
              <w:jc w:val="center"/>
              <w:rPr>
                <w:lang w:val="fr-FR" w:eastAsia="zh-CN" w:bidi="ar-SA"/>
              </w:rPr>
            </w:pPr>
            <w:r>
              <w:rPr>
                <w:bCs/>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eastAsia" w:eastAsia="宋体"/>
                <w:bCs/>
                <w:lang w:eastAsia="zh-CN"/>
              </w:rPr>
            </w:pPr>
            <w:r>
              <w:rPr>
                <w:rFonts w:hint="eastAsia"/>
                <w:bCs/>
                <w:lang w:val="en-US" w:eastAsia="zh-CN"/>
              </w:rPr>
              <w:t>IQ</w:t>
            </w:r>
          </w:p>
        </w:tc>
        <w:tc>
          <w:tcPr>
            <w:tcW w:w="7205" w:type="dxa"/>
            <w:noWrap w:val="0"/>
            <w:vAlign w:val="center"/>
          </w:tcPr>
          <w:p>
            <w:pPr>
              <w:jc w:val="center"/>
              <w:rPr>
                <w:bCs/>
              </w:rPr>
            </w:pPr>
            <w:r>
              <w:rPr>
                <w:rFonts w:hint="eastAsia"/>
                <w:bCs/>
              </w:rPr>
              <w:t>Installation qualification</w:t>
            </w:r>
            <w:r>
              <w:rPr>
                <w:bCs/>
              </w:rPr>
              <w:t xml:space="preserve">    </w:t>
            </w:r>
            <w:r>
              <w:rPr>
                <w:szCs w:val="18"/>
              </w:rPr>
              <w:t>安装确认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bCs/>
                <w:lang w:val="en-US" w:eastAsia="zh-CN"/>
              </w:rPr>
            </w:pPr>
            <w:r>
              <w:rPr>
                <w:rFonts w:hint="eastAsia"/>
                <w:bCs/>
                <w:lang w:val="en-US" w:eastAsia="zh-CN"/>
              </w:rPr>
              <w:t>OQ</w:t>
            </w:r>
          </w:p>
        </w:tc>
        <w:tc>
          <w:tcPr>
            <w:tcW w:w="7205" w:type="dxa"/>
            <w:noWrap w:val="0"/>
            <w:vAlign w:val="center"/>
          </w:tcPr>
          <w:p>
            <w:pPr>
              <w:jc w:val="center"/>
              <w:rPr>
                <w:bCs/>
              </w:rPr>
            </w:pPr>
            <w:r>
              <w:rPr>
                <w:szCs w:val="18"/>
              </w:rPr>
              <w:t>Operation qualification</w:t>
            </w:r>
            <w:r>
              <w:rPr>
                <w:bCs/>
              </w:rPr>
              <w:t xml:space="preserve">    </w:t>
            </w:r>
            <w:r>
              <w:rPr>
                <w:szCs w:val="18"/>
              </w:rPr>
              <w:t>运行确认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eastAsia" w:eastAsia="宋体"/>
                <w:bCs/>
                <w:lang w:eastAsia="zh-CN"/>
              </w:rPr>
            </w:pPr>
            <w:r>
              <w:rPr>
                <w:rFonts w:hint="eastAsia"/>
                <w:bCs/>
                <w:lang w:val="en-US" w:eastAsia="zh-CN"/>
              </w:rPr>
              <w:t>PQ</w:t>
            </w:r>
          </w:p>
        </w:tc>
        <w:tc>
          <w:tcPr>
            <w:tcW w:w="7205" w:type="dxa"/>
            <w:noWrap w:val="0"/>
            <w:vAlign w:val="center"/>
          </w:tcPr>
          <w:p>
            <w:pPr>
              <w:jc w:val="center"/>
              <w:rPr>
                <w:bCs/>
              </w:rPr>
            </w:pPr>
            <w:r>
              <w:rPr>
                <w:szCs w:val="18"/>
              </w:rPr>
              <w:t xml:space="preserve">Performance Qualification </w:t>
            </w:r>
            <w:r>
              <w:rPr>
                <w:rFonts w:hint="eastAsia"/>
                <w:bCs/>
              </w:rPr>
              <w:t xml:space="preserve">    </w:t>
            </w:r>
            <w:r>
              <w:rPr>
                <w:szCs w:val="18"/>
              </w:rPr>
              <w:t>性能确认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rPr>
            </w:pPr>
            <w:r>
              <w:rPr>
                <w:bCs/>
              </w:rPr>
              <w:t>CPP</w:t>
            </w:r>
          </w:p>
        </w:tc>
        <w:tc>
          <w:tcPr>
            <w:tcW w:w="7205" w:type="dxa"/>
            <w:noWrap w:val="0"/>
            <w:vAlign w:val="center"/>
          </w:tcPr>
          <w:p>
            <w:pPr>
              <w:jc w:val="center"/>
              <w:rPr>
                <w:rFonts w:hint="eastAsia"/>
                <w:bCs/>
              </w:rPr>
            </w:pPr>
            <w:r>
              <w:rPr>
                <w:bCs/>
              </w:rPr>
              <w:t>Critical Process Parameter</w:t>
            </w:r>
            <w:r>
              <w:rPr>
                <w:rFonts w:hint="eastAsia"/>
                <w:bCs/>
              </w:rPr>
              <w:t xml:space="preserve">    </w:t>
            </w:r>
            <w:r>
              <w:rPr>
                <w:bCs/>
              </w:rPr>
              <w:t>关键工艺参数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bCs/>
              </w:rPr>
            </w:pPr>
            <w:r>
              <w:rPr>
                <w:bCs/>
              </w:rPr>
              <w:t>N/A</w:t>
            </w:r>
          </w:p>
        </w:tc>
        <w:tc>
          <w:tcPr>
            <w:tcW w:w="7205" w:type="dxa"/>
            <w:noWrap w:val="0"/>
            <w:vAlign w:val="center"/>
          </w:tcPr>
          <w:p>
            <w:pPr>
              <w:jc w:val="center"/>
              <w:rPr>
                <w:bCs/>
              </w:rPr>
            </w:pPr>
            <w:r>
              <w:rPr>
                <w:bCs/>
              </w:rPr>
              <w:t>Not Applicable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rFonts w:hint="eastAsia" w:eastAsia="宋体"/>
                <w:bCs/>
                <w:lang w:val="en-US" w:eastAsia="zh-CN"/>
              </w:rPr>
            </w:pPr>
            <w:r>
              <w:rPr>
                <w:rFonts w:hint="eastAsia"/>
                <w:bCs/>
                <w:lang w:val="en-US" w:eastAsia="zh-CN"/>
              </w:rPr>
              <w:t>EHS</w:t>
            </w:r>
          </w:p>
        </w:tc>
        <w:tc>
          <w:tcPr>
            <w:tcW w:w="7205" w:type="dxa"/>
            <w:noWrap w:val="0"/>
            <w:vAlign w:val="center"/>
          </w:tcPr>
          <w:p>
            <w:pPr>
              <w:jc w:val="center"/>
              <w:rPr>
                <w:rFonts w:hint="default" w:eastAsia="宋体"/>
                <w:bCs/>
                <w:lang w:val="en-US" w:eastAsia="zh-CN"/>
              </w:rPr>
            </w:pPr>
            <w:r>
              <w:rPr>
                <w:rFonts w:hint="eastAsia"/>
                <w:szCs w:val="18"/>
              </w:rPr>
              <w:t>Environment, Health and Safety</w:t>
            </w:r>
            <w:r>
              <w:rPr>
                <w:rFonts w:hint="eastAsia"/>
                <w:szCs w:val="18"/>
                <w:lang w:val="en-US" w:eastAsia="zh-CN"/>
              </w:rPr>
              <w:t xml:space="preserve">  </w:t>
            </w:r>
            <w:r>
              <w:rPr>
                <w:rFonts w:hint="eastAsia"/>
                <w:szCs w:val="18"/>
              </w:rPr>
              <w:t xml:space="preserve">环境健康安全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pPr>
            <w:r>
              <w:t>... ...</w:t>
            </w:r>
          </w:p>
        </w:tc>
        <w:tc>
          <w:tcPr>
            <w:tcW w:w="7205" w:type="dxa"/>
            <w:noWrap w:val="0"/>
            <w:vAlign w:val="center"/>
          </w:tcPr>
          <w:p>
            <w:pPr>
              <w:jc w:val="center"/>
              <w:rPr>
                <w:bCs/>
              </w:rPr>
            </w:pPr>
            <w:r>
              <w:rPr>
                <w:bCs/>
              </w:rPr>
              <w:t>... ...</w:t>
            </w:r>
          </w:p>
        </w:tc>
      </w:tr>
      <w:bookmarkEnd w:id="421"/>
    </w:tbl>
    <w:p>
      <w:pPr>
        <w:pStyle w:val="3"/>
        <w:rPr>
          <w:rFonts w:hint="eastAsia"/>
        </w:rPr>
      </w:pPr>
      <w:bookmarkStart w:id="422" w:name="_Toc32179"/>
      <w:r>
        <w:rPr>
          <w:rFonts w:hint="eastAsia"/>
          <w:lang w:val="en-US" w:eastAsia="zh-CN"/>
        </w:rPr>
        <w:t>参考文件</w:t>
      </w:r>
      <w:bookmarkEnd w:id="422"/>
    </w:p>
    <w:p>
      <w:pPr>
        <w:rPr>
          <w:rFonts w:hint="eastAsia"/>
          <w:lang w:val="en-US" w:eastAsia="zh-CN"/>
        </w:rPr>
      </w:pPr>
      <w:r>
        <w:rPr>
          <w:rFonts w:hint="eastAsia"/>
          <w:lang w:val="en-US" w:eastAsia="zh-CN"/>
        </w:rPr>
        <w:t>《兽药生产质量管理规范（2020年修订）》</w:t>
      </w:r>
    </w:p>
    <w:p>
      <w:pPr>
        <w:rPr>
          <w:rFonts w:hint="eastAsia"/>
          <w:lang w:val="en-US" w:eastAsia="zh-CN"/>
        </w:rPr>
      </w:pPr>
      <w:r>
        <w:rPr>
          <w:rFonts w:hint="eastAsia"/>
          <w:lang w:val="en-US" w:eastAsia="zh-CN"/>
        </w:rPr>
        <w:t xml:space="preserve">《中华人民共和国兽药典》（2020版） </w:t>
      </w:r>
    </w:p>
    <w:p>
      <w:pPr>
        <w:pStyle w:val="3"/>
        <w:rPr>
          <w:rFonts w:hint="eastAsia"/>
        </w:rPr>
      </w:pPr>
      <w:bookmarkStart w:id="423" w:name="_Toc18636"/>
      <w:r>
        <w:rPr>
          <w:rFonts w:hint="eastAsia"/>
        </w:rPr>
        <w:t>需</w:t>
      </w:r>
      <w:r>
        <w:rPr>
          <w:rFonts w:hint="eastAsia"/>
          <w:lang w:val="en-US" w:eastAsia="zh-CN"/>
        </w:rPr>
        <w:t>求</w:t>
      </w:r>
      <w:r>
        <w:rPr>
          <w:rFonts w:hint="eastAsia" w:cs="Times New Roman"/>
          <w:lang w:val="en-US" w:eastAsia="zh-CN"/>
        </w:rPr>
        <w:t>粘度计</w:t>
      </w:r>
      <w:r>
        <w:rPr>
          <w:rFonts w:hint="eastAsia"/>
        </w:rPr>
        <w:t>的简单描述</w:t>
      </w:r>
      <w:bookmarkEnd w:id="423"/>
    </w:p>
    <w:p>
      <w:pPr>
        <w:keepNext w:val="0"/>
        <w:keepLines w:val="0"/>
        <w:widowControl/>
        <w:suppressLineNumbers w:val="0"/>
        <w:jc w:val="left"/>
      </w:pPr>
      <w:bookmarkStart w:id="424" w:name="_Toc14542"/>
      <w:r>
        <w:rPr>
          <w:rFonts w:hint="eastAsia" w:asciiTheme="minorEastAsia" w:hAnsiTheme="minorEastAsia" w:eastAsiaTheme="minorEastAsia" w:cstheme="minorEastAsia"/>
          <w:color w:val="000000"/>
          <w:kern w:val="0"/>
          <w:sz w:val="20"/>
          <w:szCs w:val="20"/>
          <w:lang w:val="en-US" w:eastAsia="zh-CN" w:bidi="ar"/>
        </w:rPr>
        <w:t>粘度计是用来测量流体粘度的仪器，</w:t>
      </w:r>
      <w:r>
        <w:rPr>
          <w:rFonts w:hint="eastAsia"/>
          <w:highlight w:val="none"/>
          <w:lang w:val="en-US" w:eastAsia="zh-CN"/>
        </w:rPr>
        <w:t>通过测量粘度可以达到物体流变行为的数据，对于预测产品生产过程的工艺控制、输送性及产品在使用时的操作性有着重要的指导价值。流变性往往与产品的其它特性，如颜色、密度、稳定性、固成物含量和分子量的改变有关系，用粘度测量的方法来检测这些性能最为敏感和方便。</w:t>
      </w:r>
    </w:p>
    <w:p>
      <w:pPr>
        <w:pStyle w:val="3"/>
        <w:rPr>
          <w:rFonts w:hint="eastAsia"/>
          <w:highlight w:val="none"/>
        </w:rPr>
      </w:pPr>
      <w:bookmarkStart w:id="425" w:name="_Toc12438"/>
      <w:r>
        <w:rPr>
          <w:rFonts w:hint="eastAsia"/>
          <w:highlight w:val="none"/>
          <w:lang w:val="en-US" w:eastAsia="zh-CN"/>
        </w:rPr>
        <w:t>技术规格</w:t>
      </w:r>
      <w:bookmarkEnd w:id="424"/>
      <w:bookmarkEnd w:id="425"/>
    </w:p>
    <w:p>
      <w:pPr>
        <w:pStyle w:val="4"/>
        <w:bidi w:val="0"/>
        <w:rPr>
          <w:rFonts w:hint="eastAsia"/>
          <w:highlight w:val="none"/>
          <w:lang w:val="en-US" w:eastAsia="zh-CN"/>
        </w:rPr>
      </w:pPr>
      <w:bookmarkStart w:id="426" w:name="_Toc16808"/>
      <w:bookmarkStart w:id="427" w:name="_Toc5319"/>
      <w:r>
        <w:rPr>
          <w:rFonts w:hint="eastAsia"/>
          <w:highlight w:val="none"/>
          <w:lang w:val="en-US" w:eastAsia="zh-CN"/>
        </w:rPr>
        <w:t>基本要求</w:t>
      </w:r>
      <w:bookmarkEnd w:id="426"/>
      <w:bookmarkEnd w:id="427"/>
    </w:p>
    <w:tbl>
      <w:tblPr>
        <w:tblStyle w:val="5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67"/>
        <w:gridCol w:w="678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blHeader/>
          <w:jc w:val="center"/>
        </w:trPr>
        <w:tc>
          <w:tcPr>
            <w:tcW w:w="1167" w:type="dxa"/>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highlight w:val="none"/>
              </w:rPr>
            </w:pPr>
            <w:r>
              <w:rPr>
                <w:rFonts w:hint="default" w:ascii="Times New Roman" w:hAnsi="Times New Roman" w:cs="Times New Roman"/>
                <w:b/>
                <w:color w:val="000000"/>
                <w:szCs w:val="21"/>
                <w:highlight w:val="none"/>
              </w:rPr>
              <w:t>编号</w:t>
            </w:r>
          </w:p>
        </w:tc>
        <w:tc>
          <w:tcPr>
            <w:tcW w:w="6780" w:type="dxa"/>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highlight w:val="none"/>
              </w:rPr>
            </w:pPr>
            <w:r>
              <w:rPr>
                <w:rFonts w:hint="default" w:ascii="Times New Roman" w:hAnsi="Times New Roman" w:cs="Times New Roman"/>
                <w:b/>
                <w:bCs/>
                <w:highlight w:val="none"/>
              </w:rPr>
              <w:t>要求内容</w:t>
            </w:r>
          </w:p>
        </w:tc>
        <w:tc>
          <w:tcPr>
            <w:tcW w:w="1451" w:type="dxa"/>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Cs w:val="21"/>
                <w:highlight w:val="none"/>
              </w:rPr>
            </w:pPr>
            <w:r>
              <w:rPr>
                <w:rFonts w:hint="eastAsia" w:cs="Times New Roman"/>
                <w:b/>
                <w:bCs/>
                <w:highlight w:val="none"/>
                <w:lang w:val="en-US" w:eastAsia="zh-CN"/>
              </w:rPr>
              <w:t>必需</w:t>
            </w:r>
            <w:r>
              <w:rPr>
                <w:rFonts w:hint="default" w:ascii="Times New Roman" w:hAnsi="Times New Roman" w:cs="Times New Roman"/>
                <w:b/>
                <w:bCs/>
                <w:highlight w:val="none"/>
              </w:rPr>
              <w:t>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1"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both"/>
              <w:textAlignment w:val="auto"/>
              <w:rPr>
                <w:rFonts w:hint="default" w:ascii="Times New Roman" w:hAnsi="Times New Roman" w:eastAsia="宋体" w:cs="Times New Roman"/>
                <w:color w:val="0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highlight w:val="none"/>
                <w:lang w:val="en-GB"/>
              </w:rPr>
            </w:pPr>
            <w:r>
              <w:rPr>
                <w:rFonts w:hint="eastAsia"/>
                <w:highlight w:val="none"/>
                <w:lang w:val="en-GB"/>
              </w:rPr>
              <w:t>应符合中国现行GMP要求。</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C00000"/>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both"/>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eastAsia="宋体"/>
                <w:highlight w:val="none"/>
                <w:lang w:val="en-GB" w:eastAsia="zh-CN"/>
              </w:rPr>
            </w:pPr>
            <w:r>
              <w:rPr>
                <w:rFonts w:hint="eastAsia"/>
                <w:highlight w:val="none"/>
                <w:lang w:val="en-GB"/>
              </w:rPr>
              <w:t>粘度计需要符合国家计量检定规程的要求</w:t>
            </w:r>
            <w:r>
              <w:rPr>
                <w:rFonts w:hint="eastAsia"/>
                <w:highlight w:val="none"/>
                <w:lang w:val="en-GB" w:eastAsia="zh-CN"/>
              </w:rPr>
              <w:t>。</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C00000"/>
                <w:szCs w:val="21"/>
                <w:highlight w:val="none"/>
                <w:lang w:val="fr-FR" w:eastAsia="zh-CN" w:bidi="ar-SA"/>
              </w:rPr>
            </w:pPr>
            <w:r>
              <w:rPr>
                <w:rFonts w:hint="eastAsia" w:cs="Times New Roman"/>
                <w:highlight w:val="none"/>
                <w:lang w:val="en-US" w:eastAsia="zh-CN"/>
              </w:rPr>
              <w:t>必需</w:t>
            </w:r>
          </w:p>
        </w:tc>
      </w:tr>
    </w:tbl>
    <w:p>
      <w:pPr>
        <w:pStyle w:val="4"/>
        <w:bidi w:val="0"/>
        <w:rPr>
          <w:highlight w:val="none"/>
        </w:rPr>
      </w:pPr>
      <w:bookmarkStart w:id="428" w:name="_Toc2524"/>
      <w:bookmarkStart w:id="429" w:name="_Toc2576"/>
      <w:bookmarkStart w:id="430" w:name="_Toc16542"/>
      <w:r>
        <w:rPr>
          <w:rFonts w:hint="eastAsia"/>
          <w:highlight w:val="none"/>
        </w:rPr>
        <w:t>技术</w:t>
      </w:r>
      <w:r>
        <w:rPr>
          <w:rFonts w:hint="eastAsia"/>
          <w:highlight w:val="none"/>
          <w:lang w:eastAsia="zh-CN"/>
        </w:rPr>
        <w:t>要</w:t>
      </w:r>
      <w:r>
        <w:rPr>
          <w:highlight w:val="none"/>
        </w:rPr>
        <w:t>求</w:t>
      </w:r>
      <w:bookmarkEnd w:id="428"/>
      <w:bookmarkEnd w:id="429"/>
      <w:bookmarkEnd w:id="430"/>
    </w:p>
    <w:tbl>
      <w:tblPr>
        <w:tblStyle w:val="5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67"/>
        <w:gridCol w:w="678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blHeader/>
          <w:jc w:val="center"/>
        </w:trPr>
        <w:tc>
          <w:tcPr>
            <w:tcW w:w="1167" w:type="dxa"/>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highlight w:val="none"/>
              </w:rPr>
            </w:pPr>
            <w:bookmarkStart w:id="431" w:name="_Toc410586289"/>
            <w:bookmarkStart w:id="432" w:name="_Toc414370580"/>
            <w:r>
              <w:rPr>
                <w:rFonts w:hint="default" w:ascii="Times New Roman" w:hAnsi="Times New Roman" w:cs="Times New Roman"/>
                <w:b/>
                <w:color w:val="000000"/>
                <w:szCs w:val="21"/>
                <w:highlight w:val="none"/>
              </w:rPr>
              <w:t>编号</w:t>
            </w:r>
          </w:p>
        </w:tc>
        <w:tc>
          <w:tcPr>
            <w:tcW w:w="6780" w:type="dxa"/>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Cs w:val="21"/>
                <w:highlight w:val="none"/>
              </w:rPr>
            </w:pPr>
            <w:r>
              <w:rPr>
                <w:rFonts w:hint="default" w:ascii="Times New Roman" w:hAnsi="Times New Roman" w:cs="Times New Roman"/>
                <w:b/>
                <w:bCs/>
                <w:highlight w:val="none"/>
              </w:rPr>
              <w:t>要求内容</w:t>
            </w:r>
          </w:p>
        </w:tc>
        <w:tc>
          <w:tcPr>
            <w:tcW w:w="1451" w:type="dxa"/>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Cs w:val="21"/>
                <w:highlight w:val="none"/>
              </w:rPr>
            </w:pPr>
            <w:r>
              <w:rPr>
                <w:rFonts w:hint="eastAsia" w:cs="Times New Roman"/>
                <w:b/>
                <w:bCs/>
                <w:highlight w:val="none"/>
                <w:lang w:val="en-US" w:eastAsia="zh-CN"/>
              </w:rPr>
              <w:t>必需</w:t>
            </w:r>
            <w:r>
              <w:rPr>
                <w:rFonts w:hint="default" w:ascii="Times New Roman" w:hAnsi="Times New Roman" w:cs="Times New Roman"/>
                <w:b/>
                <w:bCs/>
                <w:highlight w:val="none"/>
              </w:rPr>
              <w:t>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1"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0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default"/>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bidi="ar"/>
              </w:rPr>
              <w:t>1-2000CP测试范围(单位mPa·s或cp)</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C00000"/>
                <w:szCs w:val="21"/>
                <w:highlight w:val="none"/>
              </w:rPr>
            </w:pPr>
            <w:r>
              <w:rPr>
                <w:rFonts w:hint="eastAsia" w:cs="Times New Roman"/>
                <w:highlight w:val="none"/>
                <w:lang w:val="en-US" w:eastAsia="zh-CN"/>
              </w:rPr>
              <w:t>必需</w:t>
            </w:r>
          </w:p>
        </w:tc>
      </w:tr>
      <w:bookmarkEnd w:id="431"/>
      <w:bookmarkEnd w:id="4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default"/>
                <w:highlight w:val="none"/>
              </w:rPr>
            </w:pPr>
            <w:r>
              <w:rPr>
                <w:rFonts w:hint="eastAsia" w:asciiTheme="minorEastAsia" w:hAnsiTheme="minorEastAsia" w:eastAsiaTheme="minorEastAsia" w:cstheme="minorEastAsia"/>
                <w:color w:val="000000"/>
                <w:kern w:val="0"/>
                <w:sz w:val="20"/>
                <w:szCs w:val="20"/>
                <w:highlight w:val="none"/>
                <w:lang w:val="en-US" w:eastAsia="zh-CN" w:bidi="ar"/>
              </w:rPr>
              <w:t>不少于200种转速，提供更宽广的粘度/剪切测量范围，能显示剪切应力，剪切率参数。</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C00000"/>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bookmarkStart w:id="433" w:name="_Toc65836553"/>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精度：测量范围的±1%。</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重现性：≤±0.2%。</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自动量程显示，当前转子/转速组合下的最大粘度</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USB接口,转子不带任何电子元件，可直接浸入溶剂中超声清洗，方便维护。</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传感器采用连续感应芯片实时感应；不可采用光电感应的非连续感应传感器。</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default"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能对接Limis系统，可以利用软件实现用电脑对整个粘度测试过程的控制，显示剪切率，剪切应力，温度对粘度变化的曲线，通过软件可自动生成粘温曲线。</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highlight w:val="none"/>
                <w:lang w:val="en-US" w:eastAsia="zh-CN"/>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显示信息：粘度，温度，剪切率/剪切应力，扭矩，转速/转子号,程序步骤状态等。</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s="Times New Roman"/>
                <w:highlight w:val="none"/>
                <w:lang w:val="en-US" w:eastAsia="zh-CN"/>
              </w:rPr>
            </w:pPr>
            <w:r>
              <w:rPr>
                <w:rFonts w:hint="eastAsia" w:cs="Times New Roman"/>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内置式选项: 数学模型；温度控制；屈服测试；可编程QC上下限;基于用户指令测试。</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s="Times New Roman"/>
                <w:highlight w:val="none"/>
                <w:lang w:val="en-US" w:eastAsia="zh-CN"/>
              </w:rPr>
            </w:pPr>
            <w:r>
              <w:rPr>
                <w:rFonts w:hint="eastAsia" w:cs="Times New Roman"/>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加强性安全控制：自定义用户使用权限；测试日期和时间记录文件；密码锁定功能。</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s="Times New Roman"/>
                <w:highlight w:val="none"/>
                <w:lang w:val="en-US" w:eastAsia="zh-CN"/>
              </w:rPr>
            </w:pPr>
            <w:r>
              <w:rPr>
                <w:rFonts w:hint="eastAsia" w:cs="Times New Roman"/>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内部数据存储不少于150MB。</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s="Times New Roman"/>
                <w:highlight w:val="none"/>
                <w:lang w:val="en-US" w:eastAsia="zh-CN"/>
              </w:rPr>
            </w:pPr>
            <w:r>
              <w:rPr>
                <w:rFonts w:hint="eastAsia" w:cs="Times New Roman"/>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exact"/>
              <w:ind w:left="420" w:leftChars="0" w:firstLineChars="0"/>
              <w:jc w:val="center"/>
              <w:textAlignment w:val="auto"/>
              <w:rPr>
                <w:rFonts w:hint="default" w:ascii="Times New Roman" w:hAnsi="Times New Roman" w:eastAsia="宋体" w:cs="Times New Roman"/>
                <w:color w:val="C00000"/>
                <w:szCs w:val="21"/>
                <w:highlight w:val="none"/>
              </w:rPr>
            </w:pPr>
          </w:p>
        </w:tc>
        <w:tc>
          <w:tcPr>
            <w:tcW w:w="6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both"/>
              <w:rPr>
                <w:rFonts w:hint="eastAsia" w:asciiTheme="minorEastAsia" w:hAnsiTheme="minorEastAsia" w:eastAsiaTheme="minorEastAsia" w:cstheme="minorEastAsia"/>
                <w:color w:val="000000"/>
                <w:kern w:val="0"/>
                <w:sz w:val="20"/>
                <w:szCs w:val="20"/>
                <w:highlight w:val="none"/>
                <w:lang w:val="en-US" w:eastAsia="zh-CN" w:bidi="ar"/>
              </w:rPr>
            </w:pPr>
            <w:r>
              <w:rPr>
                <w:rFonts w:hint="eastAsia" w:asciiTheme="minorEastAsia" w:hAnsiTheme="minorEastAsia" w:eastAsiaTheme="minorEastAsia" w:cstheme="minorEastAsia"/>
                <w:color w:val="000000"/>
                <w:kern w:val="0"/>
                <w:sz w:val="20"/>
                <w:szCs w:val="20"/>
                <w:highlight w:val="none"/>
                <w:lang w:val="en-US" w:eastAsia="zh-CN" w:bidi="ar"/>
              </w:rPr>
              <w:t>操作屏幕采用一体式设计而非分体式外置屏幕，采用至少5英寸全彩色触摸屏，全触摸屏操作，无按键,实时显示粘度值，以及粘度趋势变化，多种语言（含中文）支持。</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s="Times New Roman"/>
                <w:highlight w:val="none"/>
                <w:lang w:val="en-US" w:eastAsia="zh-CN"/>
              </w:rPr>
            </w:pPr>
            <w:r>
              <w:rPr>
                <w:rFonts w:hint="eastAsia" w:cs="Times New Roman"/>
                <w:highlight w:val="none"/>
                <w:lang w:val="en-US" w:eastAsia="zh-CN"/>
              </w:rPr>
              <w:t>期望</w:t>
            </w:r>
          </w:p>
        </w:tc>
      </w:tr>
    </w:tbl>
    <w:p>
      <w:pPr>
        <w:pStyle w:val="187"/>
        <w:widowControl/>
        <w:spacing w:after="120"/>
        <w:outlineLvl w:val="1"/>
        <w:rPr>
          <w:rFonts w:ascii="Times New Roman" w:cs="Times New Roman"/>
          <w:b/>
          <w:bCs/>
          <w:color w:val="000000"/>
          <w:sz w:val="21"/>
          <w:szCs w:val="21"/>
          <w:highlight w:val="none"/>
        </w:rPr>
      </w:pPr>
    </w:p>
    <w:bookmarkEnd w:id="433"/>
    <w:p>
      <w:pPr>
        <w:pStyle w:val="4"/>
        <w:bidi w:val="0"/>
        <w:rPr>
          <w:highlight w:val="none"/>
        </w:rPr>
      </w:pPr>
      <w:bookmarkStart w:id="434" w:name="_Toc65836556"/>
      <w:bookmarkStart w:id="435" w:name="_Toc32558"/>
      <w:r>
        <w:rPr>
          <w:rFonts w:hint="eastAsia"/>
          <w:highlight w:val="none"/>
        </w:rPr>
        <w:t>包装运输要求</w:t>
      </w:r>
      <w:bookmarkEnd w:id="434"/>
      <w:bookmarkEnd w:id="435"/>
    </w:p>
    <w:tbl>
      <w:tblPr>
        <w:tblStyle w:val="51"/>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670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jc w:val="center"/>
        </w:trPr>
        <w:tc>
          <w:tcPr>
            <w:tcW w:w="1096"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cs="Calibri"/>
                <w:b/>
                <w:color w:val="000000"/>
                <w:szCs w:val="21"/>
                <w:highlight w:val="none"/>
              </w:rPr>
              <w:t>编号</w:t>
            </w:r>
          </w:p>
        </w:tc>
        <w:tc>
          <w:tcPr>
            <w:tcW w:w="6704"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b/>
                <w:bCs/>
                <w:highlight w:val="none"/>
              </w:rPr>
              <w:t>要求内容</w:t>
            </w:r>
          </w:p>
        </w:tc>
        <w:tc>
          <w:tcPr>
            <w:tcW w:w="1443"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b/>
                <w:bCs/>
                <w:highlight w:val="none"/>
              </w:rPr>
              <w:t>必</w:t>
            </w:r>
            <w:r>
              <w:rPr>
                <w:rFonts w:hint="eastAsia" w:ascii="Calibri" w:hAnsi="Calibri"/>
                <w:b/>
                <w:bCs/>
                <w:highlight w:val="none"/>
                <w:lang w:val="en-US" w:eastAsia="zh-CN"/>
              </w:rPr>
              <w:t>需</w:t>
            </w:r>
            <w:r>
              <w:rPr>
                <w:rFonts w:ascii="Calibri" w:hAnsi="Calibri"/>
                <w:b/>
                <w:bCs/>
                <w:highlight w:val="none"/>
              </w:rPr>
              <w:t>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096"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704" w:type="dxa"/>
            <w:noWrap w:val="0"/>
            <w:vAlign w:val="center"/>
          </w:tcPr>
          <w:p>
            <w:pPr>
              <w:keepNext w:val="0"/>
              <w:keepLines w:val="0"/>
              <w:pageBreakBefore w:val="0"/>
              <w:widowControl w:val="0"/>
              <w:tabs>
                <w:tab w:val="left" w:pos="360"/>
                <w:tab w:val="left" w:pos="435"/>
              </w:tabs>
              <w:kinsoku/>
              <w:wordWrap/>
              <w:overflowPunct/>
              <w:topLinePunct w:val="0"/>
              <w:autoSpaceDE/>
              <w:autoSpaceDN/>
              <w:bidi w:val="0"/>
              <w:adjustRightInd/>
              <w:snapToGrid w:val="0"/>
              <w:spacing w:line="360" w:lineRule="exact"/>
              <w:textAlignment w:val="auto"/>
              <w:rPr>
                <w:rFonts w:hint="eastAsia" w:eastAsia="宋体"/>
                <w:szCs w:val="21"/>
                <w:highlight w:val="none"/>
                <w:lang w:eastAsia="zh-CN"/>
              </w:rPr>
            </w:pPr>
            <w:r>
              <w:rPr>
                <w:rFonts w:eastAsia="宋体"/>
                <w:szCs w:val="21"/>
                <w:highlight w:val="none"/>
              </w:rPr>
              <w:t>供应商应使用可靠的包装形式以保证运输安全，包装必须满足运输和装卸要求，防潮湿、防磕碰，由于包装不良而造成的任何</w:t>
            </w:r>
            <w:r>
              <w:rPr>
                <w:rFonts w:hint="eastAsia"/>
                <w:szCs w:val="21"/>
                <w:highlight w:val="none"/>
                <w:lang w:val="en-US" w:eastAsia="zh-CN"/>
              </w:rPr>
              <w:t>损坏</w:t>
            </w:r>
            <w:r>
              <w:rPr>
                <w:rFonts w:eastAsia="宋体"/>
                <w:szCs w:val="21"/>
                <w:highlight w:val="none"/>
              </w:rPr>
              <w:t>，供方承担全部损失和费用</w:t>
            </w:r>
            <w:r>
              <w:rPr>
                <w:rFonts w:hint="eastAsia"/>
                <w:szCs w:val="21"/>
                <w:highlight w:val="none"/>
                <w:lang w:eastAsia="zh-CN"/>
              </w:rPr>
              <w:t>。</w:t>
            </w:r>
          </w:p>
        </w:tc>
        <w:tc>
          <w:tcPr>
            <w:tcW w:w="144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FF0000"/>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96"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704" w:type="dxa"/>
            <w:noWrap w:val="0"/>
            <w:vAlign w:val="center"/>
          </w:tcPr>
          <w:p>
            <w:pPr>
              <w:keepNext w:val="0"/>
              <w:keepLines w:val="0"/>
              <w:pageBreakBefore w:val="0"/>
              <w:widowControl w:val="0"/>
              <w:tabs>
                <w:tab w:val="left" w:pos="360"/>
                <w:tab w:val="left" w:pos="435"/>
              </w:tabs>
              <w:kinsoku/>
              <w:wordWrap/>
              <w:overflowPunct/>
              <w:topLinePunct w:val="0"/>
              <w:autoSpaceDE/>
              <w:autoSpaceDN/>
              <w:bidi w:val="0"/>
              <w:adjustRightInd/>
              <w:snapToGrid w:val="0"/>
              <w:spacing w:line="360" w:lineRule="exact"/>
              <w:textAlignment w:val="auto"/>
              <w:rPr>
                <w:rFonts w:hint="eastAsia" w:eastAsia="宋体"/>
                <w:szCs w:val="21"/>
                <w:highlight w:val="none"/>
                <w:lang w:eastAsia="zh-CN"/>
              </w:rPr>
            </w:pPr>
            <w:r>
              <w:rPr>
                <w:rFonts w:eastAsia="宋体"/>
                <w:szCs w:val="21"/>
                <w:highlight w:val="none"/>
              </w:rPr>
              <w:t>运输时间包含在供货周期内，供应商负责运输</w:t>
            </w:r>
            <w:r>
              <w:rPr>
                <w:rFonts w:hint="eastAsia"/>
                <w:szCs w:val="21"/>
                <w:highlight w:val="none"/>
                <w:lang w:val="en-US" w:eastAsia="zh-CN"/>
              </w:rPr>
              <w:t>，</w:t>
            </w:r>
            <w:r>
              <w:rPr>
                <w:rFonts w:eastAsia="宋体"/>
                <w:szCs w:val="21"/>
                <w:highlight w:val="none"/>
              </w:rPr>
              <w:t>并承担运输费用</w:t>
            </w:r>
            <w:r>
              <w:rPr>
                <w:rFonts w:hint="eastAsia"/>
                <w:szCs w:val="21"/>
                <w:highlight w:val="none"/>
                <w:lang w:eastAsia="zh-CN"/>
              </w:rPr>
              <w:t>。</w:t>
            </w:r>
          </w:p>
        </w:tc>
        <w:tc>
          <w:tcPr>
            <w:tcW w:w="144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FF0000"/>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96"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704" w:type="dxa"/>
            <w:noWrap w:val="0"/>
            <w:vAlign w:val="center"/>
          </w:tcPr>
          <w:p>
            <w:pPr>
              <w:keepNext w:val="0"/>
              <w:keepLines w:val="0"/>
              <w:pageBreakBefore w:val="0"/>
              <w:widowControl w:val="0"/>
              <w:tabs>
                <w:tab w:val="left" w:pos="360"/>
                <w:tab w:val="left" w:pos="435"/>
              </w:tabs>
              <w:kinsoku/>
              <w:wordWrap/>
              <w:overflowPunct/>
              <w:topLinePunct w:val="0"/>
              <w:autoSpaceDE/>
              <w:autoSpaceDN/>
              <w:bidi w:val="0"/>
              <w:adjustRightInd/>
              <w:snapToGrid w:val="0"/>
              <w:spacing w:line="360" w:lineRule="exact"/>
              <w:textAlignment w:val="auto"/>
              <w:rPr>
                <w:rFonts w:hint="eastAsia" w:eastAsia="宋体"/>
                <w:szCs w:val="21"/>
                <w:highlight w:val="none"/>
                <w:lang w:val="en-US" w:eastAsia="zh-CN"/>
              </w:rPr>
            </w:pPr>
            <w:r>
              <w:rPr>
                <w:rFonts w:eastAsia="宋体"/>
                <w:szCs w:val="21"/>
                <w:highlight w:val="none"/>
              </w:rPr>
              <w:t>供应商负责</w:t>
            </w:r>
            <w:r>
              <w:rPr>
                <w:rFonts w:hint="eastAsia"/>
                <w:szCs w:val="21"/>
                <w:highlight w:val="none"/>
                <w:lang w:val="en-US" w:eastAsia="zh-CN"/>
              </w:rPr>
              <w:t>装卸货，</w:t>
            </w:r>
            <w:r>
              <w:rPr>
                <w:rFonts w:eastAsia="宋体"/>
                <w:szCs w:val="21"/>
                <w:highlight w:val="none"/>
              </w:rPr>
              <w:t>并承担费用</w:t>
            </w:r>
            <w:r>
              <w:rPr>
                <w:rFonts w:hint="eastAsia"/>
                <w:szCs w:val="21"/>
                <w:highlight w:val="none"/>
                <w:lang w:eastAsia="zh-CN"/>
              </w:rPr>
              <w:t>。</w:t>
            </w:r>
          </w:p>
        </w:tc>
        <w:tc>
          <w:tcPr>
            <w:tcW w:w="144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color w:val="FF0000"/>
                <w:szCs w:val="21"/>
                <w:highlight w:val="none"/>
                <w:lang w:eastAsia="zh-CN"/>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96"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704" w:type="dxa"/>
            <w:noWrap w:val="0"/>
            <w:vAlign w:val="center"/>
          </w:tcPr>
          <w:p>
            <w:pPr>
              <w:keepNext w:val="0"/>
              <w:keepLines w:val="0"/>
              <w:pageBreakBefore w:val="0"/>
              <w:widowControl w:val="0"/>
              <w:tabs>
                <w:tab w:val="left" w:pos="360"/>
                <w:tab w:val="left" w:pos="435"/>
              </w:tabs>
              <w:kinsoku/>
              <w:wordWrap/>
              <w:overflowPunct/>
              <w:topLinePunct w:val="0"/>
              <w:autoSpaceDE/>
              <w:autoSpaceDN/>
              <w:bidi w:val="0"/>
              <w:adjustRightInd/>
              <w:snapToGrid w:val="0"/>
              <w:spacing w:line="360" w:lineRule="exact"/>
              <w:textAlignment w:val="auto"/>
              <w:rPr>
                <w:rFonts w:hint="default" w:eastAsia="宋体"/>
                <w:szCs w:val="21"/>
                <w:highlight w:val="none"/>
                <w:lang w:val="en-US"/>
              </w:rPr>
            </w:pPr>
            <w:r>
              <w:rPr>
                <w:rFonts w:hint="eastAsia"/>
                <w:szCs w:val="21"/>
                <w:highlight w:val="none"/>
                <w:lang w:val="en-US" w:eastAsia="zh-CN"/>
              </w:rPr>
              <w:t>卸货的仓储区域需上楼时，供应商负责将货物送至指定区域，并承担费用。</w:t>
            </w:r>
          </w:p>
        </w:tc>
        <w:tc>
          <w:tcPr>
            <w:tcW w:w="1443"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eastAsia="宋体"/>
                <w:color w:val="FF0000"/>
                <w:szCs w:val="21"/>
                <w:highlight w:val="none"/>
                <w:lang w:eastAsia="zh-CN"/>
              </w:rPr>
            </w:pPr>
            <w:r>
              <w:rPr>
                <w:rFonts w:hint="eastAsia" w:cs="Times New Roman"/>
                <w:highlight w:val="none"/>
                <w:lang w:val="en-US" w:eastAsia="zh-CN"/>
              </w:rPr>
              <w:t>必需</w:t>
            </w:r>
          </w:p>
        </w:tc>
      </w:tr>
    </w:tbl>
    <w:p>
      <w:pPr>
        <w:pStyle w:val="187"/>
        <w:widowControl/>
        <w:spacing w:after="120"/>
        <w:outlineLvl w:val="1"/>
        <w:rPr>
          <w:rFonts w:ascii="Times New Roman" w:cs="Times New Roman"/>
          <w:color w:val="000000"/>
          <w:sz w:val="21"/>
          <w:szCs w:val="21"/>
          <w:highlight w:val="none"/>
        </w:rPr>
      </w:pPr>
      <w:bookmarkStart w:id="436" w:name="_Toc65836559"/>
    </w:p>
    <w:p>
      <w:pPr>
        <w:pStyle w:val="4"/>
        <w:bidi w:val="0"/>
        <w:rPr>
          <w:highlight w:val="none"/>
        </w:rPr>
      </w:pPr>
      <w:bookmarkStart w:id="437" w:name="_Toc25153"/>
      <w:bookmarkStart w:id="438" w:name="_Toc12615"/>
      <w:r>
        <w:rPr>
          <w:rFonts w:hint="eastAsia"/>
          <w:highlight w:val="none"/>
        </w:rPr>
        <w:t>文件资料要求</w:t>
      </w:r>
      <w:bookmarkEnd w:id="436"/>
      <w:bookmarkEnd w:id="437"/>
      <w:bookmarkEnd w:id="438"/>
    </w:p>
    <w:tbl>
      <w:tblPr>
        <w:tblStyle w:val="51"/>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665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1248"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cs="Calibri"/>
                <w:b/>
                <w:color w:val="000000"/>
                <w:szCs w:val="21"/>
                <w:highlight w:val="none"/>
              </w:rPr>
              <w:t>编号</w:t>
            </w:r>
          </w:p>
        </w:tc>
        <w:tc>
          <w:tcPr>
            <w:tcW w:w="6659"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b/>
                <w:bCs/>
                <w:highlight w:val="none"/>
              </w:rPr>
              <w:t>要求内容</w:t>
            </w:r>
          </w:p>
        </w:tc>
        <w:tc>
          <w:tcPr>
            <w:tcW w:w="1282"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b/>
                <w:bCs/>
                <w:highlight w:val="none"/>
              </w:rPr>
              <w:t>必</w:t>
            </w:r>
            <w:r>
              <w:rPr>
                <w:rFonts w:hint="eastAsia" w:ascii="Calibri" w:hAnsi="Calibri"/>
                <w:b/>
                <w:bCs/>
                <w:highlight w:val="none"/>
                <w:lang w:val="en-US" w:eastAsia="zh-CN"/>
              </w:rPr>
              <w:t>需</w:t>
            </w:r>
            <w:r>
              <w:rPr>
                <w:rFonts w:ascii="Calibri" w:hAnsi="Calibri"/>
                <w:b/>
                <w:bCs/>
                <w:highlight w:val="none"/>
              </w:rPr>
              <w:t>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8"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6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Cs w:val="21"/>
                <w:highlight w:val="none"/>
                <w:lang w:val="en-US" w:eastAsia="zh-CN"/>
              </w:rPr>
            </w:pPr>
            <w:r>
              <w:rPr>
                <w:rFonts w:hint="eastAsia" w:ascii="宋体" w:hAnsi="宋体" w:cs="宋体"/>
                <w:highlight w:val="none"/>
                <w:lang w:val="en-US" w:eastAsia="zh-CN"/>
              </w:rPr>
              <w:t>供应商需提供相应的产品</w:t>
            </w:r>
            <w:r>
              <w:rPr>
                <w:rFonts w:hint="eastAsia" w:ascii="宋体" w:hAnsi="宋体" w:eastAsia="宋体" w:cs="宋体"/>
                <w:highlight w:val="none"/>
              </w:rPr>
              <w:t>合格证书</w:t>
            </w:r>
            <w:r>
              <w:rPr>
                <w:rFonts w:hint="eastAsia" w:ascii="宋体" w:hAnsi="宋体" w:cs="宋体"/>
                <w:highlight w:val="none"/>
                <w:lang w:eastAsia="zh-CN"/>
              </w:rPr>
              <w:t>、</w:t>
            </w:r>
            <w:r>
              <w:rPr>
                <w:rFonts w:hint="eastAsia" w:ascii="宋体" w:hAnsi="宋体" w:cs="宋体"/>
                <w:highlight w:val="none"/>
                <w:lang w:val="en-US" w:eastAsia="zh-CN"/>
              </w:rPr>
              <w:t>计量合格证书等。</w:t>
            </w:r>
          </w:p>
        </w:tc>
        <w:tc>
          <w:tcPr>
            <w:tcW w:w="1282"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Cs w:val="21"/>
                <w:highlight w:val="none"/>
                <w:lang w:val="en-US" w:eastAsia="zh-CN" w:bidi="ar-SA"/>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48"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65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szCs w:val="21"/>
                <w:highlight w:val="none"/>
                <w:lang w:val="en-US" w:eastAsia="zh-CN"/>
              </w:rPr>
            </w:pPr>
            <w:r>
              <w:rPr>
                <w:rFonts w:hint="eastAsia" w:ascii="宋体" w:hAnsi="宋体" w:cs="宋体"/>
                <w:highlight w:val="none"/>
                <w:lang w:val="en-US" w:eastAsia="zh-CN"/>
              </w:rPr>
              <w:t>供应商需提供相应的生产资质证明。</w:t>
            </w:r>
          </w:p>
        </w:tc>
        <w:tc>
          <w:tcPr>
            <w:tcW w:w="1282"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Cs w:val="21"/>
                <w:highlight w:val="none"/>
                <w:lang w:val="fr-FR" w:eastAsia="zh-CN" w:bidi="ar-SA"/>
              </w:rPr>
            </w:pPr>
            <w:r>
              <w:rPr>
                <w:rFonts w:hint="eastAsia" w:cs="Times New Roman"/>
                <w:highlight w:val="none"/>
                <w:lang w:val="en-US" w:eastAsia="zh-CN"/>
              </w:rPr>
              <w:t>必需</w:t>
            </w:r>
          </w:p>
        </w:tc>
      </w:tr>
    </w:tbl>
    <w:p>
      <w:pPr>
        <w:pStyle w:val="4"/>
        <w:bidi w:val="0"/>
        <w:rPr>
          <w:highlight w:val="none"/>
        </w:rPr>
      </w:pPr>
      <w:bookmarkStart w:id="439" w:name="_Toc65836562"/>
      <w:bookmarkStart w:id="440" w:name="_Toc28573"/>
      <w:bookmarkStart w:id="441" w:name="_Toc12627"/>
      <w:r>
        <w:rPr>
          <w:rFonts w:hint="eastAsia"/>
          <w:highlight w:val="none"/>
          <w:lang w:val="en-US" w:eastAsia="zh-CN"/>
        </w:rPr>
        <w:t>售后服务</w:t>
      </w:r>
      <w:r>
        <w:rPr>
          <w:rFonts w:hint="eastAsia"/>
          <w:highlight w:val="none"/>
        </w:rPr>
        <w:t>要求</w:t>
      </w:r>
      <w:bookmarkEnd w:id="439"/>
      <w:bookmarkEnd w:id="440"/>
      <w:bookmarkEnd w:id="441"/>
    </w:p>
    <w:tbl>
      <w:tblPr>
        <w:tblStyle w:val="51"/>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6633"/>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1125"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cs="Calibri"/>
                <w:b/>
                <w:color w:val="000000"/>
                <w:szCs w:val="21"/>
                <w:highlight w:val="none"/>
              </w:rPr>
              <w:t>编号</w:t>
            </w:r>
          </w:p>
        </w:tc>
        <w:tc>
          <w:tcPr>
            <w:tcW w:w="6633"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b/>
                <w:bCs/>
                <w:highlight w:val="none"/>
              </w:rPr>
              <w:t>要求内容</w:t>
            </w:r>
          </w:p>
        </w:tc>
        <w:tc>
          <w:tcPr>
            <w:tcW w:w="1249" w:type="dxa"/>
            <w:shd w:val="clear" w:color="auto" w:fill="BEBEB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szCs w:val="21"/>
                <w:highlight w:val="none"/>
              </w:rPr>
            </w:pPr>
            <w:r>
              <w:rPr>
                <w:rFonts w:ascii="Calibri" w:hAnsi="Calibri"/>
                <w:b/>
                <w:bCs/>
                <w:highlight w:val="none"/>
              </w:rPr>
              <w:t>必</w:t>
            </w:r>
            <w:r>
              <w:rPr>
                <w:rFonts w:hint="eastAsia" w:ascii="Calibri" w:hAnsi="Calibri"/>
                <w:b/>
                <w:bCs/>
                <w:highlight w:val="none"/>
                <w:lang w:val="en-US" w:eastAsia="zh-CN"/>
              </w:rPr>
              <w:t>需</w:t>
            </w:r>
            <w:r>
              <w:rPr>
                <w:rFonts w:ascii="Calibri" w:hAnsi="Calibri"/>
                <w:b/>
                <w:bCs/>
                <w:highlight w:val="none"/>
              </w:rPr>
              <w:t>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25"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633" w:type="dxa"/>
            <w:noWrap w:val="0"/>
            <w:vAlign w:val="center"/>
          </w:tcPr>
          <w:p>
            <w:pPr>
              <w:snapToGrid w:val="0"/>
              <w:rPr>
                <w:rFonts w:hint="eastAsia" w:ascii="Times New Roman" w:hAnsi="Times New Roman" w:eastAsia="宋体" w:cs="Times New Roman"/>
                <w:szCs w:val="22"/>
                <w:highlight w:val="none"/>
                <w:lang w:val="en-US" w:eastAsia="zh-CN" w:bidi="ar-SA"/>
              </w:rPr>
            </w:pPr>
            <w:r>
              <w:rPr>
                <w:rFonts w:hint="eastAsia" w:ascii="Times New Roman" w:hAnsi="Times New Roman" w:eastAsia="宋体" w:cs="Times New Roman"/>
                <w:szCs w:val="22"/>
                <w:highlight w:val="none"/>
                <w:lang w:val="en-GB" w:eastAsia="zh-CN" w:bidi="ar-SA"/>
              </w:rPr>
              <w:t>供应商应</w:t>
            </w:r>
            <w:r>
              <w:rPr>
                <w:rFonts w:hint="eastAsia" w:cs="Times New Roman"/>
                <w:szCs w:val="22"/>
                <w:highlight w:val="none"/>
                <w:lang w:val="en-US" w:eastAsia="zh-CN" w:bidi="ar-SA"/>
              </w:rPr>
              <w:t>负责产品的安装调试和人员培训</w:t>
            </w:r>
            <w:r>
              <w:rPr>
                <w:rFonts w:hint="eastAsia" w:ascii="Times New Roman" w:hAnsi="Times New Roman" w:eastAsia="宋体" w:cs="Times New Roman"/>
                <w:szCs w:val="22"/>
                <w:highlight w:val="none"/>
                <w:lang w:val="en-GB" w:eastAsia="zh-CN" w:bidi="ar-SA"/>
              </w:rPr>
              <w:t>。</w:t>
            </w:r>
          </w:p>
        </w:tc>
        <w:tc>
          <w:tcPr>
            <w:tcW w:w="124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125"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633" w:type="dxa"/>
            <w:shd w:val="clear" w:color="auto" w:fill="auto"/>
            <w:noWrap w:val="0"/>
            <w:vAlign w:val="center"/>
          </w:tcPr>
          <w:p>
            <w:pPr>
              <w:snapToGrid w:val="0"/>
              <w:rPr>
                <w:rFonts w:hint="default" w:ascii="Times New Roman" w:hAnsi="Times New Roman" w:eastAsia="宋体" w:cs="Times New Roman"/>
                <w:szCs w:val="22"/>
                <w:highlight w:val="none"/>
                <w:lang w:val="en-US" w:eastAsia="zh-CN" w:bidi="ar-SA"/>
              </w:rPr>
            </w:pPr>
            <w:r>
              <w:rPr>
                <w:rFonts w:hint="eastAsia" w:ascii="Times New Roman" w:hAnsi="Times New Roman" w:eastAsia="宋体" w:cs="Times New Roman"/>
                <w:szCs w:val="22"/>
                <w:highlight w:val="none"/>
                <w:lang w:val="en-GB" w:eastAsia="zh-CN" w:bidi="ar-SA"/>
              </w:rPr>
              <w:t>供应商应定期进行回访，</w:t>
            </w:r>
            <w:r>
              <w:rPr>
                <w:rFonts w:hint="eastAsia" w:cs="Times New Roman"/>
                <w:szCs w:val="22"/>
                <w:highlight w:val="none"/>
                <w:lang w:val="en-US" w:eastAsia="zh-CN" w:bidi="ar-SA"/>
              </w:rPr>
              <w:t>12小时内响应客户，</w:t>
            </w:r>
            <w:r>
              <w:rPr>
                <w:rFonts w:hint="eastAsia" w:ascii="Times New Roman" w:hAnsi="Times New Roman" w:eastAsia="宋体" w:cs="Times New Roman"/>
                <w:szCs w:val="22"/>
                <w:highlight w:val="none"/>
                <w:lang w:val="en-GB" w:eastAsia="zh-CN" w:bidi="ar-SA"/>
              </w:rPr>
              <w:t>解决</w:t>
            </w:r>
            <w:r>
              <w:rPr>
                <w:rFonts w:hint="eastAsia" w:cs="Times New Roman"/>
                <w:szCs w:val="22"/>
                <w:highlight w:val="none"/>
                <w:lang w:val="en-US" w:eastAsia="zh-CN" w:bidi="ar-SA"/>
              </w:rPr>
              <w:t>使用过程中出现的问题</w:t>
            </w:r>
            <w:r>
              <w:rPr>
                <w:rFonts w:hint="eastAsia" w:ascii="Times New Roman" w:hAnsi="Times New Roman" w:eastAsia="宋体" w:cs="Times New Roman"/>
                <w:szCs w:val="22"/>
                <w:highlight w:val="none"/>
                <w:lang w:val="en-GB" w:eastAsia="zh-CN" w:bidi="ar-SA"/>
              </w:rPr>
              <w:t>。</w:t>
            </w:r>
          </w:p>
        </w:tc>
        <w:tc>
          <w:tcPr>
            <w:tcW w:w="124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125"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633" w:type="dxa"/>
            <w:shd w:val="clear" w:color="auto" w:fill="auto"/>
            <w:noWrap w:val="0"/>
            <w:vAlign w:val="center"/>
          </w:tcPr>
          <w:p>
            <w:pPr>
              <w:pStyle w:val="171"/>
              <w:tabs>
                <w:tab w:val="left" w:pos="709"/>
              </w:tabs>
              <w:adjustRightInd/>
              <w:snapToGrid/>
              <w:spacing w:before="120" w:beforeLines="50" w:line="276" w:lineRule="auto"/>
              <w:ind w:left="0" w:leftChars="0" w:firstLine="0" w:firstLineChars="0"/>
              <w:rPr>
                <w:rFonts w:hint="eastAsia" w:ascii="Times New Roman" w:hAnsi="Times New Roman" w:eastAsia="宋体" w:cs="Times New Roman"/>
                <w:szCs w:val="22"/>
                <w:highlight w:val="none"/>
                <w:lang w:val="en-US" w:eastAsia="zh-CN" w:bidi="ar-SA"/>
              </w:rPr>
            </w:pPr>
            <w:r>
              <w:rPr>
                <w:rFonts w:hint="eastAsia" w:ascii="Times New Roman" w:hAnsi="Times New Roman" w:cs="Times New Roman"/>
                <w:szCs w:val="22"/>
                <w:highlight w:val="none"/>
                <w:lang w:val="en-US" w:eastAsia="zh-CN" w:bidi="ar-SA"/>
              </w:rPr>
              <w:t>供应商应提供最新生产日期的货品。</w:t>
            </w:r>
          </w:p>
        </w:tc>
        <w:tc>
          <w:tcPr>
            <w:tcW w:w="124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Cs w:val="21"/>
                <w:highlight w:val="none"/>
              </w:rPr>
            </w:pPr>
            <w:r>
              <w:rPr>
                <w:rFonts w:hint="eastAsia" w:cs="Times New Roman"/>
                <w:highlight w:val="none"/>
                <w:lang w:val="en-US" w:eastAsia="zh-CN"/>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125"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pacing w:line="360" w:lineRule="exact"/>
              <w:ind w:left="420" w:leftChars="0" w:firstLineChars="0"/>
              <w:jc w:val="center"/>
              <w:textAlignment w:val="auto"/>
              <w:rPr>
                <w:rFonts w:ascii="Calibri" w:hAnsi="Calibri" w:eastAsia="宋体"/>
                <w:color w:val="000000"/>
                <w:szCs w:val="21"/>
                <w:highlight w:val="none"/>
              </w:rPr>
            </w:pPr>
          </w:p>
        </w:tc>
        <w:tc>
          <w:tcPr>
            <w:tcW w:w="6633" w:type="dxa"/>
            <w:shd w:val="clear" w:color="auto" w:fill="auto"/>
            <w:noWrap w:val="0"/>
            <w:vAlign w:val="center"/>
          </w:tcPr>
          <w:p>
            <w:pPr>
              <w:pStyle w:val="171"/>
              <w:tabs>
                <w:tab w:val="left" w:pos="709"/>
              </w:tabs>
              <w:adjustRightInd/>
              <w:snapToGrid/>
              <w:spacing w:before="120" w:beforeLines="50" w:line="276" w:lineRule="auto"/>
              <w:ind w:left="0" w:leftChars="0" w:firstLine="0" w:firstLineChars="0"/>
              <w:rPr>
                <w:rFonts w:hint="default" w:ascii="Times New Roman" w:hAnsi="Times New Roman" w:cs="Times New Roman"/>
                <w:szCs w:val="22"/>
                <w:highlight w:val="none"/>
                <w:lang w:val="en-US" w:eastAsia="zh-CN" w:bidi="ar-SA"/>
              </w:rPr>
            </w:pPr>
            <w:r>
              <w:rPr>
                <w:rFonts w:hint="eastAsia" w:ascii="Times New Roman" w:hAnsi="Times New Roman" w:cs="Times New Roman"/>
                <w:szCs w:val="22"/>
                <w:highlight w:val="none"/>
                <w:lang w:val="en-US" w:eastAsia="zh-CN" w:bidi="ar-SA"/>
              </w:rPr>
              <w:t>提供质保申明，范围等。</w:t>
            </w:r>
          </w:p>
        </w:tc>
        <w:tc>
          <w:tcPr>
            <w:tcW w:w="124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s="Times New Roman"/>
                <w:highlight w:val="none"/>
                <w:lang w:val="en-US" w:eastAsia="zh-CN"/>
              </w:rPr>
            </w:pPr>
            <w:r>
              <w:rPr>
                <w:rFonts w:hint="eastAsia" w:cs="Times New Roman"/>
                <w:highlight w:val="none"/>
                <w:lang w:val="en-US" w:eastAsia="zh-CN"/>
              </w:rPr>
              <w:t>必需</w:t>
            </w:r>
          </w:p>
        </w:tc>
      </w:tr>
    </w:tbl>
    <w:p>
      <w:pPr>
        <w:rPr>
          <w:rFonts w:hint="eastAsia"/>
        </w:rPr>
      </w:pPr>
    </w:p>
    <w:p>
      <w:pPr>
        <w:rPr>
          <w:rFonts w:hint="eastAsia"/>
        </w:rPr>
      </w:pPr>
    </w:p>
    <w:p>
      <w:pPr>
        <w:rPr>
          <w:rFonts w:hint="eastAsia"/>
        </w:rPr>
      </w:pPr>
    </w:p>
    <w:p>
      <w:pPr>
        <w:pStyle w:val="2"/>
        <w:rPr>
          <w:rFonts w:hint="eastAsia"/>
          <w:lang w:val="en-US" w:eastAsia="zh-CN"/>
        </w:rPr>
      </w:pPr>
    </w:p>
    <w:sectPr>
      <w:footerReference r:id="rId18" w:type="firs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83F2B"/>
    <w:multiLevelType w:val="multilevel"/>
    <w:tmpl w:val="8FA83F2B"/>
    <w:lvl w:ilvl="0" w:tentative="0">
      <w:start w:val="1"/>
      <mc:AlternateContent>
        <mc:Choice Requires="w14">
          <w:numFmt w:val="custom" w:format="001, 002, 003, ..."/>
        </mc:Choice>
        <mc:Fallback>
          <w:numFmt w:val="decimal"/>
        </mc:Fallback>
      </mc:AlternateContent>
      <w:lvlText w:val="URS%1"/>
      <w:lvlJc w:val="left"/>
      <w:pPr>
        <w:ind w:left="420" w:hanging="420"/>
      </w:pPr>
      <w:rPr>
        <w:rFonts w:hint="default" w:ascii="Times New Roman" w:hAnsi="Times New Roman" w:eastAsia="宋体" w:cs="Times New Roman"/>
        <w:b w:val="0"/>
        <w:color w:val="auto"/>
        <w:sz w:val="21"/>
        <w:szCs w:val="21"/>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2"/>
  </w:num>
  <w:num w:numId="3">
    <w:abstractNumId w:val="4"/>
  </w:num>
  <w:num w:numId="4">
    <w:abstractNumId w:val="14"/>
  </w:num>
  <w:num w:numId="5">
    <w:abstractNumId w:val="3"/>
  </w:num>
  <w:num w:numId="6">
    <w:abstractNumId w:val="13"/>
  </w:num>
  <w:num w:numId="7">
    <w:abstractNumId w:val="10"/>
  </w:num>
  <w:num w:numId="8">
    <w:abstractNumId w:val="5"/>
  </w:num>
  <w:num w:numId="9">
    <w:abstractNumId w:val="1"/>
  </w:num>
  <w:num w:numId="10">
    <w:abstractNumId w:val="11"/>
  </w:num>
  <w:num w:numId="11">
    <w:abstractNumId w:val="9"/>
  </w:num>
  <w:num w:numId="12">
    <w:abstractNumId w:val="12"/>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CD3744"/>
    <w:rsid w:val="05BD6C4F"/>
    <w:rsid w:val="068A051E"/>
    <w:rsid w:val="06E27CD9"/>
    <w:rsid w:val="07714A42"/>
    <w:rsid w:val="084367D4"/>
    <w:rsid w:val="084E0615"/>
    <w:rsid w:val="08F23B0F"/>
    <w:rsid w:val="09545AC8"/>
    <w:rsid w:val="0AFF4E4A"/>
    <w:rsid w:val="0B933243"/>
    <w:rsid w:val="0BD842AB"/>
    <w:rsid w:val="0BEE13A6"/>
    <w:rsid w:val="0D04723D"/>
    <w:rsid w:val="0D792EAC"/>
    <w:rsid w:val="0D8D0EA8"/>
    <w:rsid w:val="0E175D7C"/>
    <w:rsid w:val="100F10E1"/>
    <w:rsid w:val="114C6D7B"/>
    <w:rsid w:val="119D1D5C"/>
    <w:rsid w:val="124848DD"/>
    <w:rsid w:val="12AF40AF"/>
    <w:rsid w:val="143E54A0"/>
    <w:rsid w:val="149208C7"/>
    <w:rsid w:val="17493924"/>
    <w:rsid w:val="17524BB4"/>
    <w:rsid w:val="17634B0D"/>
    <w:rsid w:val="17DD21C5"/>
    <w:rsid w:val="1A060CD7"/>
    <w:rsid w:val="1A164AB8"/>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7930C6"/>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0923BB0"/>
    <w:rsid w:val="31A71994"/>
    <w:rsid w:val="31C03214"/>
    <w:rsid w:val="3371124C"/>
    <w:rsid w:val="33716BC9"/>
    <w:rsid w:val="33BB31BC"/>
    <w:rsid w:val="33DA7906"/>
    <w:rsid w:val="3436155A"/>
    <w:rsid w:val="347A6C66"/>
    <w:rsid w:val="34E83EA9"/>
    <w:rsid w:val="359C48DD"/>
    <w:rsid w:val="35F37D16"/>
    <w:rsid w:val="3674202A"/>
    <w:rsid w:val="379C09D5"/>
    <w:rsid w:val="38023102"/>
    <w:rsid w:val="384D3D8D"/>
    <w:rsid w:val="38A02D03"/>
    <w:rsid w:val="38A92A23"/>
    <w:rsid w:val="39E25AC3"/>
    <w:rsid w:val="3A601B79"/>
    <w:rsid w:val="3A9A2C2A"/>
    <w:rsid w:val="3BCD47A7"/>
    <w:rsid w:val="3C440E8D"/>
    <w:rsid w:val="3CC80902"/>
    <w:rsid w:val="3D342B6E"/>
    <w:rsid w:val="3EA238CA"/>
    <w:rsid w:val="402D4B16"/>
    <w:rsid w:val="40B567C2"/>
    <w:rsid w:val="40F23A4C"/>
    <w:rsid w:val="411A359C"/>
    <w:rsid w:val="44E645F9"/>
    <w:rsid w:val="45E40A76"/>
    <w:rsid w:val="45EB594E"/>
    <w:rsid w:val="48AC304C"/>
    <w:rsid w:val="48CA449B"/>
    <w:rsid w:val="49772E24"/>
    <w:rsid w:val="4A4C29D1"/>
    <w:rsid w:val="4B6C5100"/>
    <w:rsid w:val="4BE75898"/>
    <w:rsid w:val="4C0C1018"/>
    <w:rsid w:val="4C52117B"/>
    <w:rsid w:val="4DED1D23"/>
    <w:rsid w:val="4DF06CFE"/>
    <w:rsid w:val="4E2539F2"/>
    <w:rsid w:val="4FE85234"/>
    <w:rsid w:val="50C06A6F"/>
    <w:rsid w:val="51AB25E2"/>
    <w:rsid w:val="52C77193"/>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422007"/>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85BBE"/>
    <w:rsid w:val="6B0C4773"/>
    <w:rsid w:val="6B277F37"/>
    <w:rsid w:val="6B716B29"/>
    <w:rsid w:val="6C741EF9"/>
    <w:rsid w:val="6D094D94"/>
    <w:rsid w:val="6DC65A80"/>
    <w:rsid w:val="6E380D0C"/>
    <w:rsid w:val="6ED42A0E"/>
    <w:rsid w:val="6EE168B7"/>
    <w:rsid w:val="70977707"/>
    <w:rsid w:val="711663FD"/>
    <w:rsid w:val="714D5CAB"/>
    <w:rsid w:val="73951FFE"/>
    <w:rsid w:val="73BA04D5"/>
    <w:rsid w:val="753B3AE9"/>
    <w:rsid w:val="75F113D5"/>
    <w:rsid w:val="76190D95"/>
    <w:rsid w:val="770478DC"/>
    <w:rsid w:val="773C186D"/>
    <w:rsid w:val="78BC2324"/>
    <w:rsid w:val="78CC6D3B"/>
    <w:rsid w:val="78DC67E8"/>
    <w:rsid w:val="792340C6"/>
    <w:rsid w:val="7AAB15D2"/>
    <w:rsid w:val="7B6706DA"/>
    <w:rsid w:val="7C6A2093"/>
    <w:rsid w:val="7CBF52AE"/>
    <w:rsid w:val="7DC70AA0"/>
    <w:rsid w:val="7E5E24A6"/>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2"/>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18518</Words>
  <Characters>19557</Characters>
  <Lines>243</Lines>
  <Paragraphs>68</Paragraphs>
  <TotalTime>2</TotalTime>
  <ScaleCrop>false</ScaleCrop>
  <LinksUpToDate>false</LinksUpToDate>
  <CharactersWithSpaces>21485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2025-04-14T03:04:53Z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