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WKZB-2025-038</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超滤膜包</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超滤膜包</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WKZB-2025-038</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超滤膜包</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6931"/>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超滤膜包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超滤膜包</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963"/>
      <w:bookmarkStart w:id="16" w:name="_Toc23826"/>
      <w:bookmarkStart w:id="17" w:name="_Toc1584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超滤膜包</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4098"/>
      <w:bookmarkStart w:id="22" w:name="_Toc10836"/>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商入围超滤膜包项目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52045527"/>
      <w:bookmarkStart w:id="37" w:name="_Toc390940505"/>
      <w:bookmarkStart w:id="38" w:name="_Toc25653"/>
      <w:bookmarkStart w:id="39" w:name="_Toc179632544"/>
      <w:bookmarkStart w:id="40" w:name="_Toc144974495"/>
      <w:bookmarkStart w:id="41" w:name="_Toc233102490"/>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144974496"/>
      <w:bookmarkStart w:id="45" w:name="_Toc18804"/>
      <w:bookmarkStart w:id="46" w:name="_Toc152042304"/>
      <w:bookmarkStart w:id="47" w:name="_Toc152045528"/>
      <w:bookmarkStart w:id="48" w:name="_Toc233102491"/>
      <w:bookmarkStart w:id="49" w:name="_Toc109736027"/>
      <w:bookmarkStart w:id="50" w:name="_Toc179632545"/>
      <w:bookmarkStart w:id="51" w:name="_Toc390940506"/>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216582805"/>
      <w:bookmarkStart w:id="54" w:name="_Toc109736028"/>
      <w:bookmarkStart w:id="55" w:name="_Toc144974497"/>
      <w:bookmarkStart w:id="56" w:name="_Toc179632546"/>
      <w:bookmarkStart w:id="57" w:name="_Toc152042305"/>
      <w:bookmarkStart w:id="58" w:name="_Toc152045529"/>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27571"/>
      <w:bookmarkStart w:id="63" w:name="_Toc109736029"/>
      <w:bookmarkStart w:id="64" w:name="_Toc1794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30223"/>
      <w:bookmarkStart w:id="70" w:name="_Toc520356145"/>
      <w:bookmarkStart w:id="71" w:name="_Toc20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472"/>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109736038"/>
      <w:bookmarkStart w:id="93" w:name="_Toc52035615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109736045"/>
      <w:bookmarkStart w:id="118" w:name="_Toc23629"/>
      <w:bookmarkStart w:id="119" w:name="_Toc216582808"/>
      <w:bookmarkStart w:id="120" w:name="_Toc52035615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3762"/>
      <w:bookmarkStart w:id="128" w:name="_Toc109736049"/>
      <w:bookmarkStart w:id="129" w:name="_Toc21658280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Ref467307010"/>
      <w:bookmarkStart w:id="146" w:name="_Toc109736056"/>
      <w:bookmarkStart w:id="147" w:name="_Toc520356170"/>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7062"/>
      <w:bookmarkStart w:id="157" w:name="_Toc520356175"/>
      <w:bookmarkStart w:id="158" w:name="_Ref467306978"/>
      <w:bookmarkStart w:id="159" w:name="_Ref467307204"/>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7090"/>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214"/>
      <w:bookmarkStart w:id="172" w:name="_Ref467379101"/>
      <w:bookmarkStart w:id="173" w:name="_Ref467379109"/>
      <w:bookmarkStart w:id="174" w:name="_Toc415222497"/>
      <w:bookmarkStart w:id="175" w:name="_Ref467378463"/>
      <w:bookmarkStart w:id="176" w:name="_Ref467378404"/>
      <w:bookmarkStart w:id="177" w:name="_Ref467379225"/>
      <w:bookmarkStart w:id="178" w:name="_Ref467379094"/>
      <w:bookmarkStart w:id="179" w:name="_Ref467379195"/>
      <w:bookmarkStart w:id="180" w:name="_Ref467379205"/>
      <w:bookmarkStart w:id="181" w:name="_Toc487900349"/>
      <w:bookmarkStart w:id="182" w:name="_Ref467378499"/>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87900350"/>
      <w:bookmarkStart w:id="190" w:name="_Toc10889"/>
      <w:bookmarkStart w:id="191" w:name="_Toc415222498"/>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10492"/>
      <w:bookmarkStart w:id="194" w:name="_Toc415222499"/>
      <w:bookmarkStart w:id="195" w:name="_Toc487900351"/>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487900352"/>
      <w:bookmarkStart w:id="198" w:name="_Toc415222500"/>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323"/>
      <w:bookmarkStart w:id="202" w:name="_Toc17967"/>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91"/>
      <w:bookmarkStart w:id="205" w:name="_Ref467378541"/>
      <w:bookmarkStart w:id="206" w:name="_Toc18715"/>
      <w:bookmarkStart w:id="207" w:name="_Ref467379536"/>
      <w:bookmarkStart w:id="208" w:name="_Ref467379542"/>
      <w:bookmarkStart w:id="209" w:name="_Toc11864"/>
      <w:bookmarkStart w:id="210" w:name="_Toc487900354"/>
      <w:bookmarkStart w:id="211" w:name="_Ref467379527"/>
      <w:bookmarkStart w:id="212" w:name="_Toc41522250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6625"/>
      <w:bookmarkStart w:id="215" w:name="_Toc487900355"/>
      <w:bookmarkStart w:id="216" w:name="_Toc12437"/>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Toc487900357"/>
      <w:bookmarkStart w:id="220" w:name="_Toc415222504"/>
      <w:bookmarkStart w:id="221" w:name="_Toc15361"/>
      <w:bookmarkStart w:id="222" w:name="_Toc26337"/>
      <w:bookmarkStart w:id="223" w:name="_Ref46737980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15222505"/>
      <w:bookmarkStart w:id="225" w:name="_Toc487900358"/>
      <w:bookmarkStart w:id="226" w:name="_Ref467379923"/>
      <w:bookmarkStart w:id="227" w:name="_Ref467379863"/>
      <w:bookmarkStart w:id="228" w:name="_Ref467379852"/>
      <w:bookmarkStart w:id="229" w:name="_Toc1380"/>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87900359"/>
      <w:bookmarkStart w:id="232" w:name="_Ref467379937"/>
      <w:bookmarkStart w:id="233" w:name="_Toc28649"/>
      <w:bookmarkStart w:id="234" w:name="_Ref467379946"/>
      <w:bookmarkStart w:id="235" w:name="_Toc415222506"/>
      <w:bookmarkStart w:id="236" w:name="_Ref467377798"/>
      <w:bookmarkStart w:id="237" w:name="_Ref467377962"/>
      <w:bookmarkStart w:id="238" w:name="_Toc1544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Toc487900360"/>
      <w:bookmarkStart w:id="240" w:name="_Ref467378018"/>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21509"/>
      <w:bookmarkStart w:id="245" w:name="_Toc415222508"/>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31482"/>
      <w:bookmarkStart w:id="251" w:name="_Toc48790036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415222510"/>
      <w:bookmarkStart w:id="255" w:name="_Toc19929"/>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87900364"/>
      <w:bookmarkStart w:id="258" w:name="_Toc22040"/>
      <w:bookmarkStart w:id="259" w:name="_Toc6322"/>
      <w:bookmarkStart w:id="260" w:name="_Ref467378121"/>
      <w:bookmarkStart w:id="261" w:name="_Toc415222511"/>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29320"/>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17669"/>
      <w:bookmarkStart w:id="270" w:name="_Toc415222513"/>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15222514"/>
      <w:bookmarkStart w:id="272" w:name="_Toc9543"/>
      <w:bookmarkStart w:id="273" w:name="_Toc16231"/>
      <w:bookmarkStart w:id="274" w:name="_Toc487900367"/>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87900368"/>
      <w:bookmarkStart w:id="278" w:name="_Toc23904"/>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29725"/>
      <w:bookmarkStart w:id="282" w:name="_Toc10385"/>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13194"/>
      <w:bookmarkStart w:id="285" w:name="_Toc487900370"/>
      <w:bookmarkStart w:id="286" w:name="_Toc415222517"/>
      <w:bookmarkStart w:id="287" w:name="_Toc2142"/>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737"/>
      <w:bookmarkStart w:id="290" w:name="_Toc14345"/>
      <w:bookmarkStart w:id="291" w:name="_Toc415222518"/>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27508"/>
      <w:bookmarkStart w:id="293" w:name="_Toc487900372"/>
      <w:bookmarkStart w:id="294" w:name="_Toc415222519"/>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87900373"/>
      <w:bookmarkStart w:id="298" w:name="_Toc2856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31958"/>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15903"/>
      <w:bookmarkStart w:id="315" w:name="_Toc218935352"/>
      <w:bookmarkStart w:id="316" w:name="_Toc27454"/>
      <w:bookmarkStart w:id="317" w:name="_Toc220229326"/>
      <w:bookmarkStart w:id="318" w:name="_Toc220229431"/>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5329"/>
      <w:bookmarkStart w:id="339" w:name="_Toc415222524"/>
      <w:bookmarkStart w:id="340" w:name="_Toc216582813"/>
      <w:bookmarkStart w:id="341" w:name="_Toc109736069"/>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216582814"/>
      <w:bookmarkStart w:id="346" w:name="_Toc480942350"/>
      <w:bookmarkStart w:id="347" w:name="_Toc520356218"/>
      <w:bookmarkStart w:id="348" w:name="_Ref467988705"/>
      <w:bookmarkStart w:id="349" w:name="_Toc29788"/>
      <w:bookmarkStart w:id="350" w:name="_Toc109736070"/>
      <w:bookmarkStart w:id="351" w:name="_Toc41522252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超滤膜包</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WKZB-2025-038</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425"/>
        <w:gridCol w:w="1608"/>
        <w:gridCol w:w="1608"/>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19"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货号及包装规格</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/个</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3"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19"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超滤膜包</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83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3"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109736072"/>
      <w:bookmarkStart w:id="354" w:name="_Toc216582818"/>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超滤膜包</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WKZB-2025-038</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216582817"/>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超滤膜包</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WKZB-2025-038</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520356224"/>
      <w:bookmarkStart w:id="362" w:name="_Toc480942355"/>
      <w:bookmarkStart w:id="363" w:name="_Toc415222530"/>
      <w:bookmarkStart w:id="364" w:name="_Toc109736074"/>
      <w:bookmarkStart w:id="365" w:name="_Toc13093"/>
      <w:bookmarkStart w:id="366" w:name="_Toc216582819"/>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、投标人控股及管理关系情况表（</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343000"/>
      <w:bookmarkEnd w:id="370"/>
      <w:bookmarkStart w:id="371" w:name="_Hlt520350918"/>
      <w:bookmarkEnd w:id="371"/>
      <w:bookmarkStart w:id="372" w:name="_Hlt520350957"/>
      <w:bookmarkEnd w:id="372"/>
      <w:bookmarkStart w:id="373" w:name="_Hlt520273711"/>
      <w:bookmarkEnd w:id="373"/>
      <w:bookmarkStart w:id="374" w:name="_Hlt520274065"/>
      <w:bookmarkEnd w:id="374"/>
      <w:bookmarkStart w:id="375" w:name="_Hlt520274407"/>
      <w:bookmarkEnd w:id="375"/>
      <w:bookmarkStart w:id="376" w:name="_Hlt520343392"/>
      <w:bookmarkEnd w:id="376"/>
      <w:bookmarkStart w:id="377" w:name="_Hlt520271212"/>
      <w:bookmarkEnd w:id="377"/>
      <w:bookmarkStart w:id="378" w:name="_Hlt520274393"/>
      <w:bookmarkEnd w:id="378"/>
      <w:bookmarkStart w:id="379" w:name="_Hlt520274121"/>
      <w:bookmarkEnd w:id="379"/>
      <w:bookmarkStart w:id="380" w:name="_Toc2581"/>
      <w:bookmarkStart w:id="381" w:name="_Toc520125062"/>
      <w:bookmarkStart w:id="382" w:name="_Toc520125061"/>
      <w:bookmarkStart w:id="383" w:name="_Ref467990100"/>
      <w:bookmarkStart w:id="384" w:name="_Toc520356228"/>
      <w:bookmarkStart w:id="385" w:name="_Ref467988479"/>
      <w:bookmarkStart w:id="386" w:name="_Toc480942358"/>
      <w:bookmarkStart w:id="387" w:name="_Ref467990064"/>
      <w:bookmarkStart w:id="388" w:name="_Ref467990101"/>
      <w:bookmarkStart w:id="389" w:name="_Ref467988485"/>
      <w:bookmarkStart w:id="390" w:name="_Toc480942357"/>
      <w:bookmarkStart w:id="391" w:name="_Ref467988471"/>
      <w:bookmarkStart w:id="392" w:name="_Toc520356229"/>
      <w:bookmarkStart w:id="393" w:name="_Ref467990058"/>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超滤膜包</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WKZB-2025-038</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9175639"/>
      <w:bookmarkStart w:id="406" w:name="_Toc216582826"/>
      <w:bookmarkStart w:id="407" w:name="_Toc220229434"/>
      <w:bookmarkStart w:id="408" w:name="_Toc218935355"/>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after="60"/>
        <w:jc w:val="both"/>
        <w:outlineLvl w:val="0"/>
        <w:rPr>
          <w:rFonts w:hint="eastAsia" w:ascii="Times New Roman" w:hAnsi="Times New Roman" w:eastAsia="宋体" w:cs="Times New Roman"/>
          <w:b/>
          <w:caps w:val="0"/>
          <w:kern w:val="28"/>
          <w:sz w:val="30"/>
          <w:lang w:val="fr-FR" w:eastAsia="zh-CN" w:bidi="ar-SA"/>
        </w:rPr>
      </w:pPr>
      <w:bookmarkStart w:id="415" w:name="_Toc23860"/>
      <w:r>
        <w:rPr>
          <w:rFonts w:hint="eastAsia" w:ascii="Times New Roman" w:hAnsi="Times New Roman" w:eastAsia="宋体" w:cs="Times New Roman"/>
          <w:b/>
          <w:caps w:val="0"/>
          <w:kern w:val="28"/>
          <w:sz w:val="30"/>
          <w:lang w:val="fr-FR" w:eastAsia="zh-CN" w:bidi="ar-SA"/>
        </w:rPr>
        <w:t>目的</w:t>
      </w:r>
      <w:bookmarkEnd w:id="415"/>
    </w:p>
    <w:p>
      <w:pPr>
        <w:widowControl/>
        <w:spacing w:line="360" w:lineRule="auto"/>
        <w:ind w:firstLine="400" w:firstLineChars="20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本URS文件旨在以文件的形式描述国药集团扬州威克生物工程有限公司</w:t>
      </w:r>
      <w:r>
        <w:rPr>
          <w:rFonts w:hint="eastAsia" w:ascii="Times New Roman" w:hAnsi="Times New Roman" w:eastAsia="宋体" w:cs="Times New Roman"/>
          <w:kern w:val="0"/>
          <w:sz w:val="20"/>
          <w:szCs w:val="20"/>
          <w:lang w:val="en-US" w:eastAsia="zh-CN"/>
        </w:rPr>
        <w:t>悬浮病毒灭活疫苗生产用超滤膜包</w:t>
      </w:r>
      <w:r>
        <w:rPr>
          <w:rFonts w:hint="eastAsia" w:ascii="Times New Roman" w:hAnsi="Times New Roman" w:eastAsia="宋体" w:cs="Times New Roman"/>
          <w:kern w:val="0"/>
          <w:sz w:val="20"/>
          <w:szCs w:val="20"/>
          <w:lang w:val="fr-FR"/>
        </w:rPr>
        <w:t>的期望及需要。包括如生物安全性、溶出物、化学兼容性、物理性质与性能品质，以及使用条件硬件（比如温度限值、化学性限值、清洗、冲洗、完整性检测和操作方法）</w:t>
      </w:r>
      <w:r>
        <w:rPr>
          <w:rFonts w:hint="eastAsia" w:ascii="Times New Roman" w:hAnsi="Times New Roman" w:eastAsia="宋体" w:cs="Times New Roman"/>
          <w:kern w:val="0"/>
          <w:sz w:val="20"/>
          <w:szCs w:val="20"/>
          <w:lang w:val="en-US" w:eastAsia="zh-CN"/>
        </w:rPr>
        <w:t>等。</w:t>
      </w:r>
      <w:r>
        <w:rPr>
          <w:rFonts w:hint="eastAsia" w:ascii="Times New Roman" w:hAnsi="Times New Roman" w:eastAsia="宋体" w:cs="Times New Roman"/>
          <w:kern w:val="0"/>
          <w:sz w:val="20"/>
          <w:szCs w:val="20"/>
          <w:lang w:val="fr-FR"/>
        </w:rPr>
        <w:t>并将作为设备最后调试、验收的依据</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以保证制造商所提供的产品符合我公司的所有要求。</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16" w:name="_Toc28598"/>
      <w:bookmarkStart w:id="417" w:name="_Toc25863"/>
      <w:r>
        <w:rPr>
          <w:rFonts w:hint="eastAsia" w:ascii="Times New Roman" w:hAnsi="Times New Roman" w:eastAsia="宋体" w:cs="Times New Roman"/>
          <w:b/>
          <w:caps/>
          <w:kern w:val="28"/>
          <w:sz w:val="30"/>
          <w:lang w:val="en-US" w:eastAsia="zh-CN" w:bidi="ar-SA"/>
        </w:rPr>
        <w:t>范围</w:t>
      </w:r>
      <w:bookmarkEnd w:id="416"/>
      <w:bookmarkEnd w:id="417"/>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Times New Roman" w:hAnsi="Times New Roman" w:eastAsia="宋体" w:cs="Times New Roman"/>
          <w:kern w:val="0"/>
          <w:sz w:val="20"/>
          <w:szCs w:val="20"/>
          <w:lang w:val="fr-FR" w:eastAsia="zh-CN"/>
        </w:rPr>
      </w:pPr>
      <w:r>
        <w:rPr>
          <w:rFonts w:hint="eastAsia" w:ascii="Times New Roman" w:hAnsi="Times New Roman" w:eastAsia="宋体" w:cs="Times New Roman"/>
          <w:kern w:val="0"/>
          <w:sz w:val="20"/>
          <w:szCs w:val="20"/>
          <w:lang w:val="fr-FR"/>
        </w:rPr>
        <w:t>适用于</w:t>
      </w:r>
      <w:r>
        <w:rPr>
          <w:rFonts w:hint="eastAsia" w:ascii="Times New Roman" w:hAnsi="Times New Roman" w:eastAsia="宋体" w:cs="Times New Roman"/>
          <w:kern w:val="0"/>
          <w:sz w:val="20"/>
          <w:szCs w:val="20"/>
          <w:lang w:val="en-US" w:eastAsia="zh-CN"/>
        </w:rPr>
        <w:t>悬浮病毒灭活疫苗生产的超滤膜包</w:t>
      </w:r>
      <w:r>
        <w:rPr>
          <w:rFonts w:hint="eastAsia" w:ascii="Times New Roman" w:hAnsi="Times New Roman" w:eastAsia="宋体" w:cs="Times New Roman"/>
          <w:kern w:val="0"/>
          <w:sz w:val="20"/>
          <w:szCs w:val="20"/>
          <w:lang w:val="fr-FR"/>
        </w:rPr>
        <w:t>招投标要求</w:t>
      </w:r>
      <w:r>
        <w:rPr>
          <w:rFonts w:hint="eastAsia" w:ascii="Times New Roman" w:hAnsi="Times New Roman" w:eastAsia="宋体" w:cs="Times New Roman"/>
          <w:kern w:val="0"/>
          <w:sz w:val="20"/>
          <w:szCs w:val="20"/>
          <w:lang w:val="fr-FR" w:eastAsia="zh-CN"/>
        </w:rPr>
        <w:t>。</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18" w:name="_Toc23192"/>
      <w:bookmarkStart w:id="419" w:name="_Toc26852"/>
      <w:r>
        <w:rPr>
          <w:rFonts w:hint="eastAsia" w:ascii="Times New Roman" w:hAnsi="Times New Roman" w:eastAsia="宋体" w:cs="Times New Roman"/>
          <w:b/>
          <w:caps/>
          <w:kern w:val="28"/>
          <w:sz w:val="30"/>
          <w:lang w:val="fr-FR" w:eastAsia="zh-CN" w:bidi="ar-SA"/>
        </w:rPr>
        <w:t>定义和缩略语</w:t>
      </w:r>
      <w:bookmarkEnd w:id="418"/>
      <w:bookmarkEnd w:id="419"/>
    </w:p>
    <w:tbl>
      <w:tblPr>
        <w:tblStyle w:val="5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spacing w:line="440" w:lineRule="atLeast"/>
              <w:ind w:firstLine="134" w:firstLineChars="67"/>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缩写</w:t>
            </w:r>
          </w:p>
        </w:tc>
        <w:tc>
          <w:tcPr>
            <w:tcW w:w="7371" w:type="dxa"/>
            <w:shd w:val="clear" w:color="auto" w:fill="D9D9D9"/>
            <w:noWrap w:val="0"/>
            <w:vAlign w:val="center"/>
          </w:tcPr>
          <w:p>
            <w:pPr>
              <w:widowControl/>
              <w:spacing w:line="440" w:lineRule="atLeast"/>
              <w:ind w:firstLine="420"/>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CIP</w:t>
            </w:r>
          </w:p>
        </w:tc>
        <w:tc>
          <w:tcPr>
            <w:tcW w:w="7371" w:type="dxa"/>
            <w:noWrap w:val="0"/>
            <w:vAlign w:val="center"/>
          </w:tcPr>
          <w:p>
            <w:pPr>
              <w:widowControl/>
              <w:spacing w:before="60" w:after="60"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Cleaning In Place在线清洗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cGMP</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Current Good Manufacturing Practices现行药品生产质量管理规范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FAT</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Factory Acceptance Test 设备出厂测试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FDA</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FRS</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Function Requirement Specification 功能需求说明书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FDS</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Functional design specifications 功能设计说明书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GAMP</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Good Automation Manufacturing Practices 良好的自动化生产规范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GMP</w:t>
            </w:r>
          </w:p>
        </w:tc>
        <w:tc>
          <w:tcPr>
            <w:tcW w:w="7371" w:type="dxa"/>
            <w:noWrap w:val="0"/>
            <w:vAlign w:val="center"/>
          </w:tcPr>
          <w:p>
            <w:pPr>
              <w:widowControl/>
              <w:spacing w:line="440" w:lineRule="atLeast"/>
              <w:jc w:val="left"/>
              <w:rPr>
                <w:rFonts w:ascii="Times New Roman" w:hAnsi="Times New Roman" w:eastAsia="宋体" w:cs="Times New Roman"/>
                <w:kern w:val="0"/>
                <w:sz w:val="20"/>
                <w:szCs w:val="20"/>
                <w:lang w:val="fr-FR"/>
              </w:rPr>
            </w:pPr>
            <w:r>
              <w:rPr>
                <w:rFonts w:ascii="Times New Roman" w:hAnsi="Times New Roman" w:eastAsia="宋体" w:cs="Times New Roman"/>
                <w:kern w:val="0"/>
                <w:sz w:val="20"/>
                <w:szCs w:val="20"/>
                <w:lang w:val="fr-FR"/>
              </w:rPr>
              <w:t>Good Manufacturing Practice 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QA</w:t>
            </w:r>
          </w:p>
        </w:tc>
        <w:tc>
          <w:tcPr>
            <w:tcW w:w="7371" w:type="dxa"/>
            <w:noWrap w:val="0"/>
            <w:vAlign w:val="center"/>
          </w:tcPr>
          <w:p>
            <w:pPr>
              <w:widowControl/>
              <w:spacing w:before="20" w:line="440" w:lineRule="atLeast"/>
              <w:jc w:val="left"/>
              <w:rPr>
                <w:rFonts w:ascii="Times New Roman" w:hAnsi="Times New Roman" w:eastAsia="宋体" w:cs="Times New Roman"/>
                <w:kern w:val="0"/>
                <w:sz w:val="21"/>
                <w:szCs w:val="21"/>
                <w:lang w:val="en-US"/>
              </w:rPr>
            </w:pPr>
            <w:r>
              <w:rPr>
                <w:rFonts w:ascii="Times New Roman" w:hAnsi="Times New Roman" w:eastAsia="宋体" w:cs="Times New Roman"/>
                <w:kern w:val="0"/>
                <w:sz w:val="21"/>
                <w:szCs w:val="21"/>
                <w:lang w:val="en-US"/>
              </w:rPr>
              <w:t>Quality Assurance质量保证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SAT</w:t>
            </w:r>
          </w:p>
        </w:tc>
        <w:tc>
          <w:tcPr>
            <w:tcW w:w="7371" w:type="dxa"/>
            <w:noWrap w:val="0"/>
            <w:vAlign w:val="center"/>
          </w:tcPr>
          <w:p>
            <w:pPr>
              <w:widowControl/>
              <w:spacing w:line="440" w:lineRule="atLeast"/>
              <w:jc w:val="left"/>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Site Acceptance Test现场验收测试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URS</w:t>
            </w:r>
          </w:p>
        </w:tc>
        <w:tc>
          <w:tcPr>
            <w:tcW w:w="7371" w:type="dxa"/>
            <w:noWrap w:val="0"/>
            <w:vAlign w:val="center"/>
          </w:tcPr>
          <w:p>
            <w:pPr>
              <w:widowControl/>
              <w:spacing w:line="440" w:lineRule="atLeast"/>
              <w:jc w:val="left"/>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spacing w:line="440" w:lineRule="atLeast"/>
              <w:jc w:val="center"/>
              <w:rPr>
                <w:rFonts w:ascii="Times New Roman" w:hAnsi="Times New Roman" w:eastAsia="宋体" w:cs="Times New Roman"/>
                <w:kern w:val="0"/>
                <w:sz w:val="20"/>
                <w:szCs w:val="21"/>
                <w:lang w:val="fr-FR"/>
              </w:rPr>
            </w:pPr>
            <w:r>
              <w:rPr>
                <w:rFonts w:ascii="Times New Roman" w:hAnsi="Times New Roman" w:eastAsia="宋体" w:cs="Times New Roman"/>
                <w:kern w:val="0"/>
                <w:sz w:val="20"/>
                <w:szCs w:val="21"/>
                <w:lang w:val="fr-FR"/>
              </w:rPr>
              <w:t>VP</w:t>
            </w:r>
          </w:p>
        </w:tc>
        <w:tc>
          <w:tcPr>
            <w:tcW w:w="7371" w:type="dxa"/>
            <w:noWrap w:val="0"/>
            <w:vAlign w:val="center"/>
          </w:tcPr>
          <w:p>
            <w:pPr>
              <w:widowControl/>
              <w:spacing w:line="440" w:lineRule="atLeast"/>
              <w:jc w:val="left"/>
              <w:rPr>
                <w:rFonts w:ascii="Times New Roman" w:hAnsi="Times New Roman" w:eastAsia="宋体" w:cs="Times New Roman"/>
                <w:kern w:val="0"/>
                <w:sz w:val="20"/>
                <w:szCs w:val="21"/>
                <w:lang w:val="fr-FR"/>
              </w:rPr>
            </w:pPr>
            <w:r>
              <w:rPr>
                <w:rFonts w:ascii="Times New Roman" w:hAnsi="Times New Roman" w:eastAsia="宋体" w:cs="Times New Roman"/>
                <w:bCs/>
                <w:kern w:val="0"/>
                <w:sz w:val="20"/>
                <w:szCs w:val="21"/>
                <w:lang w:val="fr-FR"/>
              </w:rPr>
              <w:t>Validation Plan 验证计划</w:t>
            </w:r>
          </w:p>
        </w:tc>
      </w:tr>
    </w:tbl>
    <w:p>
      <w:pPr>
        <w:widowControl/>
        <w:jc w:val="left"/>
        <w:rPr>
          <w:rFonts w:hint="eastAsia" w:ascii="Times New Roman" w:hAnsi="Times New Roman" w:eastAsia="宋体" w:cs="Times New Roman"/>
          <w:kern w:val="0"/>
          <w:sz w:val="20"/>
          <w:szCs w:val="20"/>
          <w:lang w:val="fr-FR"/>
        </w:rPr>
      </w:pP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20" w:name="_Toc18809"/>
      <w:bookmarkStart w:id="421" w:name="_Toc31418"/>
      <w:r>
        <w:rPr>
          <w:rFonts w:hint="eastAsia" w:ascii="Times New Roman" w:hAnsi="Times New Roman" w:eastAsia="宋体" w:cs="Times New Roman"/>
          <w:b/>
          <w:caps/>
          <w:kern w:val="28"/>
          <w:sz w:val="30"/>
          <w:lang w:val="fr-FR" w:eastAsia="zh-CN" w:bidi="ar-SA"/>
        </w:rPr>
        <w:t>需</w:t>
      </w:r>
      <w:r>
        <w:rPr>
          <w:rFonts w:hint="eastAsia" w:ascii="Times New Roman" w:hAnsi="Times New Roman" w:eastAsia="宋体" w:cs="Times New Roman"/>
          <w:b/>
          <w:caps/>
          <w:kern w:val="28"/>
          <w:sz w:val="30"/>
          <w:lang w:val="en-US" w:eastAsia="zh-CN" w:bidi="ar-SA"/>
        </w:rPr>
        <w:t>求</w:t>
      </w:r>
      <w:r>
        <w:rPr>
          <w:rFonts w:hint="eastAsia" w:ascii="Times New Roman" w:hAnsi="Times New Roman" w:eastAsia="宋体" w:cs="Times New Roman"/>
          <w:b/>
          <w:caps/>
          <w:kern w:val="28"/>
          <w:sz w:val="30"/>
          <w:lang w:val="fr-FR" w:eastAsia="zh-CN" w:bidi="ar-SA"/>
        </w:rPr>
        <w:t>设备/工艺的简单描述</w:t>
      </w:r>
      <w:bookmarkEnd w:id="420"/>
      <w:bookmarkEnd w:id="421"/>
    </w:p>
    <w:p>
      <w:pPr>
        <w:keepNext/>
        <w:numPr>
          <w:ilvl w:val="1"/>
          <w:numId w:val="15"/>
        </w:numPr>
        <w:bidi w:val="0"/>
        <w:spacing w:before="240" w:after="6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fr-FR" w:eastAsia="zh-CN" w:bidi="ar-SA"/>
        </w:rPr>
        <w:t>切向流过滤(TFF)</w:t>
      </w:r>
      <w:r>
        <w:rPr>
          <w:rFonts w:hint="eastAsia" w:ascii="Times New Roman" w:hAnsi="Times New Roman" w:eastAsia="宋体" w:cs="Times New Roman"/>
          <w:b/>
          <w:sz w:val="28"/>
          <w:lang w:val="en-US" w:eastAsia="zh-CN" w:bidi="ar-SA"/>
        </w:rPr>
        <w:t>简单描述</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切向流过滤(TFF)是对生物分子溶液进行浓缩、去盐或缓冲液置换的有效方法。切向流过滤(TFF)可以应用于从小生物分子中分馏出大分子，缓冲液除热源，细胞悬浮液回收以及澄清发酵液和细胞溶菌液等方面。</w:t>
      </w:r>
    </w:p>
    <w:p>
      <w:pPr>
        <w:keepNext/>
        <w:numPr>
          <w:ilvl w:val="1"/>
          <w:numId w:val="15"/>
        </w:numPr>
        <w:spacing w:before="240" w:after="60"/>
        <w:outlineLvl w:val="1"/>
        <w:rPr>
          <w:rFonts w:hint="eastAsia" w:ascii="Times New Roman" w:hAnsi="Times New Roman" w:eastAsia="宋体" w:cs="Times New Roman"/>
          <w:b/>
          <w:sz w:val="28"/>
          <w:lang w:val="fr-FR" w:eastAsia="zh-CN" w:bidi="ar-SA"/>
        </w:rPr>
      </w:pPr>
      <w:bookmarkStart w:id="422" w:name="_Toc24582"/>
      <w:r>
        <w:rPr>
          <w:rFonts w:hint="eastAsia" w:ascii="Times New Roman" w:hAnsi="Times New Roman" w:eastAsia="宋体" w:cs="Times New Roman"/>
          <w:b/>
          <w:sz w:val="28"/>
          <w:lang w:val="fr-FR" w:eastAsia="zh-CN" w:bidi="ar-SA"/>
        </w:rPr>
        <w:t>供货范围</w:t>
      </w:r>
      <w:bookmarkEnd w:id="422"/>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膜包均用热封塑料袋独立包装， 交付的膜包还附有两片塑料袋包装的硅胶垫片，测试证明，膜包保养与使用手册和 MSDS 文件等。</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1950"/>
        <w:gridCol w:w="2690"/>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膜包规格</w:t>
            </w:r>
          </w:p>
        </w:tc>
        <w:tc>
          <w:tcPr>
            <w:tcW w:w="1976"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数量（个）</w:t>
            </w:r>
          </w:p>
        </w:tc>
        <w:tc>
          <w:tcPr>
            <w:tcW w:w="2732" w:type="dxa"/>
            <w:noWrap w:val="0"/>
            <w:vAlign w:val="top"/>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每块膜包面积（平方）</w:t>
            </w:r>
          </w:p>
        </w:tc>
        <w:tc>
          <w:tcPr>
            <w:tcW w:w="2354"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4"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100KD</w:t>
            </w:r>
          </w:p>
        </w:tc>
        <w:tc>
          <w:tcPr>
            <w:tcW w:w="1976"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w:t>
            </w:r>
          </w:p>
        </w:tc>
        <w:tc>
          <w:tcPr>
            <w:tcW w:w="2732"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2.5</w:t>
            </w:r>
          </w:p>
        </w:tc>
        <w:tc>
          <w:tcPr>
            <w:tcW w:w="2354" w:type="dxa"/>
            <w:noWrap w:val="0"/>
            <w:vAlign w:val="top"/>
          </w:tcPr>
          <w:p>
            <w:pPr>
              <w:keepNext w:val="0"/>
              <w:keepLines w:val="0"/>
              <w:pageBreakBefore w:val="0"/>
              <w:widowControl/>
              <w:kinsoku/>
              <w:wordWrap/>
              <w:overflowPunct/>
              <w:topLinePunct w:val="0"/>
              <w:autoSpaceDE/>
              <w:autoSpaceDN/>
              <w:bidi w:val="0"/>
              <w:adjustRightInd/>
              <w:snapToGrid/>
              <w:ind w:firstLine="400" w:firstLineChars="200"/>
              <w:jc w:val="center"/>
              <w:textAlignment w:val="auto"/>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配套垫片</w:t>
            </w:r>
          </w:p>
        </w:tc>
      </w:tr>
    </w:tbl>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Times New Roman" w:hAnsi="Times New Roman" w:eastAsia="宋体" w:cs="Times New Roman"/>
          <w:kern w:val="0"/>
          <w:sz w:val="20"/>
          <w:szCs w:val="20"/>
          <w:lang w:val="fr-FR"/>
        </w:rPr>
      </w:pPr>
    </w:p>
    <w:p>
      <w:pPr>
        <w:keepNext/>
        <w:numPr>
          <w:ilvl w:val="1"/>
          <w:numId w:val="15"/>
        </w:numPr>
        <w:spacing w:before="240" w:after="60"/>
        <w:outlineLvl w:val="1"/>
        <w:rPr>
          <w:rFonts w:hint="eastAsia" w:ascii="Times New Roman" w:hAnsi="Times New Roman" w:eastAsia="宋体" w:cs="Times New Roman"/>
          <w:b/>
          <w:sz w:val="28"/>
          <w:lang w:val="fr-FR" w:eastAsia="zh-CN" w:bidi="ar-SA"/>
        </w:rPr>
      </w:pPr>
      <w:bookmarkStart w:id="423" w:name="_Toc18040"/>
      <w:r>
        <w:rPr>
          <w:rFonts w:hint="eastAsia" w:ascii="Times New Roman" w:hAnsi="Times New Roman" w:eastAsia="宋体" w:cs="Times New Roman"/>
          <w:b/>
          <w:sz w:val="28"/>
          <w:lang w:val="fr-FR" w:eastAsia="zh-CN" w:bidi="ar-SA"/>
        </w:rPr>
        <w:t>结构材质</w:t>
      </w:r>
      <w:bookmarkEnd w:id="423"/>
    </w:p>
    <w:p>
      <w:pPr>
        <w:widowControl/>
        <w:numPr>
          <w:ilvl w:val="0"/>
          <w:numId w:val="16"/>
        </w:numPr>
        <w:ind w:left="425" w:leftChars="0" w:hanging="425" w:firstLineChars="0"/>
        <w:jc w:val="left"/>
        <w:rPr>
          <w:rFonts w:hint="eastAsia" w:ascii="Times New Roman" w:hAnsi="Times New Roman" w:eastAsia="宋体" w:cs="Times New Roman"/>
          <w:kern w:val="0"/>
          <w:sz w:val="20"/>
          <w:szCs w:val="20"/>
          <w:highlight w:val="none"/>
          <w:lang w:val="fr-FR"/>
        </w:rPr>
      </w:pPr>
      <w:r>
        <w:rPr>
          <w:rFonts w:hint="eastAsia" w:ascii="Times New Roman" w:hAnsi="Times New Roman" w:eastAsia="宋体" w:cs="Times New Roman"/>
          <w:kern w:val="0"/>
          <w:sz w:val="20"/>
          <w:szCs w:val="20"/>
          <w:lang w:val="fr-FR"/>
        </w:rPr>
        <w:t xml:space="preserve">膜 </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膜为聚醚砜材质</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基质为多孔聚烯烃。</w:t>
      </w:r>
      <w:r>
        <w:rPr>
          <w:rFonts w:hint="eastAsia" w:ascii="Times New Roman" w:hAnsi="Times New Roman" w:eastAsia="宋体" w:cs="Times New Roman"/>
          <w:kern w:val="0"/>
          <w:sz w:val="20"/>
          <w:szCs w:val="20"/>
          <w:highlight w:val="none"/>
          <w:lang w:val="fr-FR"/>
        </w:rPr>
        <w:t xml:space="preserve">支撑层厚度为 220µm。 </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highlight w:val="none"/>
          <w:lang w:val="fr-FR"/>
        </w:rPr>
      </w:pPr>
      <w:r>
        <w:rPr>
          <w:rFonts w:hint="eastAsia" w:ascii="Times New Roman" w:hAnsi="Times New Roman" w:eastAsia="宋体" w:cs="Times New Roman"/>
          <w:kern w:val="0"/>
          <w:sz w:val="20"/>
          <w:szCs w:val="20"/>
          <w:highlight w:val="none"/>
          <w:lang w:val="fr-FR"/>
        </w:rPr>
        <w:t xml:space="preserve">筛网 </w:t>
      </w:r>
      <w:r>
        <w:rPr>
          <w:rFonts w:hint="eastAsia" w:ascii="Times New Roman" w:hAnsi="Times New Roman" w:eastAsia="宋体" w:cs="Times New Roman"/>
          <w:kern w:val="0"/>
          <w:sz w:val="20"/>
          <w:szCs w:val="20"/>
          <w:highlight w:val="none"/>
          <w:lang w:val="fr-FR" w:eastAsia="zh-CN"/>
        </w:rPr>
        <w:t>：</w:t>
      </w:r>
      <w:r>
        <w:rPr>
          <w:rFonts w:hint="eastAsia" w:ascii="Times New Roman" w:hAnsi="Times New Roman" w:eastAsia="宋体" w:cs="Times New Roman"/>
          <w:kern w:val="0"/>
          <w:sz w:val="20"/>
          <w:szCs w:val="20"/>
          <w:highlight w:val="none"/>
          <w:lang w:val="fr-FR"/>
        </w:rPr>
        <w:t xml:space="preserve">筛网为聚丙烯材质，厚度为 400-425µm。  </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 xml:space="preserve">密封件 </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 xml:space="preserve">密封件由铂封硅胶构成 ，符合 70℃下USP VI 级相关规定。 </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 xml:space="preserve">垫片 </w:t>
      </w:r>
      <w:r>
        <w:rPr>
          <w:rFonts w:hint="eastAsia" w:ascii="Times New Roman" w:hAnsi="Times New Roman" w:eastAsia="宋体" w:cs="Times New Roman"/>
          <w:kern w:val="0"/>
          <w:sz w:val="20"/>
          <w:szCs w:val="20"/>
          <w:lang w:val="fr-FR" w:eastAsia="zh-CN"/>
        </w:rPr>
        <w:t>：</w:t>
      </w:r>
      <w:r>
        <w:rPr>
          <w:rFonts w:hint="eastAsia" w:ascii="Times New Roman" w:hAnsi="Times New Roman" w:eastAsia="宋体" w:cs="Times New Roman"/>
          <w:kern w:val="0"/>
          <w:sz w:val="20"/>
          <w:szCs w:val="20"/>
          <w:lang w:val="fr-FR"/>
        </w:rPr>
        <w:t>垫片由医疗等级的铂封硅橡胶构成，符合 70℃下 USP VI 级相关规定。</w:t>
      </w:r>
    </w:p>
    <w:p>
      <w:pPr>
        <w:keepNext/>
        <w:numPr>
          <w:ilvl w:val="0"/>
          <w:numId w:val="15"/>
        </w:numPr>
        <w:spacing w:before="240" w:after="60"/>
        <w:outlineLvl w:val="0"/>
        <w:rPr>
          <w:rFonts w:ascii="Times New Roman" w:hAnsi="Times New Roman" w:eastAsia="宋体" w:cs="Times New Roman"/>
          <w:b/>
          <w:caps/>
          <w:kern w:val="28"/>
          <w:sz w:val="30"/>
          <w:lang w:val="en-US" w:eastAsia="zh-CN" w:bidi="ar-SA"/>
        </w:rPr>
      </w:pPr>
      <w:bookmarkStart w:id="424" w:name="_Toc22992"/>
      <w:bookmarkStart w:id="425" w:name="_Toc14542"/>
      <w:r>
        <w:rPr>
          <w:rFonts w:hint="eastAsia" w:ascii="Times New Roman" w:hAnsi="Times New Roman" w:eastAsia="宋体" w:cs="Times New Roman"/>
          <w:b/>
          <w:caps/>
          <w:kern w:val="28"/>
          <w:sz w:val="30"/>
          <w:lang w:val="en-US" w:eastAsia="zh-CN" w:bidi="ar-SA"/>
        </w:rPr>
        <w:t>技术规格</w:t>
      </w:r>
      <w:bookmarkEnd w:id="424"/>
      <w:bookmarkEnd w:id="425"/>
    </w:p>
    <w:p>
      <w:pPr>
        <w:keepNext/>
        <w:numPr>
          <w:ilvl w:val="1"/>
          <w:numId w:val="15"/>
        </w:numPr>
        <w:spacing w:before="240" w:after="60"/>
        <w:outlineLvl w:val="1"/>
        <w:rPr>
          <w:rFonts w:hint="eastAsia" w:ascii="Times New Roman" w:hAnsi="Times New Roman" w:eastAsia="宋体" w:cs="Times New Roman"/>
          <w:b/>
          <w:sz w:val="28"/>
          <w:lang w:val="fr-FR" w:eastAsia="zh-CN" w:bidi="ar-SA"/>
        </w:rPr>
      </w:pPr>
      <w:bookmarkStart w:id="426" w:name="_Toc28340"/>
      <w:r>
        <w:rPr>
          <w:rFonts w:hint="eastAsia" w:ascii="Times New Roman" w:hAnsi="Times New Roman" w:eastAsia="宋体" w:cs="Times New Roman"/>
          <w:b/>
          <w:sz w:val="28"/>
          <w:lang w:val="fr-FR" w:eastAsia="zh-CN" w:bidi="ar-SA"/>
        </w:rPr>
        <w:t>操作压力和温度</w:t>
      </w:r>
      <w:bookmarkEnd w:id="426"/>
    </w:p>
    <w:p>
      <w:pPr>
        <w:keepNext w:val="0"/>
        <w:keepLines w:val="0"/>
        <w:pageBreakBefore w:val="0"/>
        <w:widowControl/>
        <w:numPr>
          <w:ilvl w:val="0"/>
          <w:numId w:val="17"/>
        </w:numPr>
        <w:kinsoku/>
        <w:wordWrap/>
        <w:overflowPunct/>
        <w:topLinePunct w:val="0"/>
        <w:autoSpaceDE/>
        <w:autoSpaceDN/>
        <w:bidi w:val="0"/>
        <w:adjustRightInd/>
        <w:snapToGrid/>
        <w:ind w:left="425" w:leftChars="0" w:hanging="425" w:firstLineChars="0"/>
        <w:jc w:val="left"/>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操作压力</w:t>
      </w:r>
      <w:r>
        <w:rPr>
          <w:rFonts w:hint="eastAsia" w:ascii="Times New Roman" w:hAnsi="Times New Roman" w:eastAsia="宋体" w:cs="Times New Roman"/>
          <w:kern w:val="0"/>
          <w:sz w:val="20"/>
          <w:szCs w:val="20"/>
          <w:lang w:val="fr-FR"/>
        </w:rPr>
        <w:t>0.</w:t>
      </w:r>
      <w:r>
        <w:rPr>
          <w:rFonts w:hint="eastAsia" w:ascii="Times New Roman" w:hAnsi="Times New Roman" w:eastAsia="宋体" w:cs="Times New Roman"/>
          <w:kern w:val="0"/>
          <w:sz w:val="20"/>
          <w:szCs w:val="20"/>
          <w:lang w:val="en-US" w:eastAsia="zh-CN"/>
        </w:rPr>
        <w:t>2MPa ,</w:t>
      </w:r>
      <w:r>
        <w:rPr>
          <w:rFonts w:hint="eastAsia" w:ascii="Times New Roman" w:hAnsi="Times New Roman" w:eastAsia="宋体" w:cs="Times New Roman"/>
          <w:kern w:val="0"/>
          <w:sz w:val="20"/>
          <w:szCs w:val="20"/>
          <w:lang w:val="en-US"/>
        </w:rPr>
        <w:t>膜包</w:t>
      </w:r>
      <w:r>
        <w:rPr>
          <w:rFonts w:hint="eastAsia" w:ascii="Times New Roman" w:hAnsi="Times New Roman" w:eastAsia="宋体" w:cs="Times New Roman"/>
          <w:kern w:val="0"/>
          <w:sz w:val="20"/>
          <w:szCs w:val="20"/>
          <w:lang w:val="en-US" w:eastAsia="zh-CN"/>
        </w:rPr>
        <w:t>材质承受最大</w:t>
      </w:r>
      <w:r>
        <w:rPr>
          <w:rFonts w:hint="eastAsia" w:ascii="Times New Roman" w:hAnsi="Times New Roman" w:eastAsia="宋体" w:cs="Times New Roman"/>
          <w:kern w:val="0"/>
          <w:sz w:val="20"/>
          <w:szCs w:val="20"/>
          <w:lang w:val="en-US"/>
        </w:rPr>
        <w:t>压力</w:t>
      </w:r>
      <w:r>
        <w:rPr>
          <w:rFonts w:hint="eastAsia" w:ascii="Times New Roman" w:hAnsi="Times New Roman" w:eastAsia="宋体" w:cs="Times New Roman"/>
          <w:kern w:val="0"/>
          <w:sz w:val="20"/>
          <w:szCs w:val="20"/>
          <w:lang w:val="fr-FR"/>
        </w:rPr>
        <w:t>0.</w:t>
      </w:r>
      <w:r>
        <w:rPr>
          <w:rFonts w:hint="eastAsia" w:ascii="Times New Roman" w:hAnsi="Times New Roman" w:eastAsia="宋体" w:cs="Times New Roman"/>
          <w:kern w:val="0"/>
          <w:sz w:val="20"/>
          <w:szCs w:val="20"/>
          <w:lang w:val="en-US" w:eastAsia="zh-CN"/>
        </w:rPr>
        <w:t>6MPa 。</w:t>
      </w:r>
    </w:p>
    <w:p>
      <w:pPr>
        <w:keepNext w:val="0"/>
        <w:keepLines w:val="0"/>
        <w:pageBreakBefore w:val="0"/>
        <w:widowControl/>
        <w:numPr>
          <w:ilvl w:val="0"/>
          <w:numId w:val="17"/>
        </w:numPr>
        <w:kinsoku/>
        <w:wordWrap/>
        <w:overflowPunct/>
        <w:topLinePunct w:val="0"/>
        <w:autoSpaceDE/>
        <w:autoSpaceDN/>
        <w:bidi w:val="0"/>
        <w:adjustRightInd/>
        <w:snapToGrid/>
        <w:ind w:left="425" w:leftChars="0" w:hanging="425" w:firstLineChars="0"/>
        <w:jc w:val="left"/>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操作介质</w:t>
      </w:r>
      <w:r>
        <w:rPr>
          <w:rFonts w:hint="eastAsia" w:ascii="Times New Roman" w:hAnsi="Times New Roman" w:eastAsia="宋体" w:cs="Times New Roman"/>
          <w:kern w:val="0"/>
          <w:sz w:val="20"/>
          <w:szCs w:val="20"/>
          <w:lang w:val="en-US"/>
        </w:rPr>
        <w:t>温度</w:t>
      </w:r>
      <w:r>
        <w:rPr>
          <w:rFonts w:hint="eastAsia" w:ascii="Times New Roman" w:hAnsi="Times New Roman" w:eastAsia="宋体" w:cs="Times New Roman"/>
          <w:kern w:val="0"/>
          <w:sz w:val="20"/>
          <w:szCs w:val="20"/>
          <w:lang w:val="en-US" w:eastAsia="zh-CN"/>
        </w:rPr>
        <w:t>-5至55℃。</w:t>
      </w:r>
    </w:p>
    <w:p>
      <w:pPr>
        <w:keepNext w:val="0"/>
        <w:keepLines w:val="0"/>
        <w:pageBreakBefore w:val="0"/>
        <w:widowControl/>
        <w:numPr>
          <w:ilvl w:val="0"/>
          <w:numId w:val="17"/>
        </w:numPr>
        <w:kinsoku/>
        <w:wordWrap/>
        <w:overflowPunct/>
        <w:topLinePunct w:val="0"/>
        <w:autoSpaceDE/>
        <w:autoSpaceDN/>
        <w:bidi w:val="0"/>
        <w:adjustRightInd/>
        <w:snapToGrid/>
        <w:ind w:left="425" w:leftChars="0" w:hanging="425" w:firstLineChars="0"/>
        <w:jc w:val="left"/>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TMP跨膜</w:t>
      </w:r>
      <w:r>
        <w:rPr>
          <w:rFonts w:hint="eastAsia" w:ascii="Times New Roman" w:hAnsi="Times New Roman" w:eastAsia="宋体" w:cs="Times New Roman"/>
          <w:kern w:val="0"/>
          <w:sz w:val="20"/>
          <w:szCs w:val="20"/>
          <w:lang w:val="en-US"/>
        </w:rPr>
        <w:t>压差</w:t>
      </w:r>
      <w:r>
        <w:rPr>
          <w:rFonts w:hint="eastAsia" w:ascii="Times New Roman" w:hAnsi="Times New Roman" w:eastAsia="宋体" w:cs="Times New Roman"/>
          <w:kern w:val="0"/>
          <w:sz w:val="20"/>
          <w:szCs w:val="20"/>
          <w:lang w:val="en-US" w:eastAsia="zh-CN"/>
        </w:rPr>
        <w:t>不超过</w:t>
      </w:r>
      <w:r>
        <w:rPr>
          <w:rFonts w:hint="eastAsia" w:ascii="Times New Roman" w:hAnsi="Times New Roman" w:eastAsia="宋体" w:cs="Times New Roman"/>
          <w:kern w:val="0"/>
          <w:sz w:val="20"/>
          <w:szCs w:val="20"/>
          <w:lang w:val="fr-FR"/>
        </w:rPr>
        <w:t>0.</w:t>
      </w:r>
      <w:r>
        <w:rPr>
          <w:rFonts w:hint="eastAsia" w:ascii="Times New Roman" w:hAnsi="Times New Roman" w:eastAsia="宋体" w:cs="Times New Roman"/>
          <w:kern w:val="0"/>
          <w:sz w:val="20"/>
          <w:szCs w:val="20"/>
          <w:lang w:val="en-US" w:eastAsia="zh-CN"/>
        </w:rPr>
        <w:t>4MPa .</w:t>
      </w:r>
    </w:p>
    <w:p>
      <w:pPr>
        <w:keepNext w:val="0"/>
        <w:keepLines w:val="0"/>
        <w:pageBreakBefore w:val="0"/>
        <w:widowControl/>
        <w:numPr>
          <w:ilvl w:val="0"/>
          <w:numId w:val="17"/>
        </w:numPr>
        <w:kinsoku/>
        <w:wordWrap/>
        <w:overflowPunct/>
        <w:topLinePunct w:val="0"/>
        <w:autoSpaceDE/>
        <w:autoSpaceDN/>
        <w:bidi w:val="0"/>
        <w:adjustRightInd/>
        <w:snapToGrid/>
        <w:ind w:left="425" w:leftChars="0" w:hanging="425" w:firstLineChars="0"/>
        <w:jc w:val="left"/>
        <w:textAlignment w:val="auto"/>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介质</w:t>
      </w:r>
      <w:r>
        <w:rPr>
          <w:rFonts w:hint="eastAsia" w:ascii="Times New Roman" w:hAnsi="Times New Roman" w:eastAsia="宋体" w:cs="Times New Roman"/>
          <w:kern w:val="0"/>
          <w:sz w:val="20"/>
          <w:szCs w:val="20"/>
          <w:lang w:val="en-US"/>
        </w:rPr>
        <w:t>PH</w:t>
      </w:r>
      <w:r>
        <w:rPr>
          <w:rFonts w:hint="eastAsia" w:ascii="Times New Roman" w:hAnsi="Times New Roman" w:eastAsia="宋体" w:cs="Times New Roman"/>
          <w:kern w:val="0"/>
          <w:sz w:val="20"/>
          <w:szCs w:val="20"/>
          <w:lang w:val="en-US" w:eastAsia="zh-CN"/>
        </w:rPr>
        <w:t>范围4.5-8。</w:t>
      </w:r>
    </w:p>
    <w:p>
      <w:pPr>
        <w:keepNext w:val="0"/>
        <w:keepLines w:val="0"/>
        <w:pageBreakBefore w:val="0"/>
        <w:widowControl/>
        <w:kinsoku/>
        <w:wordWrap/>
        <w:overflowPunct/>
        <w:topLinePunct w:val="0"/>
        <w:autoSpaceDE/>
        <w:autoSpaceDN/>
        <w:bidi w:val="0"/>
        <w:adjustRightInd/>
        <w:snapToGrid/>
        <w:ind w:firstLine="400" w:firstLineChars="200"/>
        <w:jc w:val="left"/>
        <w:textAlignment w:val="auto"/>
        <w:rPr>
          <w:rFonts w:hint="eastAsia" w:ascii="Times New Roman" w:hAnsi="Times New Roman" w:eastAsia="宋体" w:cs="Times New Roman"/>
          <w:kern w:val="0"/>
          <w:sz w:val="20"/>
          <w:szCs w:val="20"/>
          <w:lang w:val="en-US" w:eastAsia="zh-CN"/>
        </w:rPr>
      </w:pPr>
    </w:p>
    <w:p>
      <w:pPr>
        <w:widowControl/>
        <w:jc w:val="left"/>
        <w:rPr>
          <w:rFonts w:hint="eastAsia" w:ascii="Times New Roman" w:hAnsi="Times New Roman" w:eastAsia="宋体" w:cs="Times New Roman"/>
          <w:kern w:val="0"/>
          <w:sz w:val="20"/>
          <w:szCs w:val="20"/>
          <w:lang w:val="en-US" w:eastAsia="zh-CN"/>
        </w:rPr>
      </w:pPr>
    </w:p>
    <w:p>
      <w:pPr>
        <w:keepNext/>
        <w:numPr>
          <w:ilvl w:val="1"/>
          <w:numId w:val="15"/>
        </w:numPr>
        <w:spacing w:before="240" w:after="6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fr-FR" w:eastAsia="zh-CN" w:bidi="ar-SA"/>
        </w:rPr>
        <w:t xml:space="preserve"> </w:t>
      </w:r>
      <w:bookmarkStart w:id="427" w:name="_Toc6770"/>
      <w:r>
        <w:rPr>
          <w:rFonts w:hint="eastAsia" w:ascii="Times New Roman" w:hAnsi="Times New Roman" w:eastAsia="宋体" w:cs="Times New Roman"/>
          <w:b/>
          <w:sz w:val="28"/>
          <w:lang w:val="fr-FR" w:eastAsia="zh-CN" w:bidi="ar-SA"/>
        </w:rPr>
        <w:t>标准水通量(NWP)范围</w:t>
      </w:r>
      <w:bookmarkEnd w:id="427"/>
    </w:p>
    <w:p>
      <w:pPr>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NWP测量膜的水透过率应满足产品的控制指标。</w:t>
      </w:r>
    </w:p>
    <w:p>
      <w:pPr>
        <w:widowControl/>
        <w:jc w:val="left"/>
        <w:rPr>
          <w:rFonts w:hint="eastAsia" w:ascii="Times New Roman" w:hAnsi="Times New Roman" w:eastAsia="宋体" w:cs="Times New Roman"/>
          <w:kern w:val="0"/>
          <w:sz w:val="20"/>
          <w:szCs w:val="20"/>
          <w:lang w:val="fr-FR"/>
        </w:rPr>
      </w:pPr>
    </w:p>
    <w:p>
      <w:pPr>
        <w:keepNext/>
        <w:numPr>
          <w:ilvl w:val="1"/>
          <w:numId w:val="15"/>
        </w:numPr>
        <w:spacing w:before="240" w:after="60"/>
        <w:outlineLvl w:val="1"/>
        <w:rPr>
          <w:rFonts w:hint="eastAsia" w:ascii="Times New Roman" w:hAnsi="Times New Roman" w:eastAsia="宋体" w:cs="Times New Roman"/>
          <w:b/>
          <w:sz w:val="28"/>
          <w:lang w:val="fr-FR" w:eastAsia="zh-CN" w:bidi="ar-SA"/>
        </w:rPr>
      </w:pPr>
      <w:bookmarkStart w:id="428" w:name="_Toc4708"/>
      <w:r>
        <w:rPr>
          <w:rFonts w:hint="eastAsia" w:ascii="Times New Roman" w:hAnsi="Times New Roman" w:eastAsia="宋体" w:cs="Times New Roman"/>
          <w:b/>
          <w:sz w:val="28"/>
          <w:lang w:val="fr-FR" w:eastAsia="zh-CN" w:bidi="ar-SA"/>
        </w:rPr>
        <w:t>膜完整性</w:t>
      </w:r>
      <w:bookmarkEnd w:id="428"/>
    </w:p>
    <w:p>
      <w:pPr>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膜包出厂前其膜前进流完整性测试值应合格。</w:t>
      </w:r>
    </w:p>
    <w:p>
      <w:pPr>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膜的完整性是测量空气在指定压力下的前进流以判断膜的完整性。空气的前进流是对通过膜孔内液体的空气扩散、通过开放孔的空气流量、加上密封圈周围的空气泄漏进行的测量。</w:t>
      </w:r>
    </w:p>
    <w:p>
      <w:pPr>
        <w:widowControl/>
        <w:numPr>
          <w:ilvl w:val="0"/>
          <w:numId w:val="0"/>
        </w:numPr>
        <w:ind w:leftChars="0"/>
        <w:jc w:val="center"/>
        <w:rPr>
          <w:rFonts w:hint="eastAsia" w:ascii="Times New Roman" w:hAnsi="Times New Roman" w:eastAsia="宋体" w:cs="Times New Roman"/>
          <w:kern w:val="0"/>
          <w:sz w:val="20"/>
          <w:szCs w:val="20"/>
          <w:lang w:val="fr-FR"/>
        </w:rPr>
      </w:pPr>
    </w:p>
    <w:p>
      <w:pPr>
        <w:keepNext/>
        <w:numPr>
          <w:ilvl w:val="1"/>
          <w:numId w:val="15"/>
        </w:numPr>
        <w:spacing w:before="240" w:after="60"/>
        <w:outlineLvl w:val="1"/>
        <w:rPr>
          <w:rFonts w:hint="eastAsia" w:ascii="Times New Roman" w:hAnsi="Times New Roman" w:eastAsia="宋体" w:cs="Times New Roman"/>
          <w:b/>
          <w:sz w:val="28"/>
          <w:lang w:val="fr-FR" w:eastAsia="zh-CN" w:bidi="ar-SA"/>
        </w:rPr>
      </w:pPr>
      <w:bookmarkStart w:id="429" w:name="_Toc18873"/>
      <w:r>
        <w:rPr>
          <w:rFonts w:hint="eastAsia" w:ascii="Times New Roman" w:hAnsi="Times New Roman" w:eastAsia="宋体" w:cs="Times New Roman"/>
          <w:b/>
          <w:sz w:val="28"/>
          <w:lang w:val="fr-FR" w:eastAsia="zh-CN" w:bidi="ar-SA"/>
        </w:rPr>
        <w:t>化学兼容性</w:t>
      </w:r>
      <w:bookmarkEnd w:id="429"/>
    </w:p>
    <w:p>
      <w:pPr>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常用清洁剂：氢氧化钠及次氯酸钠用于膜包的清洗、消毒及除热原。</w: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在室温下用水冲洗一定时间后使用0.5 N氢氧化钠+ 500 PPM次氯酸钠在 45 ℃下循环2小时。这个过程重复10次或保证共20小时接触时间。在第五次和第十次循环结束后对膜包进行测定。测定结果为，膜包在0.5 N氢氧化钠+ 500 PPM次氯酸钠45 °C经过10个循环（20小时接触时间）后，膜包的所有测试参数如完整性、压差及标准水通量均在正常的运行参数范围内。</w:t>
      </w:r>
    </w:p>
    <w:p>
      <w:pPr>
        <w:keepNext w:val="0"/>
        <w:keepLines w:val="0"/>
        <w:pageBreakBefore w:val="0"/>
        <w:widowControl/>
        <w:numPr>
          <w:ilvl w:val="0"/>
          <w:numId w:val="0"/>
        </w:numPr>
        <w:kinsoku/>
        <w:wordWrap/>
        <w:overflowPunct/>
        <w:topLinePunct w:val="0"/>
        <w:autoSpaceDE/>
        <w:autoSpaceDN/>
        <w:bidi w:val="0"/>
        <w:adjustRightInd/>
        <w:snapToGrid/>
        <w:ind w:leftChars="0" w:firstLine="400" w:firstLineChars="200"/>
        <w:jc w:val="lef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膜包厂家应提供本产品膜包在与化学溶液验证报告，膜的完整性应无明显变化。</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r>
        <w:rPr>
          <w:rFonts w:hint="eastAsia" w:ascii="Times New Roman" w:hAnsi="Times New Roman" w:eastAsia="宋体" w:cs="Times New Roman"/>
          <w:b/>
          <w:caps/>
          <w:kern w:val="28"/>
          <w:sz w:val="30"/>
          <w:lang w:val="en-US" w:eastAsia="zh-CN" w:bidi="ar-SA"/>
        </w:rPr>
        <w:t>膜包适配性</w:t>
      </w:r>
    </w:p>
    <w:p>
      <w:pPr>
        <w:widowControl/>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膜包应适配PAll和M</w:t>
      </w:r>
      <w:r>
        <w:rPr>
          <w:rFonts w:hint="eastAsia" w:ascii="Times New Roman" w:hAnsi="Times New Roman" w:eastAsia="宋体" w:cs="Times New Roman"/>
          <w:kern w:val="0"/>
          <w:sz w:val="20"/>
          <w:szCs w:val="20"/>
          <w:lang w:val="fr-FR"/>
        </w:rPr>
        <w:t>illipore</w:t>
      </w:r>
      <w:r>
        <w:rPr>
          <w:rFonts w:hint="eastAsia" w:ascii="Times New Roman" w:hAnsi="Times New Roman" w:eastAsia="宋体" w:cs="Times New Roman"/>
          <w:kern w:val="0"/>
          <w:sz w:val="20"/>
          <w:szCs w:val="20"/>
          <w:lang w:val="en-US" w:eastAsia="zh-CN"/>
        </w:rPr>
        <w:t>设备夹具。</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r>
        <w:rPr>
          <w:rFonts w:hint="eastAsia" w:ascii="Times New Roman" w:hAnsi="Times New Roman" w:eastAsia="宋体" w:cs="Times New Roman"/>
          <w:b/>
          <w:caps/>
          <w:kern w:val="28"/>
          <w:sz w:val="30"/>
          <w:lang w:val="en-US" w:eastAsia="zh-CN" w:bidi="ar-SA"/>
        </w:rPr>
        <w:t>交货周期及售后服务</w:t>
      </w:r>
    </w:p>
    <w:p>
      <w:pPr>
        <w:widowControl/>
        <w:numPr>
          <w:ilvl w:val="0"/>
          <w:numId w:val="18"/>
        </w:numPr>
        <w:ind w:left="50" w:leftChars="0" w:firstLine="0"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订单下达后，应交货三个月内生产的产品</w:t>
      </w:r>
    </w:p>
    <w:p>
      <w:pPr>
        <w:widowControl/>
        <w:numPr>
          <w:ilvl w:val="0"/>
          <w:numId w:val="18"/>
        </w:numPr>
        <w:ind w:left="50" w:leftChars="0" w:firstLine="0" w:firstLineChars="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订单下达后，交货日期不超过40天。</w:t>
      </w:r>
    </w:p>
    <w:p>
      <w:pPr>
        <w:widowControl/>
        <w:numPr>
          <w:ilvl w:val="0"/>
          <w:numId w:val="18"/>
        </w:numPr>
        <w:ind w:left="50" w:leftChars="0" w:firstLine="0" w:firstLineChars="0"/>
        <w:jc w:val="left"/>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膜包厂家技术人员负责膜包初始水通量测定及膜包完整性检测、使用培训。</w:t>
      </w:r>
    </w:p>
    <w:p>
      <w:pPr>
        <w:pStyle w:val="2"/>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3B6B4"/>
    <w:multiLevelType w:val="singleLevel"/>
    <w:tmpl w:val="CCB3B6B4"/>
    <w:lvl w:ilvl="0" w:tentative="0">
      <w:start w:val="1"/>
      <w:numFmt w:val="decimal"/>
      <w:lvlText w:val="%1."/>
      <w:lvlJc w:val="left"/>
      <w:pPr>
        <w:tabs>
          <w:tab w:val="left" w:pos="312"/>
        </w:tabs>
        <w:ind w:left="50" w:firstLine="0"/>
      </w:p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3">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6">
    <w:nsid w:val="04374D16"/>
    <w:multiLevelType w:val="singleLevel"/>
    <w:tmpl w:val="04374D16"/>
    <w:lvl w:ilvl="0" w:tentative="0">
      <w:start w:val="1"/>
      <w:numFmt w:val="decimal"/>
      <w:lvlText w:val="%1."/>
      <w:lvlJc w:val="left"/>
      <w:pPr>
        <w:ind w:left="425" w:hanging="425"/>
      </w:pPr>
      <w:rPr>
        <w:rFonts w:hint="default"/>
      </w:rPr>
    </w:lvl>
  </w:abstractNum>
  <w:abstractNum w:abstractNumId="7">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9">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4">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5">
    <w:nsid w:val="6DC8569B"/>
    <w:multiLevelType w:val="singleLevel"/>
    <w:tmpl w:val="6DC8569B"/>
    <w:lvl w:ilvl="0" w:tentative="0">
      <w:start w:val="1"/>
      <w:numFmt w:val="decimal"/>
      <w:lvlText w:val="%1."/>
      <w:lvlJc w:val="left"/>
      <w:pPr>
        <w:ind w:left="425" w:hanging="425"/>
      </w:pPr>
      <w:rPr>
        <w:rFonts w:hint="default"/>
      </w:rPr>
    </w:lvl>
  </w:abstractNum>
  <w:abstractNum w:abstractNumId="16">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7">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0"/>
  </w:num>
  <w:num w:numId="2">
    <w:abstractNumId w:val="2"/>
  </w:num>
  <w:num w:numId="3">
    <w:abstractNumId w:val="4"/>
  </w:num>
  <w:num w:numId="4">
    <w:abstractNumId w:val="17"/>
  </w:num>
  <w:num w:numId="5">
    <w:abstractNumId w:val="3"/>
  </w:num>
  <w:num w:numId="6">
    <w:abstractNumId w:val="16"/>
  </w:num>
  <w:num w:numId="7">
    <w:abstractNumId w:val="12"/>
  </w:num>
  <w:num w:numId="8">
    <w:abstractNumId w:val="7"/>
  </w:num>
  <w:num w:numId="9">
    <w:abstractNumId w:val="1"/>
  </w:num>
  <w:num w:numId="10">
    <w:abstractNumId w:val="13"/>
  </w:num>
  <w:num w:numId="11">
    <w:abstractNumId w:val="11"/>
  </w:num>
  <w:num w:numId="12">
    <w:abstractNumId w:val="14"/>
  </w:num>
  <w:num w:numId="13">
    <w:abstractNumId w:val="8"/>
  </w:num>
  <w:num w:numId="14">
    <w:abstractNumId w:val="9"/>
  </w:num>
  <w:num w:numId="15">
    <w:abstractNumId w:val="5"/>
  </w:num>
  <w:num w:numId="16">
    <w:abstractNumId w:val="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1F64EF"/>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EF46DF"/>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441483"/>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10261</Words>
  <Characters>10856</Characters>
  <Lines>243</Lines>
  <Paragraphs>68</Paragraphs>
  <TotalTime>1</TotalTime>
  <ScaleCrop>false</ScaleCrop>
  <LinksUpToDate>false</LinksUpToDate>
  <CharactersWithSpaces>11359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2025-11-25T00:16:12Z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