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72"/>
          <w:szCs w:val="72"/>
        </w:rPr>
      </w:pPr>
      <w:bookmarkStart w:id="0" w:name="_Toc152042286"/>
      <w:bookmarkStart w:id="1" w:name="_Toc144974478"/>
    </w:p>
    <w:p>
      <w:pPr>
        <w:jc w:val="center"/>
        <w:rPr>
          <w:rFonts w:hint="eastAsia" w:ascii="宋体" w:hAnsi="宋体"/>
          <w:b/>
          <w:sz w:val="72"/>
          <w:szCs w:val="72"/>
        </w:rPr>
      </w:pPr>
    </w:p>
    <w:p>
      <w:pPr>
        <w:jc w:val="center"/>
        <w:rPr>
          <w:rFonts w:hint="eastAsia" w:ascii="宋体" w:hAnsi="宋体"/>
          <w:b/>
          <w:sz w:val="72"/>
          <w:szCs w:val="72"/>
        </w:rPr>
      </w:pPr>
    </w:p>
    <w:p>
      <w:pPr>
        <w:jc w:val="center"/>
        <w:rPr>
          <w:rFonts w:hint="eastAsia" w:ascii="宋体" w:hAnsi="宋体"/>
          <w:b/>
          <w:sz w:val="72"/>
          <w:szCs w:val="72"/>
        </w:rPr>
      </w:pPr>
      <w:r>
        <w:rPr>
          <w:rFonts w:hint="eastAsia" w:ascii="宋体" w:hAnsi="宋体"/>
          <w:b/>
          <w:sz w:val="72"/>
          <w:szCs w:val="72"/>
        </w:rPr>
        <w:t>招  标  文  件</w:t>
      </w: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pStyle w:val="80"/>
        <w:spacing w:after="120"/>
        <w:ind w:firstLine="643"/>
        <w:rPr>
          <w:rFonts w:hint="eastAsia" w:ascii="宋体" w:hAnsi="宋体"/>
          <w:b/>
          <w:sz w:val="32"/>
          <w:szCs w:val="32"/>
        </w:rPr>
      </w:pPr>
    </w:p>
    <w:p>
      <w:pPr>
        <w:pStyle w:val="80"/>
        <w:spacing w:after="120"/>
        <w:ind w:firstLine="643"/>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pStyle w:val="13"/>
        <w:spacing w:line="360" w:lineRule="auto"/>
        <w:ind w:left="1495" w:leftChars="100" w:hanging="1285" w:hangingChars="400"/>
        <w:rPr>
          <w:rFonts w:hint="eastAsia" w:ascii="宋体" w:hAnsi="宋体" w:eastAsia="宋体"/>
          <w:b/>
          <w:sz w:val="32"/>
          <w:lang w:eastAsia="zh-CN"/>
        </w:rPr>
      </w:pPr>
      <w:r>
        <w:rPr>
          <w:rFonts w:hint="eastAsia" w:ascii="宋体" w:hAnsi="宋体"/>
          <w:b/>
          <w:sz w:val="32"/>
        </w:rPr>
        <w:t>招标编号：</w:t>
      </w:r>
      <w:r>
        <w:rPr>
          <w:rFonts w:hint="eastAsia" w:ascii="宋体" w:hAnsi="宋体"/>
          <w:b/>
          <w:sz w:val="32"/>
          <w:highlight w:val="yellow"/>
        </w:rPr>
        <w:t>WKZB-</w:t>
      </w:r>
      <w:bookmarkStart w:id="523" w:name="_GoBack"/>
      <w:bookmarkEnd w:id="523"/>
      <w:r>
        <w:rPr>
          <w:rFonts w:hint="eastAsia" w:ascii="宋体" w:hAnsi="宋体"/>
          <w:b/>
          <w:sz w:val="32"/>
          <w:highlight w:val="yellow"/>
          <w:lang w:eastAsia="zh-CN"/>
        </w:rPr>
        <w:t>2025-016</w:t>
      </w:r>
    </w:p>
    <w:p>
      <w:pPr>
        <w:pStyle w:val="13"/>
        <w:spacing w:line="360" w:lineRule="auto"/>
        <w:ind w:left="1881" w:leftChars="100" w:hanging="1671" w:hangingChars="520"/>
        <w:rPr>
          <w:rFonts w:hint="eastAsia" w:ascii="宋体" w:hAnsi="宋体"/>
          <w:b/>
          <w:sz w:val="32"/>
        </w:rPr>
      </w:pPr>
      <w:r>
        <w:rPr>
          <w:rFonts w:hint="eastAsia" w:ascii="宋体" w:hAnsi="宋体"/>
          <w:b/>
          <w:sz w:val="32"/>
        </w:rPr>
        <w:t>项目名称：</w:t>
      </w:r>
      <w:r>
        <w:rPr>
          <w:rFonts w:hint="eastAsia" w:ascii="宋体" w:hAnsi="宋体"/>
          <w:b/>
          <w:sz w:val="32"/>
          <w:highlight w:val="yellow"/>
        </w:rPr>
        <w:t>年度螺杆式水冷机组维修保养</w:t>
      </w:r>
    </w:p>
    <w:p>
      <w:pPr>
        <w:pStyle w:val="13"/>
        <w:spacing w:line="360" w:lineRule="auto"/>
        <w:ind w:left="1495" w:leftChars="100" w:hanging="1285" w:hangingChars="400"/>
        <w:rPr>
          <w:rFonts w:hint="eastAsia" w:ascii="宋体" w:hAnsi="宋体"/>
          <w:b/>
          <w:sz w:val="32"/>
        </w:rPr>
      </w:pPr>
      <w:r>
        <w:rPr>
          <w:rFonts w:hint="eastAsia" w:ascii="宋体" w:hAnsi="宋体"/>
          <w:b/>
          <w:sz w:val="32"/>
        </w:rPr>
        <w:t>招标人：国药集团扬州威克生物工程有限公司</w:t>
      </w:r>
    </w:p>
    <w:p>
      <w:pPr>
        <w:pStyle w:val="13"/>
        <w:spacing w:line="360" w:lineRule="auto"/>
        <w:ind w:firstLine="0" w:firstLineChars="0"/>
        <w:jc w:val="center"/>
        <w:rPr>
          <w:rFonts w:hint="eastAsia" w:ascii="宋体" w:hAnsi="宋体"/>
          <w:b/>
          <w:sz w:val="32"/>
        </w:rPr>
      </w:pPr>
    </w:p>
    <w:p>
      <w:pPr>
        <w:pStyle w:val="13"/>
        <w:spacing w:line="360" w:lineRule="auto"/>
        <w:ind w:firstLine="0" w:firstLineChars="0"/>
        <w:jc w:val="center"/>
        <w:rPr>
          <w:rFonts w:hint="eastAsia" w:ascii="宋体" w:hAnsi="宋体"/>
          <w:b/>
          <w:sz w:val="32"/>
        </w:rPr>
      </w:pPr>
    </w:p>
    <w:p>
      <w:pPr>
        <w:pStyle w:val="13"/>
        <w:spacing w:line="360" w:lineRule="auto"/>
        <w:ind w:firstLine="0" w:firstLineChars="0"/>
        <w:jc w:val="center"/>
        <w:rPr>
          <w:rFonts w:hint="eastAsia" w:ascii="宋体" w:hAnsi="宋体"/>
          <w:b/>
          <w:sz w:val="32"/>
        </w:rPr>
      </w:pPr>
    </w:p>
    <w:p>
      <w:pPr>
        <w:pStyle w:val="13"/>
        <w:spacing w:line="360" w:lineRule="auto"/>
        <w:ind w:firstLine="0" w:firstLineChars="0"/>
        <w:rPr>
          <w:rFonts w:hint="eastAsia" w:ascii="宋体" w:hAnsi="宋体"/>
          <w:b/>
          <w:sz w:val="32"/>
        </w:rPr>
      </w:pPr>
    </w:p>
    <w:p>
      <w:pPr>
        <w:pStyle w:val="13"/>
        <w:tabs>
          <w:tab w:val="left" w:pos="5040"/>
        </w:tabs>
        <w:spacing w:line="360" w:lineRule="auto"/>
        <w:ind w:firstLine="0" w:firstLineChars="0"/>
        <w:jc w:val="center"/>
        <w:rPr>
          <w:rFonts w:hint="eastAsia" w:hAnsi="宋体"/>
          <w:b/>
          <w:sz w:val="32"/>
          <w:szCs w:val="32"/>
        </w:rPr>
      </w:pPr>
      <w:r>
        <w:rPr>
          <w:rFonts w:hint="eastAsia" w:hAnsi="宋体"/>
          <w:b/>
          <w:sz w:val="32"/>
          <w:szCs w:val="32"/>
          <w:highlight w:val="yellow"/>
        </w:rPr>
        <w:t>二○二五年六</w:t>
      </w:r>
      <w:r>
        <w:rPr>
          <w:rFonts w:hAnsi="宋体"/>
          <w:b/>
          <w:sz w:val="32"/>
          <w:szCs w:val="32"/>
          <w:highlight w:val="yellow"/>
        </w:rPr>
        <w:t>月</w:t>
      </w:r>
      <w:bookmarkEnd w:id="0"/>
      <w:bookmarkEnd w:id="1"/>
    </w:p>
    <w:p>
      <w:pPr>
        <w:pStyle w:val="13"/>
        <w:pageBreakBefore/>
        <w:tabs>
          <w:tab w:val="left" w:pos="5040"/>
        </w:tabs>
        <w:spacing w:before="240" w:beforeLines="100" w:after="240" w:afterLines="100"/>
        <w:ind w:firstLine="0" w:firstLineChars="0"/>
        <w:jc w:val="center"/>
        <w:outlineLvl w:val="0"/>
        <w:rPr>
          <w:rFonts w:hint="eastAsia" w:ascii="宋体" w:hAnsi="宋体"/>
          <w:b/>
          <w:bCs/>
          <w:sz w:val="24"/>
        </w:rPr>
        <w:sectPr>
          <w:headerReference r:id="rId4" w:type="first"/>
          <w:footerReference r:id="rId6" w:type="first"/>
          <w:headerReference r:id="rId3" w:type="default"/>
          <w:footerReference r:id="rId5" w:type="even"/>
          <w:pgSz w:w="11906" w:h="16838"/>
          <w:pgMar w:top="1440" w:right="1080" w:bottom="1440" w:left="1080" w:header="850" w:footer="907" w:gutter="284"/>
          <w:pgNumType w:start="0"/>
          <w:cols w:space="720" w:num="1"/>
          <w:docGrid w:linePitch="319" w:charSpace="0"/>
        </w:sectPr>
      </w:pPr>
      <w:bookmarkStart w:id="2" w:name="_Toc77685346"/>
    </w:p>
    <w:bookmarkEnd w:id="2"/>
    <w:p>
      <w:pPr>
        <w:pStyle w:val="13"/>
        <w:pageBreakBefore/>
        <w:tabs>
          <w:tab w:val="left" w:pos="5040"/>
        </w:tabs>
        <w:spacing w:before="240" w:beforeLines="100" w:after="240" w:afterLines="100"/>
        <w:ind w:firstLine="0" w:firstLineChars="0"/>
        <w:jc w:val="center"/>
        <w:outlineLvl w:val="0"/>
        <w:rPr>
          <w:rFonts w:hint="eastAsia" w:ascii="宋体" w:hAnsi="宋体"/>
          <w:b/>
          <w:bCs/>
          <w:szCs w:val="21"/>
        </w:rPr>
      </w:pPr>
      <w:bookmarkStart w:id="3" w:name="_Toc10205"/>
      <w:bookmarkStart w:id="4" w:name="_Toc29240254"/>
      <w:bookmarkStart w:id="5" w:name="_Toc77628938"/>
      <w:bookmarkStart w:id="6" w:name="_Toc77629018"/>
      <w:bookmarkStart w:id="7" w:name="_Toc77628604"/>
      <w:r>
        <w:rPr>
          <w:rFonts w:hint="eastAsia" w:ascii="宋体" w:hAnsi="宋体"/>
          <w:b/>
          <w:bCs/>
          <w:sz w:val="24"/>
        </w:rPr>
        <w:t>目录</w:t>
      </w:r>
      <w:bookmarkEnd w:id="3"/>
      <w:r>
        <w:rPr>
          <w:rFonts w:ascii="宋体" w:hAnsi="宋体"/>
          <w:b/>
          <w:bCs/>
          <w:szCs w:val="21"/>
        </w:rPr>
        <w:fldChar w:fldCharType="begin"/>
      </w:r>
      <w:r>
        <w:rPr>
          <w:rFonts w:ascii="宋体" w:hAnsi="宋体"/>
          <w:b/>
          <w:bCs/>
          <w:szCs w:val="21"/>
        </w:rPr>
        <w:instrText xml:space="preserve"> TOC \o "1-2" \h \z \u </w:instrText>
      </w:r>
      <w:r>
        <w:rPr>
          <w:rFonts w:ascii="宋体" w:hAnsi="宋体"/>
          <w:b/>
          <w:bCs/>
          <w:szCs w:val="21"/>
        </w:rPr>
        <w:fldChar w:fldCharType="separate"/>
      </w:r>
    </w:p>
    <w:p>
      <w:pPr>
        <w:pStyle w:val="27"/>
        <w:tabs>
          <w:tab w:val="right" w:leader="dot" w:pos="9462"/>
        </w:tabs>
      </w:pPr>
      <w:r>
        <w:fldChar w:fldCharType="begin"/>
      </w:r>
      <w:r>
        <w:instrText xml:space="preserve"> HYPERLINK \l "_Toc10205" </w:instrText>
      </w:r>
      <w:r>
        <w:fldChar w:fldCharType="separate"/>
      </w:r>
      <w:r>
        <w:rPr>
          <w:rFonts w:hint="eastAsia" w:ascii="宋体" w:hAnsi="宋体"/>
        </w:rPr>
        <w:t>目录</w:t>
      </w:r>
      <w:r>
        <w:tab/>
      </w:r>
      <w:r>
        <w:fldChar w:fldCharType="begin"/>
      </w:r>
      <w:r>
        <w:instrText xml:space="preserve"> PAGEREF _Toc10205 \h </w:instrText>
      </w:r>
      <w:r>
        <w:fldChar w:fldCharType="separate"/>
      </w:r>
      <w:r>
        <w:t>1</w:t>
      </w:r>
      <w:r>
        <w:fldChar w:fldCharType="end"/>
      </w:r>
      <w:r>
        <w:fldChar w:fldCharType="end"/>
      </w:r>
    </w:p>
    <w:p>
      <w:pPr>
        <w:pStyle w:val="27"/>
        <w:tabs>
          <w:tab w:val="right" w:leader="dot" w:pos="9462"/>
        </w:tabs>
      </w:pPr>
      <w:r>
        <w:fldChar w:fldCharType="begin"/>
      </w:r>
      <w:r>
        <w:instrText xml:space="preserve"> HYPERLINK \l "_Toc12485" </w:instrText>
      </w:r>
      <w:r>
        <w:fldChar w:fldCharType="separate"/>
      </w:r>
      <w:r>
        <w:rPr>
          <w:rFonts w:hint="eastAsia" w:ascii="宋体" w:hAnsi="宋体"/>
        </w:rPr>
        <w:t>第一章 招标公告</w:t>
      </w:r>
      <w:r>
        <w:tab/>
      </w:r>
      <w:r>
        <w:fldChar w:fldCharType="begin"/>
      </w:r>
      <w:r>
        <w:instrText xml:space="preserve"> PAGEREF _Toc12485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"_Toc24914" </w:instrText>
      </w:r>
      <w:r>
        <w:fldChar w:fldCharType="separate"/>
      </w:r>
      <w:r>
        <w:rPr>
          <w:rFonts w:hint="eastAsia" w:ascii="宋体" w:hAnsi="宋体" w:cs="宋体"/>
          <w:bCs/>
          <w:szCs w:val="21"/>
          <w:lang w:val="zh-CN" w:bidi="zh-CN"/>
        </w:rPr>
        <w:t>一、招标条件</w:t>
      </w:r>
      <w:r>
        <w:tab/>
      </w:r>
      <w:r>
        <w:fldChar w:fldCharType="begin"/>
      </w:r>
      <w:r>
        <w:instrText xml:space="preserve"> PAGEREF _Toc24914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"_Toc24906" </w:instrText>
      </w:r>
      <w:r>
        <w:fldChar w:fldCharType="separate"/>
      </w:r>
      <w:r>
        <w:rPr>
          <w:rFonts w:hint="eastAsia" w:ascii="宋体" w:hAnsi="宋体" w:cs="宋体"/>
          <w:bCs/>
          <w:szCs w:val="21"/>
          <w:lang w:val="zh-CN" w:bidi="zh-CN"/>
        </w:rPr>
        <w:t>二、项目概况和招标范围</w:t>
      </w:r>
      <w:r>
        <w:tab/>
      </w:r>
      <w:r>
        <w:fldChar w:fldCharType="begin"/>
      </w:r>
      <w:r>
        <w:instrText xml:space="preserve"> PAGEREF _Toc24906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"_Toc4665" </w:instrText>
      </w:r>
      <w:r>
        <w:fldChar w:fldCharType="separate"/>
      </w:r>
      <w:r>
        <w:rPr>
          <w:rFonts w:hint="eastAsia" w:ascii="宋体" w:hAnsi="宋体" w:cs="宋体"/>
          <w:bCs/>
          <w:szCs w:val="21"/>
          <w:lang w:val="zh-CN" w:bidi="zh-CN"/>
        </w:rPr>
        <w:t>三、投标人资格要求</w:t>
      </w:r>
      <w:r>
        <w:tab/>
      </w:r>
      <w:r>
        <w:fldChar w:fldCharType="begin"/>
      </w:r>
      <w:r>
        <w:instrText xml:space="preserve"> PAGEREF _Toc4665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"_Toc31703" </w:instrText>
      </w:r>
      <w:r>
        <w:fldChar w:fldCharType="separate"/>
      </w:r>
      <w:r>
        <w:rPr>
          <w:rFonts w:hint="eastAsia" w:ascii="宋体" w:hAnsi="宋体" w:cs="宋体"/>
          <w:bCs/>
          <w:szCs w:val="21"/>
          <w:lang w:val="zh-CN" w:bidi="zh-CN"/>
        </w:rPr>
        <w:t>四、招标文件的获取</w:t>
      </w:r>
      <w:r>
        <w:tab/>
      </w:r>
      <w:r>
        <w:fldChar w:fldCharType="begin"/>
      </w:r>
      <w:r>
        <w:instrText xml:space="preserve"> PAGEREF _Toc31703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"_Toc23789" </w:instrText>
      </w:r>
      <w:r>
        <w:fldChar w:fldCharType="separate"/>
      </w:r>
      <w:r>
        <w:rPr>
          <w:rFonts w:hint="eastAsia" w:ascii="宋体" w:hAnsi="宋体" w:cs="宋体"/>
          <w:bCs/>
          <w:szCs w:val="21"/>
          <w:lang w:val="zh-CN" w:bidi="zh-CN"/>
        </w:rPr>
        <w:t>六、开标时间及地点</w:t>
      </w:r>
      <w:r>
        <w:tab/>
      </w:r>
      <w:r>
        <w:fldChar w:fldCharType="begin"/>
      </w:r>
      <w:r>
        <w:instrText xml:space="preserve"> PAGEREF _Toc23789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"_Toc26190" </w:instrText>
      </w:r>
      <w:r>
        <w:fldChar w:fldCharType="separate"/>
      </w:r>
      <w:r>
        <w:rPr>
          <w:rFonts w:hint="eastAsia" w:ascii="宋体" w:hAnsi="宋体" w:cs="宋体"/>
          <w:bCs/>
          <w:szCs w:val="21"/>
          <w:lang w:val="zh-CN" w:bidi="zh-CN"/>
        </w:rPr>
        <w:t>七、其他</w:t>
      </w:r>
      <w:r>
        <w:tab/>
      </w:r>
      <w:r>
        <w:fldChar w:fldCharType="begin"/>
      </w:r>
      <w:r>
        <w:instrText xml:space="preserve"> PAGEREF _Toc26190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"_Toc28912" </w:instrText>
      </w:r>
      <w:r>
        <w:fldChar w:fldCharType="separate"/>
      </w:r>
      <w:r>
        <w:rPr>
          <w:rFonts w:hint="eastAsia" w:ascii="宋体" w:hAnsi="宋体" w:cs="宋体"/>
          <w:bCs/>
          <w:szCs w:val="21"/>
          <w:lang w:val="zh-CN" w:bidi="zh-CN"/>
        </w:rPr>
        <w:t>八、监督部门</w:t>
      </w:r>
      <w:r>
        <w:tab/>
      </w:r>
      <w:r>
        <w:fldChar w:fldCharType="begin"/>
      </w:r>
      <w:r>
        <w:instrText xml:space="preserve"> PAGEREF _Toc28912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"_Toc5800" </w:instrText>
      </w:r>
      <w:r>
        <w:fldChar w:fldCharType="separate"/>
      </w:r>
      <w:r>
        <w:rPr>
          <w:rFonts w:hint="eastAsia" w:ascii="宋体" w:hAnsi="宋体" w:cs="宋体"/>
          <w:bCs/>
          <w:szCs w:val="21"/>
          <w:lang w:val="zh-CN" w:bidi="zh-CN"/>
        </w:rPr>
        <w:t>九、联系方式</w:t>
      </w:r>
      <w:r>
        <w:tab/>
      </w:r>
      <w:r>
        <w:fldChar w:fldCharType="begin"/>
      </w:r>
      <w:r>
        <w:instrText xml:space="preserve"> PAGEREF _Toc5800 \h </w:instrText>
      </w:r>
      <w:r>
        <w:fldChar w:fldCharType="separate"/>
      </w:r>
      <w:r>
        <w:t>4</w:t>
      </w:r>
      <w:r>
        <w:fldChar w:fldCharType="end"/>
      </w:r>
      <w:r>
        <w:fldChar w:fldCharType="end"/>
      </w:r>
    </w:p>
    <w:p>
      <w:pPr>
        <w:pStyle w:val="27"/>
        <w:tabs>
          <w:tab w:val="right" w:leader="dot" w:pos="9462"/>
        </w:tabs>
      </w:pPr>
      <w:r>
        <w:fldChar w:fldCharType="begin"/>
      </w:r>
      <w:r>
        <w:instrText xml:space="preserve"> HYPERLINK \l "_Toc26325" </w:instrText>
      </w:r>
      <w:r>
        <w:fldChar w:fldCharType="separate"/>
      </w:r>
      <w:r>
        <w:rPr>
          <w:rFonts w:hint="eastAsia" w:ascii="宋体" w:hAnsi="宋体"/>
        </w:rPr>
        <w:t>第二章 投标人须知</w:t>
      </w:r>
      <w:r>
        <w:tab/>
      </w:r>
      <w:r>
        <w:fldChar w:fldCharType="begin"/>
      </w:r>
      <w:r>
        <w:instrText xml:space="preserve"> PAGEREF _Toc26325 \h </w:instrText>
      </w:r>
      <w:r>
        <w:fldChar w:fldCharType="separate"/>
      </w:r>
      <w:r>
        <w:t>5</w:t>
      </w:r>
      <w:r>
        <w:fldChar w:fldCharType="end"/>
      </w:r>
      <w:r>
        <w:fldChar w:fldCharType="end"/>
      </w:r>
    </w:p>
    <w:p>
      <w:pPr>
        <w:pStyle w:val="32"/>
        <w:tabs>
          <w:tab w:val="right" w:leader="dot" w:pos="9462"/>
        </w:tabs>
      </w:pPr>
      <w:r>
        <w:fldChar w:fldCharType="begin"/>
      </w:r>
      <w:r>
        <w:instrText xml:space="preserve"> HYPERLINK \l "_Toc15300" </w:instrText>
      </w:r>
      <w:r>
        <w:fldChar w:fldCharType="separate"/>
      </w:r>
      <w:r>
        <w:rPr>
          <w:rFonts w:hint="eastAsia" w:ascii="宋体" w:hAnsi="宋体" w:eastAsia="宋体"/>
          <w:szCs w:val="21"/>
        </w:rPr>
        <w:t>投标人须知前附表</w:t>
      </w:r>
      <w:r>
        <w:tab/>
      </w:r>
      <w:r>
        <w:fldChar w:fldCharType="begin"/>
      </w:r>
      <w:r>
        <w:instrText xml:space="preserve"> PAGEREF _Toc15300 \h </w:instrText>
      </w:r>
      <w:r>
        <w:fldChar w:fldCharType="separate"/>
      </w:r>
      <w:r>
        <w:t>5</w:t>
      </w:r>
      <w:r>
        <w:fldChar w:fldCharType="end"/>
      </w:r>
      <w:r>
        <w:fldChar w:fldCharType="end"/>
      </w:r>
    </w:p>
    <w:p>
      <w:pPr>
        <w:pStyle w:val="32"/>
        <w:tabs>
          <w:tab w:val="right" w:leader="dot" w:pos="9462"/>
        </w:tabs>
      </w:pPr>
      <w:r>
        <w:fldChar w:fldCharType="begin"/>
      </w:r>
      <w:r>
        <w:instrText xml:space="preserve"> HYPERLINK \l "_Toc4167" </w:instrText>
      </w:r>
      <w:r>
        <w:fldChar w:fldCharType="separate"/>
      </w:r>
      <w:r>
        <w:rPr>
          <w:rFonts w:hint="eastAsia"/>
          <w:bCs/>
          <w:szCs w:val="21"/>
        </w:rPr>
        <w:t>一、说</w:t>
      </w:r>
      <w:r>
        <w:rPr>
          <w:bCs/>
          <w:szCs w:val="21"/>
        </w:rPr>
        <w:t xml:space="preserve">  </w:t>
      </w:r>
      <w:r>
        <w:rPr>
          <w:rFonts w:hint="eastAsia"/>
          <w:bCs/>
          <w:szCs w:val="21"/>
        </w:rPr>
        <w:t>明</w:t>
      </w:r>
      <w:r>
        <w:tab/>
      </w:r>
      <w:r>
        <w:fldChar w:fldCharType="begin"/>
      </w:r>
      <w:r>
        <w:instrText xml:space="preserve"> PAGEREF _Toc4167 \h </w:instrText>
      </w:r>
      <w:r>
        <w:fldChar w:fldCharType="separate"/>
      </w:r>
      <w:r>
        <w:t>7</w:t>
      </w:r>
      <w:r>
        <w:fldChar w:fldCharType="end"/>
      </w:r>
      <w:r>
        <w:fldChar w:fldCharType="end"/>
      </w:r>
    </w:p>
    <w:p>
      <w:pPr>
        <w:pStyle w:val="32"/>
        <w:tabs>
          <w:tab w:val="right" w:leader="dot" w:pos="9462"/>
        </w:tabs>
      </w:pPr>
      <w:r>
        <w:fldChar w:fldCharType="begin"/>
      </w:r>
      <w:r>
        <w:instrText xml:space="preserve"> HYPERLINK \l "_Toc28093" </w:instrText>
      </w:r>
      <w:r>
        <w:fldChar w:fldCharType="separate"/>
      </w:r>
      <w:r>
        <w:rPr>
          <w:rFonts w:hint="eastAsia"/>
          <w:bCs/>
          <w:szCs w:val="21"/>
        </w:rPr>
        <w:t>二、招标文件</w:t>
      </w:r>
      <w:r>
        <w:tab/>
      </w:r>
      <w:r>
        <w:fldChar w:fldCharType="begin"/>
      </w:r>
      <w:r>
        <w:instrText xml:space="preserve"> PAGEREF _Toc28093 \h </w:instrText>
      </w:r>
      <w:r>
        <w:fldChar w:fldCharType="separate"/>
      </w:r>
      <w:r>
        <w:t>8</w:t>
      </w:r>
      <w:r>
        <w:fldChar w:fldCharType="end"/>
      </w:r>
      <w:r>
        <w:fldChar w:fldCharType="end"/>
      </w:r>
    </w:p>
    <w:p>
      <w:pPr>
        <w:pStyle w:val="32"/>
        <w:tabs>
          <w:tab w:val="right" w:leader="dot" w:pos="9462"/>
        </w:tabs>
      </w:pPr>
      <w:r>
        <w:fldChar w:fldCharType="begin"/>
      </w:r>
      <w:r>
        <w:instrText xml:space="preserve"> HYPERLINK \l "_Toc1422" </w:instrText>
      </w:r>
      <w:r>
        <w:fldChar w:fldCharType="separate"/>
      </w:r>
      <w:r>
        <w:rPr>
          <w:rFonts w:hint="eastAsia"/>
          <w:bCs/>
          <w:szCs w:val="21"/>
        </w:rPr>
        <w:t>三、投标文件的编制</w:t>
      </w:r>
      <w:r>
        <w:tab/>
      </w:r>
      <w:r>
        <w:fldChar w:fldCharType="begin"/>
      </w:r>
      <w:r>
        <w:instrText xml:space="preserve"> PAGEREF _Toc1422 \h </w:instrText>
      </w:r>
      <w:r>
        <w:fldChar w:fldCharType="separate"/>
      </w:r>
      <w:r>
        <w:t>8</w:t>
      </w:r>
      <w:r>
        <w:fldChar w:fldCharType="end"/>
      </w:r>
      <w:r>
        <w:fldChar w:fldCharType="end"/>
      </w:r>
    </w:p>
    <w:p>
      <w:pPr>
        <w:pStyle w:val="32"/>
        <w:tabs>
          <w:tab w:val="right" w:leader="dot" w:pos="9462"/>
        </w:tabs>
      </w:pPr>
      <w:r>
        <w:fldChar w:fldCharType="begin"/>
      </w:r>
      <w:r>
        <w:instrText xml:space="preserve"> HYPERLINK \l "_Toc10734" </w:instrText>
      </w:r>
      <w:r>
        <w:fldChar w:fldCharType="separate"/>
      </w:r>
      <w:r>
        <w:rPr>
          <w:rFonts w:hint="eastAsia"/>
          <w:bCs/>
          <w:szCs w:val="21"/>
        </w:rPr>
        <w:t>四、投标文件的递交</w:t>
      </w:r>
      <w:r>
        <w:tab/>
      </w:r>
      <w:r>
        <w:fldChar w:fldCharType="begin"/>
      </w:r>
      <w:r>
        <w:instrText xml:space="preserve"> PAGEREF _Toc10734 \h </w:instrText>
      </w:r>
      <w:r>
        <w:fldChar w:fldCharType="separate"/>
      </w:r>
      <w:r>
        <w:t>11</w:t>
      </w:r>
      <w:r>
        <w:fldChar w:fldCharType="end"/>
      </w:r>
      <w:r>
        <w:fldChar w:fldCharType="end"/>
      </w:r>
    </w:p>
    <w:p>
      <w:pPr>
        <w:pStyle w:val="32"/>
        <w:tabs>
          <w:tab w:val="right" w:leader="dot" w:pos="9462"/>
        </w:tabs>
      </w:pPr>
      <w:r>
        <w:fldChar w:fldCharType="begin"/>
      </w:r>
      <w:r>
        <w:instrText xml:space="preserve"> HYPERLINK \l "_Toc17414" </w:instrText>
      </w:r>
      <w:r>
        <w:fldChar w:fldCharType="separate"/>
      </w:r>
      <w:r>
        <w:rPr>
          <w:rFonts w:hint="eastAsia"/>
          <w:bCs/>
          <w:szCs w:val="21"/>
        </w:rPr>
        <w:t>五、开标及评标</w:t>
      </w:r>
      <w:r>
        <w:tab/>
      </w:r>
      <w:r>
        <w:fldChar w:fldCharType="begin"/>
      </w:r>
      <w:r>
        <w:instrText xml:space="preserve"> PAGEREF _Toc17414 \h </w:instrText>
      </w:r>
      <w:r>
        <w:fldChar w:fldCharType="separate"/>
      </w:r>
      <w:r>
        <w:t>12</w:t>
      </w:r>
      <w:r>
        <w:fldChar w:fldCharType="end"/>
      </w:r>
      <w:r>
        <w:fldChar w:fldCharType="end"/>
      </w:r>
    </w:p>
    <w:p>
      <w:pPr>
        <w:pStyle w:val="32"/>
        <w:tabs>
          <w:tab w:val="right" w:leader="dot" w:pos="9462"/>
        </w:tabs>
      </w:pPr>
      <w:r>
        <w:fldChar w:fldCharType="begin"/>
      </w:r>
      <w:r>
        <w:instrText xml:space="preserve"> HYPERLINK \l "_Toc16391" </w:instrText>
      </w:r>
      <w:r>
        <w:fldChar w:fldCharType="separate"/>
      </w:r>
      <w:r>
        <w:rPr>
          <w:rFonts w:hint="eastAsia"/>
          <w:bCs/>
          <w:szCs w:val="21"/>
        </w:rPr>
        <w:t>六、确定中标</w:t>
      </w:r>
      <w:r>
        <w:tab/>
      </w:r>
      <w:r>
        <w:fldChar w:fldCharType="begin"/>
      </w:r>
      <w:r>
        <w:instrText xml:space="preserve"> PAGEREF _Toc16391 \h </w:instrText>
      </w:r>
      <w:r>
        <w:fldChar w:fldCharType="separate"/>
      </w:r>
      <w:r>
        <w:t>14</w:t>
      </w:r>
      <w:r>
        <w:fldChar w:fldCharType="end"/>
      </w:r>
      <w:r>
        <w:fldChar w:fldCharType="end"/>
      </w:r>
    </w:p>
    <w:p>
      <w:pPr>
        <w:pStyle w:val="27"/>
        <w:tabs>
          <w:tab w:val="right" w:leader="dot" w:pos="9462"/>
        </w:tabs>
      </w:pPr>
      <w:r>
        <w:fldChar w:fldCharType="begin"/>
      </w:r>
      <w:r>
        <w:instrText xml:space="preserve"> HYPERLINK \l "_Toc3414" </w:instrText>
      </w:r>
      <w:r>
        <w:fldChar w:fldCharType="separate"/>
      </w:r>
      <w:r>
        <w:rPr>
          <w:rFonts w:hint="eastAsia" w:ascii="宋体" w:hAnsi="宋体"/>
        </w:rPr>
        <w:t>第三章 合同条款</w:t>
      </w:r>
      <w:r>
        <w:tab/>
      </w:r>
      <w:r>
        <w:fldChar w:fldCharType="begin"/>
      </w:r>
      <w:r>
        <w:instrText xml:space="preserve"> PAGEREF _Toc3414 \h </w:instrText>
      </w:r>
      <w:r>
        <w:fldChar w:fldCharType="separate"/>
      </w:r>
      <w:r>
        <w:t>16</w:t>
      </w:r>
      <w:r>
        <w:fldChar w:fldCharType="end"/>
      </w:r>
      <w:r>
        <w:fldChar w:fldCharType="end"/>
      </w:r>
    </w:p>
    <w:p>
      <w:pPr>
        <w:pStyle w:val="27"/>
        <w:tabs>
          <w:tab w:val="right" w:leader="dot" w:pos="9462"/>
        </w:tabs>
      </w:pPr>
      <w:r>
        <w:fldChar w:fldCharType="begin"/>
      </w:r>
      <w:r>
        <w:instrText xml:space="preserve"> HYPERLINK \l "_Toc16612" </w:instrText>
      </w:r>
      <w:r>
        <w:fldChar w:fldCharType="separate"/>
      </w:r>
      <w:r>
        <w:rPr>
          <w:rFonts w:hint="eastAsia" w:ascii="宋体" w:hAnsi="宋体"/>
        </w:rPr>
        <w:t>第四章 投标文件格式</w:t>
      </w:r>
      <w:r>
        <w:tab/>
      </w:r>
      <w:r>
        <w:fldChar w:fldCharType="begin"/>
      </w:r>
      <w:r>
        <w:instrText xml:space="preserve"> PAGEREF _Toc16612 \h </w:instrText>
      </w:r>
      <w:r>
        <w:fldChar w:fldCharType="separate"/>
      </w:r>
      <w:r>
        <w:t>19</w:t>
      </w:r>
      <w:r>
        <w:fldChar w:fldCharType="end"/>
      </w:r>
      <w:r>
        <w:fldChar w:fldCharType="end"/>
      </w:r>
    </w:p>
    <w:p>
      <w:pPr>
        <w:pStyle w:val="32"/>
        <w:tabs>
          <w:tab w:val="right" w:leader="dot" w:pos="9462"/>
        </w:tabs>
      </w:pPr>
      <w:r>
        <w:fldChar w:fldCharType="begin"/>
      </w:r>
      <w:r>
        <w:instrText xml:space="preserve"> HYPERLINK \l "_Toc30068" </w:instrText>
      </w:r>
      <w:r>
        <w:fldChar w:fldCharType="separate"/>
      </w:r>
      <w:r>
        <w:rPr>
          <w:rFonts w:hint="eastAsia" w:ascii="宋体" w:hAnsi="宋体" w:eastAsia="宋体"/>
          <w:szCs w:val="21"/>
        </w:rPr>
        <w:t>附件1 投标书</w:t>
      </w:r>
      <w:r>
        <w:tab/>
      </w:r>
      <w:r>
        <w:fldChar w:fldCharType="begin"/>
      </w:r>
      <w:r>
        <w:instrText xml:space="preserve"> PAGEREF _Toc30068 \h </w:instrText>
      </w:r>
      <w:r>
        <w:fldChar w:fldCharType="separate"/>
      </w:r>
      <w:r>
        <w:t>20</w:t>
      </w:r>
      <w:r>
        <w:fldChar w:fldCharType="end"/>
      </w:r>
      <w:r>
        <w:fldChar w:fldCharType="end"/>
      </w:r>
    </w:p>
    <w:p>
      <w:pPr>
        <w:pStyle w:val="32"/>
        <w:tabs>
          <w:tab w:val="right" w:leader="dot" w:pos="9462"/>
        </w:tabs>
      </w:pPr>
      <w:r>
        <w:fldChar w:fldCharType="begin"/>
      </w:r>
      <w:r>
        <w:instrText xml:space="preserve"> HYPERLINK \l "_Toc17672" </w:instrText>
      </w:r>
      <w:r>
        <w:fldChar w:fldCharType="separate"/>
      </w:r>
      <w:r>
        <w:rPr>
          <w:rFonts w:hint="eastAsia" w:ascii="宋体" w:hAnsi="宋体" w:eastAsia="宋体"/>
          <w:szCs w:val="21"/>
        </w:rPr>
        <w:t>附件2 开标一览表</w:t>
      </w:r>
      <w:r>
        <w:tab/>
      </w:r>
      <w:r>
        <w:fldChar w:fldCharType="begin"/>
      </w:r>
      <w:r>
        <w:instrText xml:space="preserve"> PAGEREF _Toc17672 \h </w:instrText>
      </w:r>
      <w:r>
        <w:fldChar w:fldCharType="separate"/>
      </w:r>
      <w:r>
        <w:t>21</w:t>
      </w:r>
      <w:r>
        <w:fldChar w:fldCharType="end"/>
      </w:r>
      <w:r>
        <w:fldChar w:fldCharType="end"/>
      </w:r>
    </w:p>
    <w:p>
      <w:pPr>
        <w:pStyle w:val="32"/>
        <w:tabs>
          <w:tab w:val="right" w:leader="dot" w:pos="9462"/>
        </w:tabs>
      </w:pPr>
      <w:r>
        <w:fldChar w:fldCharType="begin"/>
      </w:r>
      <w:r>
        <w:instrText xml:space="preserve"> HYPERLINK \l "_Toc15798" </w:instrText>
      </w:r>
      <w:r>
        <w:fldChar w:fldCharType="separate"/>
      </w:r>
      <w:r>
        <w:rPr>
          <w:rFonts w:hint="eastAsia" w:ascii="宋体" w:hAnsi="宋体" w:eastAsia="宋体"/>
          <w:szCs w:val="21"/>
        </w:rPr>
        <w:t>附件3 投标保证金</w:t>
      </w:r>
      <w:r>
        <w:tab/>
      </w:r>
      <w:r>
        <w:fldChar w:fldCharType="begin"/>
      </w:r>
      <w:r>
        <w:instrText xml:space="preserve"> PAGEREF _Toc15798 \h </w:instrText>
      </w:r>
      <w:r>
        <w:fldChar w:fldCharType="separate"/>
      </w:r>
      <w:r>
        <w:t>22</w:t>
      </w:r>
      <w:r>
        <w:fldChar w:fldCharType="end"/>
      </w:r>
      <w:r>
        <w:fldChar w:fldCharType="end"/>
      </w:r>
    </w:p>
    <w:p>
      <w:pPr>
        <w:pStyle w:val="32"/>
        <w:tabs>
          <w:tab w:val="right" w:leader="dot" w:pos="9462"/>
        </w:tabs>
      </w:pPr>
      <w:r>
        <w:fldChar w:fldCharType="begin"/>
      </w:r>
      <w:r>
        <w:instrText xml:space="preserve"> HYPERLINK \l "_Toc20445" </w:instrText>
      </w:r>
      <w:r>
        <w:fldChar w:fldCharType="separate"/>
      </w:r>
      <w:r>
        <w:rPr>
          <w:rFonts w:hint="eastAsia" w:ascii="宋体" w:hAnsi="宋体" w:eastAsia="宋体"/>
          <w:szCs w:val="21"/>
        </w:rPr>
        <w:t>附件4 商务条款偏离表</w:t>
      </w:r>
      <w:r>
        <w:tab/>
      </w:r>
      <w:r>
        <w:fldChar w:fldCharType="begin"/>
      </w:r>
      <w:r>
        <w:instrText xml:space="preserve"> PAGEREF _Toc20445 \h </w:instrText>
      </w:r>
      <w:r>
        <w:fldChar w:fldCharType="separate"/>
      </w:r>
      <w:r>
        <w:t>25</w:t>
      </w:r>
      <w:r>
        <w:fldChar w:fldCharType="end"/>
      </w:r>
      <w:r>
        <w:fldChar w:fldCharType="end"/>
      </w:r>
    </w:p>
    <w:p>
      <w:pPr>
        <w:pStyle w:val="32"/>
        <w:tabs>
          <w:tab w:val="right" w:leader="dot" w:pos="9462"/>
        </w:tabs>
      </w:pPr>
      <w:r>
        <w:fldChar w:fldCharType="begin"/>
      </w:r>
      <w:r>
        <w:instrText xml:space="preserve"> HYPERLINK \l "_Toc19842" </w:instrText>
      </w:r>
      <w:r>
        <w:fldChar w:fldCharType="separate"/>
      </w:r>
      <w:r>
        <w:rPr>
          <w:rFonts w:hint="eastAsia" w:ascii="宋体" w:hAnsi="宋体" w:eastAsia="宋体"/>
          <w:szCs w:val="21"/>
        </w:rPr>
        <w:t>附件5 技术规格偏离表</w:t>
      </w:r>
      <w:r>
        <w:tab/>
      </w:r>
      <w:r>
        <w:fldChar w:fldCharType="begin"/>
      </w:r>
      <w:r>
        <w:instrText xml:space="preserve"> PAGEREF _Toc19842 \h </w:instrText>
      </w:r>
      <w:r>
        <w:fldChar w:fldCharType="separate"/>
      </w:r>
      <w:r>
        <w:t>26</w:t>
      </w:r>
      <w:r>
        <w:fldChar w:fldCharType="end"/>
      </w:r>
      <w:r>
        <w:fldChar w:fldCharType="end"/>
      </w:r>
    </w:p>
    <w:p>
      <w:pPr>
        <w:pStyle w:val="32"/>
        <w:tabs>
          <w:tab w:val="right" w:leader="dot" w:pos="9462"/>
        </w:tabs>
      </w:pPr>
      <w:r>
        <w:fldChar w:fldCharType="begin"/>
      </w:r>
      <w:r>
        <w:instrText xml:space="preserve"> HYPERLINK \l "_Toc32311" </w:instrText>
      </w:r>
      <w:r>
        <w:fldChar w:fldCharType="separate"/>
      </w:r>
      <w:r>
        <w:rPr>
          <w:rFonts w:hint="eastAsia" w:ascii="宋体" w:hAnsi="宋体" w:eastAsia="宋体"/>
          <w:szCs w:val="21"/>
        </w:rPr>
        <w:t>附件6 资格证明文件</w:t>
      </w:r>
      <w:r>
        <w:tab/>
      </w:r>
      <w:r>
        <w:fldChar w:fldCharType="begin"/>
      </w:r>
      <w:r>
        <w:instrText xml:space="preserve"> PAGEREF _Toc32311 \h </w:instrText>
      </w:r>
      <w:r>
        <w:fldChar w:fldCharType="separate"/>
      </w:r>
      <w:r>
        <w:t>28</w:t>
      </w:r>
      <w:r>
        <w:fldChar w:fldCharType="end"/>
      </w:r>
      <w:r>
        <w:fldChar w:fldCharType="end"/>
      </w:r>
    </w:p>
    <w:p>
      <w:pPr>
        <w:pStyle w:val="32"/>
        <w:tabs>
          <w:tab w:val="right" w:leader="dot" w:pos="9462"/>
        </w:tabs>
      </w:pPr>
      <w:r>
        <w:fldChar w:fldCharType="begin"/>
      </w:r>
      <w:r>
        <w:instrText xml:space="preserve"> HYPERLINK \l "_Toc23896" </w:instrText>
      </w:r>
      <w:r>
        <w:fldChar w:fldCharType="separate"/>
      </w:r>
      <w:r>
        <w:rPr>
          <w:rFonts w:hint="eastAsia" w:ascii="宋体" w:hAnsi="宋体" w:eastAsia="宋体"/>
          <w:szCs w:val="21"/>
        </w:rPr>
        <w:t>附件6</w:t>
      </w:r>
      <w:r>
        <w:rPr>
          <w:rFonts w:ascii="宋体" w:hAnsi="宋体" w:eastAsia="宋体"/>
          <w:szCs w:val="21"/>
        </w:rPr>
        <w:t xml:space="preserve"> </w:t>
      </w:r>
      <w:r>
        <w:rPr>
          <w:rFonts w:hint="eastAsia" w:ascii="宋体" w:hAnsi="宋体" w:eastAsia="宋体"/>
          <w:szCs w:val="21"/>
        </w:rPr>
        <w:t>缴纳中标服务费承诺书</w:t>
      </w:r>
      <w:r>
        <w:tab/>
      </w:r>
      <w:r>
        <w:fldChar w:fldCharType="begin"/>
      </w:r>
      <w:r>
        <w:instrText xml:space="preserve"> PAGEREF _Toc23896 \h </w:instrText>
      </w:r>
      <w:r>
        <w:fldChar w:fldCharType="separate"/>
      </w:r>
      <w:r>
        <w:t>36</w:t>
      </w:r>
      <w:r>
        <w:fldChar w:fldCharType="end"/>
      </w:r>
      <w:r>
        <w:fldChar w:fldCharType="end"/>
      </w:r>
    </w:p>
    <w:p>
      <w:pPr>
        <w:pStyle w:val="32"/>
        <w:tabs>
          <w:tab w:val="right" w:leader="dot" w:pos="9462"/>
        </w:tabs>
      </w:pPr>
      <w:r>
        <w:fldChar w:fldCharType="begin"/>
      </w:r>
      <w:r>
        <w:instrText xml:space="preserve"> HYPERLINK \l "_Toc25002" </w:instrText>
      </w:r>
      <w:r>
        <w:fldChar w:fldCharType="separate"/>
      </w:r>
      <w:r>
        <w:rPr>
          <w:rFonts w:hint="eastAsia" w:ascii="宋体" w:hAnsi="宋体" w:eastAsia="宋体"/>
          <w:szCs w:val="21"/>
        </w:rPr>
        <w:t>附件7 反商业贿赂承诺书</w:t>
      </w:r>
      <w:r>
        <w:tab/>
      </w:r>
      <w:r>
        <w:fldChar w:fldCharType="begin"/>
      </w:r>
      <w:r>
        <w:instrText xml:space="preserve"> PAGEREF _Toc25002 \h </w:instrText>
      </w:r>
      <w:r>
        <w:fldChar w:fldCharType="separate"/>
      </w:r>
      <w:r>
        <w:t>37</w:t>
      </w:r>
      <w:r>
        <w:fldChar w:fldCharType="end"/>
      </w:r>
      <w:r>
        <w:fldChar w:fldCharType="end"/>
      </w:r>
    </w:p>
    <w:p>
      <w:pPr>
        <w:pStyle w:val="32"/>
        <w:tabs>
          <w:tab w:val="right" w:leader="dot" w:pos="9462"/>
        </w:tabs>
      </w:pPr>
      <w:r>
        <w:fldChar w:fldCharType="begin"/>
      </w:r>
      <w:r>
        <w:instrText xml:space="preserve"> HYPERLINK \l "_Toc20295" </w:instrText>
      </w:r>
      <w:r>
        <w:fldChar w:fldCharType="separate"/>
      </w:r>
      <w:r>
        <w:rPr>
          <w:rFonts w:hint="eastAsia" w:ascii="宋体" w:hAnsi="宋体" w:eastAsia="宋体"/>
          <w:szCs w:val="21"/>
        </w:rPr>
        <w:t>附件8 投标人控股及管理关系情况表</w:t>
      </w:r>
      <w:r>
        <w:tab/>
      </w:r>
      <w:r>
        <w:fldChar w:fldCharType="begin"/>
      </w:r>
      <w:r>
        <w:instrText xml:space="preserve"> PAGEREF _Toc20295 \h </w:instrText>
      </w:r>
      <w:r>
        <w:fldChar w:fldCharType="separate"/>
      </w:r>
      <w:r>
        <w:t>38</w:t>
      </w:r>
      <w:r>
        <w:fldChar w:fldCharType="end"/>
      </w:r>
      <w:r>
        <w:fldChar w:fldCharType="end"/>
      </w:r>
    </w:p>
    <w:p>
      <w:pPr>
        <w:pStyle w:val="32"/>
        <w:tabs>
          <w:tab w:val="right" w:leader="dot" w:pos="9462"/>
        </w:tabs>
      </w:pPr>
      <w:r>
        <w:fldChar w:fldCharType="begin"/>
      </w:r>
      <w:r>
        <w:instrText xml:space="preserve"> HYPERLINK \l "_Toc14246" </w:instrText>
      </w:r>
      <w:r>
        <w:fldChar w:fldCharType="separate"/>
      </w:r>
      <w:r>
        <w:rPr>
          <w:rFonts w:hint="eastAsia" w:ascii="宋体" w:hAnsi="宋体" w:eastAsia="宋体"/>
          <w:szCs w:val="21"/>
        </w:rPr>
        <w:t>附件9 详细的实施方案</w:t>
      </w:r>
      <w:r>
        <w:tab/>
      </w:r>
      <w:r>
        <w:fldChar w:fldCharType="begin"/>
      </w:r>
      <w:r>
        <w:instrText xml:space="preserve"> PAGEREF _Toc14246 \h </w:instrText>
      </w:r>
      <w:r>
        <w:fldChar w:fldCharType="separate"/>
      </w:r>
      <w:r>
        <w:t>39</w:t>
      </w:r>
      <w:r>
        <w:fldChar w:fldCharType="end"/>
      </w:r>
      <w:r>
        <w:fldChar w:fldCharType="end"/>
      </w:r>
    </w:p>
    <w:p>
      <w:pPr>
        <w:pStyle w:val="32"/>
        <w:tabs>
          <w:tab w:val="right" w:leader="dot" w:pos="9462"/>
        </w:tabs>
      </w:pPr>
      <w:r>
        <w:fldChar w:fldCharType="begin"/>
      </w:r>
      <w:r>
        <w:instrText xml:space="preserve"> HYPERLINK \l "_Toc18456" </w:instrText>
      </w:r>
      <w:r>
        <w:fldChar w:fldCharType="separate"/>
      </w:r>
      <w:r>
        <w:rPr>
          <w:rFonts w:hint="eastAsia" w:ascii="宋体" w:hAnsi="宋体" w:eastAsia="宋体"/>
          <w:szCs w:val="21"/>
        </w:rPr>
        <w:t>附件10 售后服务方案及承诺</w:t>
      </w:r>
      <w:r>
        <w:tab/>
      </w:r>
      <w:r>
        <w:fldChar w:fldCharType="begin"/>
      </w:r>
      <w:r>
        <w:instrText xml:space="preserve"> PAGEREF _Toc18456 \h </w:instrText>
      </w:r>
      <w:r>
        <w:fldChar w:fldCharType="separate"/>
      </w:r>
      <w:r>
        <w:t>40</w:t>
      </w:r>
      <w:r>
        <w:fldChar w:fldCharType="end"/>
      </w:r>
      <w:r>
        <w:fldChar w:fldCharType="end"/>
      </w:r>
    </w:p>
    <w:p>
      <w:pPr>
        <w:pStyle w:val="32"/>
        <w:tabs>
          <w:tab w:val="right" w:leader="dot" w:pos="9462"/>
        </w:tabs>
      </w:pPr>
      <w:r>
        <w:fldChar w:fldCharType="begin"/>
      </w:r>
      <w:r>
        <w:instrText xml:space="preserve"> HYPERLINK \l "_Toc25219" </w:instrText>
      </w:r>
      <w:r>
        <w:fldChar w:fldCharType="separate"/>
      </w:r>
      <w:r>
        <w:rPr>
          <w:rFonts w:hint="eastAsia" w:ascii="宋体" w:hAnsi="宋体"/>
          <w:bCs/>
          <w:szCs w:val="21"/>
        </w:rPr>
        <w:t>附件11 投标人认为需要提供的其它材料</w:t>
      </w:r>
      <w:r>
        <w:tab/>
      </w:r>
      <w:r>
        <w:fldChar w:fldCharType="begin"/>
      </w:r>
      <w:r>
        <w:instrText xml:space="preserve"> PAGEREF _Toc25219 \h </w:instrText>
      </w:r>
      <w:r>
        <w:fldChar w:fldCharType="separate"/>
      </w:r>
      <w:r>
        <w:t>41</w:t>
      </w:r>
      <w:r>
        <w:fldChar w:fldCharType="end"/>
      </w:r>
      <w:r>
        <w:fldChar w:fldCharType="end"/>
      </w:r>
    </w:p>
    <w:p>
      <w:pPr>
        <w:pStyle w:val="27"/>
        <w:tabs>
          <w:tab w:val="right" w:leader="dot" w:pos="9462"/>
        </w:tabs>
      </w:pPr>
      <w:r>
        <w:fldChar w:fldCharType="begin"/>
      </w:r>
      <w:r>
        <w:instrText xml:space="preserve"> HYPERLINK \l "_Toc30380" </w:instrText>
      </w:r>
      <w:r>
        <w:fldChar w:fldCharType="separate"/>
      </w:r>
      <w:r>
        <w:rPr>
          <w:rFonts w:hint="eastAsia" w:ascii="宋体" w:hAnsi="宋体"/>
        </w:rPr>
        <w:t>第五章 评标方法和标准</w:t>
      </w:r>
      <w:r>
        <w:tab/>
      </w:r>
      <w:r>
        <w:fldChar w:fldCharType="begin"/>
      </w:r>
      <w:r>
        <w:instrText xml:space="preserve"> PAGEREF _Toc30380 \h </w:instrText>
      </w:r>
      <w:r>
        <w:fldChar w:fldCharType="separate"/>
      </w:r>
      <w:r>
        <w:t>42</w:t>
      </w:r>
      <w:r>
        <w:fldChar w:fldCharType="end"/>
      </w:r>
      <w:r>
        <w:fldChar w:fldCharType="end"/>
      </w:r>
    </w:p>
    <w:p>
      <w:pPr>
        <w:pStyle w:val="27"/>
        <w:tabs>
          <w:tab w:val="right" w:leader="dot" w:pos="9462"/>
        </w:tabs>
      </w:pPr>
      <w:r>
        <w:fldChar w:fldCharType="begin"/>
      </w:r>
      <w:r>
        <w:instrText xml:space="preserve"> HYPERLINK \l "_Toc31714" </w:instrText>
      </w:r>
      <w:r>
        <w:fldChar w:fldCharType="separate"/>
      </w:r>
      <w:r>
        <w:rPr>
          <w:rFonts w:hint="eastAsia" w:ascii="宋体" w:hAnsi="宋体"/>
        </w:rPr>
        <w:t>第六章 货物需求一览表及技术要求</w:t>
      </w:r>
      <w:r>
        <w:tab/>
      </w:r>
      <w:r>
        <w:fldChar w:fldCharType="begin"/>
      </w:r>
      <w:r>
        <w:instrText xml:space="preserve"> PAGEREF _Toc31714 \h </w:instrText>
      </w:r>
      <w:r>
        <w:fldChar w:fldCharType="separate"/>
      </w:r>
      <w:r>
        <w:t>44</w:t>
      </w:r>
      <w:r>
        <w:fldChar w:fldCharType="end"/>
      </w:r>
      <w:r>
        <w:fldChar w:fldCharType="end"/>
      </w:r>
    </w:p>
    <w:p>
      <w:pPr>
        <w:pStyle w:val="32"/>
        <w:tabs>
          <w:tab w:val="right" w:leader="dot" w:pos="9462"/>
        </w:tabs>
      </w:pPr>
      <w:r>
        <w:fldChar w:fldCharType="begin"/>
      </w:r>
      <w:r>
        <w:instrText xml:space="preserve"> HYPERLINK \l "_Toc9053" </w:instrText>
      </w:r>
      <w:r>
        <w:fldChar w:fldCharType="separate"/>
      </w:r>
      <w:r>
        <w:rPr>
          <w:rFonts w:hint="eastAsia" w:ascii="宋体" w:hAnsi="宋体"/>
          <w:kern w:val="0"/>
          <w:szCs w:val="21"/>
        </w:rPr>
        <w:t>一</w:t>
      </w:r>
      <w:r>
        <w:rPr>
          <w:rFonts w:ascii="宋体" w:hAnsi="宋体"/>
          <w:kern w:val="0"/>
          <w:szCs w:val="21"/>
        </w:rPr>
        <w:t>、</w:t>
      </w:r>
      <w:r>
        <w:rPr>
          <w:rFonts w:hint="eastAsia" w:ascii="宋体" w:hAnsi="宋体"/>
          <w:kern w:val="0"/>
          <w:szCs w:val="21"/>
        </w:rPr>
        <w:t>货物</w:t>
      </w:r>
      <w:r>
        <w:rPr>
          <w:rFonts w:ascii="宋体" w:hAnsi="宋体"/>
          <w:kern w:val="0"/>
          <w:szCs w:val="21"/>
        </w:rPr>
        <w:t>需求一览表</w:t>
      </w:r>
      <w:r>
        <w:tab/>
      </w:r>
      <w:r>
        <w:fldChar w:fldCharType="begin"/>
      </w:r>
      <w:r>
        <w:instrText xml:space="preserve"> PAGEREF _Toc9053 \h </w:instrText>
      </w:r>
      <w:r>
        <w:fldChar w:fldCharType="separate"/>
      </w:r>
      <w:r>
        <w:t>44</w:t>
      </w:r>
      <w:r>
        <w:fldChar w:fldCharType="end"/>
      </w:r>
      <w:r>
        <w:fldChar w:fldCharType="end"/>
      </w:r>
    </w:p>
    <w:p>
      <w:pPr>
        <w:pStyle w:val="32"/>
        <w:tabs>
          <w:tab w:val="right" w:leader="dot" w:pos="9462"/>
        </w:tabs>
      </w:pPr>
      <w:r>
        <w:fldChar w:fldCharType="begin"/>
      </w:r>
      <w:r>
        <w:instrText xml:space="preserve"> HYPERLINK \l "_Toc21254" </w:instrText>
      </w:r>
      <w:r>
        <w:fldChar w:fldCharType="separate"/>
      </w:r>
      <w:r>
        <w:rPr>
          <w:rFonts w:hint="eastAsia" w:ascii="宋体" w:hAnsi="宋体"/>
          <w:kern w:val="0"/>
          <w:szCs w:val="22"/>
        </w:rPr>
        <w:t>二、 技术要求</w:t>
      </w:r>
      <w:r>
        <w:tab/>
      </w:r>
      <w:r>
        <w:fldChar w:fldCharType="begin"/>
      </w:r>
      <w:r>
        <w:instrText xml:space="preserve"> PAGEREF _Toc21254 \h </w:instrText>
      </w:r>
      <w:r>
        <w:fldChar w:fldCharType="separate"/>
      </w:r>
      <w:r>
        <w:t>44</w:t>
      </w:r>
      <w:r>
        <w:fldChar w:fldCharType="end"/>
      </w:r>
      <w:r>
        <w:fldChar w:fldCharType="end"/>
      </w:r>
    </w:p>
    <w:p>
      <w:pPr>
        <w:pStyle w:val="13"/>
        <w:pageBreakBefore/>
        <w:tabs>
          <w:tab w:val="left" w:pos="5040"/>
        </w:tabs>
        <w:spacing w:before="240" w:beforeLines="100" w:after="240" w:afterLines="100"/>
        <w:ind w:firstLine="0" w:firstLineChars="0"/>
        <w:jc w:val="center"/>
        <w:outlineLvl w:val="0"/>
        <w:rPr>
          <w:rFonts w:hint="eastAsia" w:ascii="宋体" w:hAnsi="宋体"/>
          <w:b/>
          <w:bCs/>
          <w:sz w:val="24"/>
        </w:rPr>
      </w:pPr>
      <w:r>
        <w:rPr>
          <w:rFonts w:ascii="宋体" w:hAnsi="宋体"/>
          <w:b/>
          <w:bCs/>
          <w:szCs w:val="21"/>
        </w:rPr>
        <w:fldChar w:fldCharType="end"/>
      </w:r>
      <w:bookmarkStart w:id="8" w:name="_Toc12485"/>
      <w:r>
        <w:rPr>
          <w:rFonts w:hint="eastAsia" w:ascii="宋体" w:hAnsi="宋体"/>
          <w:b/>
          <w:bCs/>
          <w:sz w:val="24"/>
        </w:rPr>
        <w:t>第一章 招标公告</w:t>
      </w:r>
      <w:bookmarkEnd w:id="4"/>
      <w:bookmarkEnd w:id="5"/>
      <w:bookmarkEnd w:id="6"/>
      <w:bookmarkEnd w:id="7"/>
      <w:bookmarkEnd w:id="8"/>
    </w:p>
    <w:p>
      <w:pPr>
        <w:autoSpaceDE w:val="0"/>
        <w:autoSpaceDN w:val="0"/>
        <w:spacing w:line="360" w:lineRule="auto"/>
        <w:jc w:val="center"/>
        <w:outlineLvl w:val="2"/>
        <w:rPr>
          <w:rFonts w:hint="eastAsia" w:ascii="宋体" w:hAnsi="宋体" w:cs="宋体"/>
          <w:szCs w:val="21"/>
          <w:lang w:val="zh-CN" w:bidi="zh-CN"/>
        </w:rPr>
      </w:pPr>
      <w:r>
        <w:rPr>
          <w:rFonts w:hint="eastAsia" w:ascii="宋体" w:hAnsi="宋体" w:cs="宋体"/>
          <w:szCs w:val="21"/>
          <w:highlight w:val="yellow"/>
          <w:lang w:bidi="zh-CN"/>
        </w:rPr>
        <w:t>年度螺杆式水冷机组维修保养</w:t>
      </w:r>
      <w:r>
        <w:rPr>
          <w:rFonts w:hint="eastAsia" w:ascii="宋体" w:hAnsi="宋体" w:cs="宋体"/>
          <w:szCs w:val="21"/>
          <w:lang w:val="zh-CN" w:bidi="zh-CN"/>
        </w:rPr>
        <w:t>招标公告</w:t>
      </w:r>
    </w:p>
    <w:p>
      <w:pPr>
        <w:autoSpaceDE w:val="0"/>
        <w:autoSpaceDN w:val="0"/>
        <w:spacing w:line="360" w:lineRule="auto"/>
        <w:jc w:val="center"/>
        <w:rPr>
          <w:rFonts w:hint="eastAsia" w:ascii="宋体" w:hAnsi="宋体" w:cs="宋体"/>
          <w:szCs w:val="21"/>
          <w:lang w:val="zh-CN" w:bidi="zh-CN"/>
        </w:rPr>
      </w:pPr>
      <w:r>
        <w:rPr>
          <w:rFonts w:hint="eastAsia" w:ascii="宋体" w:hAnsi="宋体" w:cs="宋体"/>
          <w:szCs w:val="21"/>
        </w:rPr>
        <w:t>（招标编号：</w:t>
      </w:r>
      <w:r>
        <w:rPr>
          <w:rFonts w:hint="eastAsia" w:ascii="宋体" w:hAnsi="宋体" w:cs="宋体"/>
          <w:szCs w:val="21"/>
          <w:highlight w:val="yellow"/>
        </w:rPr>
        <w:t>WKZB-</w:t>
      </w:r>
      <w:r>
        <w:rPr>
          <w:rFonts w:hint="eastAsia" w:ascii="宋体" w:hAnsi="宋体" w:cs="宋体"/>
          <w:szCs w:val="21"/>
          <w:highlight w:val="yellow"/>
          <w:lang w:eastAsia="zh-CN"/>
        </w:rPr>
        <w:t>2025-016</w:t>
      </w:r>
      <w:r>
        <w:rPr>
          <w:rFonts w:hint="eastAsia" w:ascii="宋体" w:hAnsi="宋体" w:cs="宋体"/>
          <w:szCs w:val="21"/>
        </w:rPr>
        <w:t>）</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项目所在地区：</w:t>
      </w:r>
      <w:r>
        <w:rPr>
          <w:rFonts w:hint="eastAsia" w:ascii="宋体" w:hAnsi="宋体" w:cs="宋体"/>
          <w:szCs w:val="21"/>
          <w:lang w:bidi="zh-CN"/>
        </w:rPr>
        <w:t>扬州</w:t>
      </w:r>
      <w:r>
        <w:rPr>
          <w:rFonts w:hint="eastAsia" w:ascii="宋体" w:hAnsi="宋体" w:cs="宋体"/>
          <w:szCs w:val="21"/>
          <w:lang w:val="zh-CN" w:bidi="zh-CN"/>
        </w:rPr>
        <w:t>市</w:t>
      </w:r>
    </w:p>
    <w:p>
      <w:pPr>
        <w:autoSpaceDE w:val="0"/>
        <w:autoSpaceDN w:val="0"/>
        <w:spacing w:line="360" w:lineRule="auto"/>
        <w:jc w:val="left"/>
        <w:outlineLvl w:val="1"/>
        <w:rPr>
          <w:rFonts w:hint="eastAsia" w:ascii="宋体" w:hAnsi="宋体" w:cs="宋体"/>
          <w:b/>
          <w:bCs/>
          <w:szCs w:val="21"/>
          <w:lang w:val="zh-CN" w:bidi="zh-CN"/>
        </w:rPr>
      </w:pPr>
      <w:bookmarkStart w:id="9" w:name="_Toc24914"/>
      <w:r>
        <w:rPr>
          <w:rFonts w:hint="eastAsia" w:ascii="宋体" w:hAnsi="宋体" w:cs="宋体"/>
          <w:b/>
          <w:bCs/>
          <w:szCs w:val="21"/>
          <w:lang w:val="zh-CN" w:bidi="zh-CN"/>
        </w:rPr>
        <w:t>一、招标条件</w:t>
      </w:r>
      <w:bookmarkEnd w:id="9"/>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w:t>
      </w:r>
      <w:r>
        <w:rPr>
          <w:rFonts w:hint="eastAsia" w:ascii="宋体" w:hAnsi="宋体" w:cs="宋体"/>
          <w:spacing w:val="-27"/>
          <w:szCs w:val="21"/>
          <w:lang w:val="zh-CN" w:bidi="zh-CN"/>
        </w:rPr>
        <w:t xml:space="preserve">本 </w:t>
      </w:r>
      <w:r>
        <w:rPr>
          <w:rFonts w:hint="eastAsia" w:ascii="宋体" w:hAnsi="宋体" w:cs="宋体"/>
          <w:szCs w:val="21"/>
          <w:lang w:val="zh-CN" w:bidi="zh-CN"/>
        </w:rPr>
        <w:t>项目，招标人为国药集团扬州威克生物工程有限公司。本项目已具备招议标条件，现招议标方式为竞争性磋商。</w:t>
      </w:r>
    </w:p>
    <w:p>
      <w:pPr>
        <w:autoSpaceDE w:val="0"/>
        <w:autoSpaceDN w:val="0"/>
        <w:spacing w:line="360" w:lineRule="auto"/>
        <w:jc w:val="left"/>
        <w:outlineLvl w:val="1"/>
        <w:rPr>
          <w:rFonts w:hint="eastAsia" w:ascii="宋体" w:hAnsi="宋体" w:cs="宋体"/>
          <w:b/>
          <w:bCs/>
          <w:szCs w:val="21"/>
          <w:lang w:val="zh-CN" w:bidi="zh-CN"/>
        </w:rPr>
      </w:pPr>
      <w:bookmarkStart w:id="10" w:name="_Toc24906"/>
      <w:r>
        <w:rPr>
          <w:rFonts w:hint="eastAsia" w:ascii="宋体" w:hAnsi="宋体" w:cs="宋体"/>
          <w:b/>
          <w:bCs/>
          <w:szCs w:val="21"/>
          <w:lang w:val="zh-CN" w:bidi="zh-CN"/>
        </w:rPr>
        <w:t>二、项目概况和招标范围</w:t>
      </w:r>
      <w:bookmarkEnd w:id="10"/>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规模：国药集团扬州威克生物工程有限公司</w:t>
      </w:r>
      <w:r>
        <w:rPr>
          <w:rFonts w:hint="eastAsia" w:ascii="宋体" w:hAnsi="宋体" w:cs="宋体"/>
          <w:szCs w:val="21"/>
          <w:lang w:bidi="zh-CN"/>
        </w:rPr>
        <w:t>1号地厂区</w:t>
      </w:r>
    </w:p>
    <w:p>
      <w:pPr>
        <w:autoSpaceDE w:val="0"/>
        <w:autoSpaceDN w:val="0"/>
        <w:spacing w:line="360" w:lineRule="auto"/>
        <w:jc w:val="left"/>
        <w:rPr>
          <w:rFonts w:hint="eastAsia" w:ascii="宋体" w:hAnsi="宋体" w:cs="宋体"/>
          <w:szCs w:val="21"/>
          <w:lang w:val="zh-CN" w:bidi="zh-CN"/>
        </w:rPr>
      </w:pPr>
      <w:r>
        <w:rPr>
          <w:rFonts w:hint="eastAsia" w:ascii="宋体" w:hAnsi="宋体" w:cs="宋体"/>
          <w:spacing w:val="-5"/>
          <w:szCs w:val="21"/>
          <w:lang w:val="zh-CN" w:bidi="zh-CN"/>
        </w:rPr>
        <w:t xml:space="preserve">范围：本招标项目划分为 </w:t>
      </w:r>
      <w:r>
        <w:rPr>
          <w:rFonts w:hint="eastAsia" w:ascii="宋体" w:hAnsi="宋体" w:cs="宋体"/>
          <w:szCs w:val="21"/>
          <w:lang w:val="zh-CN" w:bidi="zh-CN"/>
        </w:rPr>
        <w:t>1</w:t>
      </w:r>
      <w:r>
        <w:rPr>
          <w:rFonts w:hint="eastAsia" w:ascii="宋体" w:hAnsi="宋体" w:cs="宋体"/>
          <w:spacing w:val="-53"/>
          <w:szCs w:val="21"/>
          <w:lang w:val="zh-CN" w:bidi="zh-CN"/>
        </w:rPr>
        <w:t xml:space="preserve"> </w:t>
      </w:r>
      <w:r>
        <w:rPr>
          <w:rFonts w:hint="eastAsia" w:ascii="宋体" w:hAnsi="宋体" w:cs="宋体"/>
          <w:szCs w:val="21"/>
          <w:lang w:val="zh-CN" w:bidi="zh-CN"/>
        </w:rPr>
        <w:t>个标段，本次招标为其中的：</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(001)</w:t>
      </w:r>
      <w:r>
        <w:rPr>
          <w:rFonts w:hint="eastAsia" w:ascii="宋体" w:hAnsi="宋体" w:cs="宋体"/>
          <w:szCs w:val="21"/>
          <w:highlight w:val="yellow"/>
          <w:lang w:bidi="zh-CN"/>
        </w:rPr>
        <w:t>年度螺杆式水冷机组维修保养</w:t>
      </w:r>
      <w:r>
        <w:rPr>
          <w:rFonts w:hint="eastAsia" w:ascii="宋体" w:hAnsi="宋体" w:cs="宋体"/>
          <w:szCs w:val="21"/>
          <w:lang w:val="zh-CN" w:bidi="zh-CN"/>
        </w:rPr>
        <w:t xml:space="preserve">;  </w:t>
      </w:r>
    </w:p>
    <w:p>
      <w:pPr>
        <w:autoSpaceDE w:val="0"/>
        <w:autoSpaceDN w:val="0"/>
        <w:spacing w:line="360" w:lineRule="auto"/>
        <w:jc w:val="left"/>
        <w:outlineLvl w:val="1"/>
        <w:rPr>
          <w:rFonts w:hint="eastAsia" w:ascii="宋体" w:hAnsi="宋体" w:cs="宋体"/>
          <w:b/>
          <w:bCs/>
          <w:szCs w:val="21"/>
          <w:lang w:val="zh-CN" w:bidi="zh-CN"/>
        </w:rPr>
      </w:pPr>
      <w:bookmarkStart w:id="11" w:name="_Toc4665"/>
      <w:r>
        <w:rPr>
          <w:rFonts w:hint="eastAsia" w:ascii="宋体" w:hAnsi="宋体" w:cs="宋体"/>
          <w:b/>
          <w:bCs/>
          <w:szCs w:val="21"/>
          <w:lang w:val="zh-CN" w:bidi="zh-CN"/>
        </w:rPr>
        <w:t>三、投标人资格要求</w:t>
      </w:r>
      <w:bookmarkEnd w:id="11"/>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(001</w:t>
      </w:r>
      <w:r>
        <w:rPr>
          <w:rFonts w:hint="eastAsia" w:ascii="宋体" w:hAnsi="宋体" w:cs="宋体"/>
          <w:szCs w:val="21"/>
          <w:lang w:bidi="zh-CN"/>
        </w:rPr>
        <w:t xml:space="preserve"> </w:t>
      </w:r>
      <w:r>
        <w:rPr>
          <w:rFonts w:hint="eastAsia" w:ascii="宋体" w:hAnsi="宋体" w:cs="宋体"/>
          <w:szCs w:val="21"/>
          <w:highlight w:val="yellow"/>
          <w:lang w:bidi="zh-CN"/>
        </w:rPr>
        <w:t>年度螺杆式水冷机组维修保养</w:t>
      </w:r>
      <w:r>
        <w:rPr>
          <w:rFonts w:hint="eastAsia" w:ascii="宋体" w:hAnsi="宋体" w:cs="宋体"/>
          <w:spacing w:val="-1"/>
          <w:szCs w:val="21"/>
          <w:lang w:val="zh-CN" w:bidi="zh-CN"/>
        </w:rPr>
        <w:t>)的投标人资格能</w:t>
      </w:r>
      <w:r>
        <w:rPr>
          <w:rFonts w:hint="eastAsia" w:ascii="宋体" w:hAnsi="宋体" w:cs="宋体"/>
          <w:szCs w:val="21"/>
          <w:lang w:val="zh-CN" w:bidi="zh-CN"/>
        </w:rPr>
        <w:t>力要求：</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在中国境内注册的法人或其他组织，遵守中国的法律、法规和条例</w:t>
      </w:r>
      <w:r>
        <w:rPr>
          <w:rFonts w:hint="eastAsia"/>
        </w:rPr>
        <w:t>；</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具有良好的财务状况(提供2024年度财务报表，含资产负债表、损益表（利润表）、现金流量表或投标截止日前三个月内基本开户行开具的资信证明)，有依法缴纳税收和社会保障资金的良好记录（提供投标截止日前6个月内任意1个月已缴凭证）；</w:t>
      </w:r>
    </w:p>
    <w:p>
      <w:pPr>
        <w:widowControl/>
        <w:numPr>
          <w:ilvl w:val="0"/>
          <w:numId w:val="4"/>
        </w:numPr>
        <w:spacing w:line="360" w:lineRule="auto"/>
        <w:ind w:firstLine="420" w:firstLineChars="200"/>
        <w:jc w:val="left"/>
        <w:rPr>
          <w:szCs w:val="21"/>
        </w:rPr>
      </w:pPr>
      <w:r>
        <w:rPr>
          <w:rFonts w:hint="eastAsia" w:ascii="宋体" w:hAnsi="宋体" w:cs="宋体"/>
          <w:bCs/>
          <w:szCs w:val="21"/>
        </w:rPr>
        <w:t>投标人法定代表人为同一个人的两个及两个以上法人，母公司与全资子公司/由其控股的子公司，不得同时参与本项目；</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投标人在法律和财务上独立、合法运作并独立于招标人和招标代理机构，不得直接或间接地与招标人为本项目所委托的咨询公司或其附属机构有任何关联；</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投标人须未被“信用中国网站”（www.creditchina.gov.cn）列入失信被执行人、重大税收违法案件当事人名单、政府采购严重违法失信名单；</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投标人不得将本项目招标内容以任何方式进行转包或分包；</w:t>
      </w:r>
    </w:p>
    <w:p>
      <w:pPr>
        <w:widowControl/>
        <w:numPr>
          <w:ilvl w:val="0"/>
          <w:numId w:val="4"/>
        </w:numPr>
        <w:spacing w:line="360" w:lineRule="auto"/>
        <w:ind w:firstLine="420" w:firstLineChars="200"/>
        <w:jc w:val="left"/>
        <w:rPr>
          <w:rFonts w:hint="eastAsia" w:ascii="宋体" w:hAnsi="宋体" w:cs="宋体"/>
          <w:bCs/>
          <w:szCs w:val="21"/>
          <w:lang w:val="zh-CN"/>
        </w:rPr>
      </w:pPr>
      <w:r>
        <w:rPr>
          <w:rFonts w:hint="eastAsia" w:ascii="宋体" w:hAnsi="宋体" w:cs="宋体"/>
          <w:bCs/>
          <w:szCs w:val="21"/>
        </w:rPr>
        <w:t>本项目不接受联合体投标。</w:t>
      </w:r>
    </w:p>
    <w:p>
      <w:pPr>
        <w:autoSpaceDE w:val="0"/>
        <w:autoSpaceDN w:val="0"/>
        <w:spacing w:line="360" w:lineRule="auto"/>
        <w:jc w:val="left"/>
        <w:outlineLvl w:val="1"/>
        <w:rPr>
          <w:rFonts w:hint="eastAsia" w:ascii="宋体" w:hAnsi="宋体" w:cs="宋体"/>
          <w:b/>
          <w:bCs/>
          <w:szCs w:val="21"/>
          <w:lang w:val="zh-CN" w:bidi="zh-CN"/>
        </w:rPr>
      </w:pPr>
      <w:bookmarkStart w:id="12" w:name="_Toc31840"/>
      <w:bookmarkStart w:id="13" w:name="_Toc31703"/>
      <w:r>
        <w:rPr>
          <w:rFonts w:hint="eastAsia" w:ascii="宋体" w:hAnsi="宋体" w:cs="宋体"/>
          <w:b/>
          <w:bCs/>
          <w:szCs w:val="21"/>
          <w:lang w:val="zh-CN" w:bidi="zh-CN"/>
        </w:rPr>
        <w:t>四、招标文件的获取</w:t>
      </w:r>
      <w:bookmarkEnd w:id="12"/>
      <w:bookmarkEnd w:id="13"/>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获取时间：以招标公告时间为准</w:t>
      </w:r>
    </w:p>
    <w:p>
      <w:pPr>
        <w:widowControl/>
        <w:spacing w:line="360" w:lineRule="auto"/>
        <w:jc w:val="left"/>
        <w:rPr>
          <w:rFonts w:hint="eastAsia" w:ascii="宋体" w:hAnsi="宋体" w:cs="宋体"/>
          <w:szCs w:val="21"/>
        </w:rPr>
      </w:pPr>
      <w:r>
        <w:rPr>
          <w:rFonts w:hint="eastAsia" w:ascii="宋体" w:hAnsi="宋体" w:cs="宋体"/>
          <w:szCs w:val="21"/>
          <w:lang w:val="zh-CN" w:bidi="zh-CN"/>
        </w:rPr>
        <w:t>获取方式：</w:t>
      </w:r>
      <w:r>
        <w:rPr>
          <w:rFonts w:hint="eastAsia" w:ascii="宋体" w:hAnsi="宋体" w:cs="宋体"/>
          <w:szCs w:val="21"/>
          <w:lang w:bidi="zh-CN"/>
        </w:rPr>
        <w:t>线上获取</w:t>
      </w:r>
      <w:r>
        <w:rPr>
          <w:rFonts w:hint="eastAsia" w:ascii="宋体" w:hAnsi="宋体" w:cs="宋体"/>
          <w:kern w:val="0"/>
          <w:szCs w:val="21"/>
        </w:rPr>
        <w:t>。</w:t>
      </w:r>
    </w:p>
    <w:p>
      <w:pPr>
        <w:autoSpaceDE w:val="0"/>
        <w:autoSpaceDN w:val="0"/>
        <w:spacing w:line="360" w:lineRule="auto"/>
        <w:jc w:val="left"/>
        <w:rPr>
          <w:rFonts w:hint="eastAsia" w:ascii="宋体" w:hAnsi="宋体" w:cs="宋体"/>
          <w:b/>
          <w:bCs/>
          <w:szCs w:val="21"/>
          <w:lang w:val="zh-CN" w:bidi="zh-CN"/>
        </w:rPr>
      </w:pPr>
      <w:r>
        <w:rPr>
          <w:rFonts w:hint="eastAsia" w:ascii="宋体" w:hAnsi="宋体" w:cs="宋体"/>
          <w:b/>
          <w:bCs/>
          <w:szCs w:val="21"/>
          <w:lang w:val="zh-CN" w:bidi="zh-CN"/>
        </w:rPr>
        <w:t>五、投标文件的递交</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递交截止时间：以招标公告时间为准</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递交方式：</w:t>
      </w:r>
      <w:r>
        <w:rPr>
          <w:rFonts w:hint="eastAsia" w:ascii="宋体" w:hAnsi="宋体" w:cs="宋体"/>
          <w:szCs w:val="21"/>
          <w:lang w:bidi="zh-CN"/>
        </w:rPr>
        <w:t>电子投标文件通过国药集团扬州威克生物工程有限公司官网--招聘投标--招标信息（http://www.sinopharm-vacbio.com/）要求递交。</w:t>
      </w:r>
    </w:p>
    <w:p>
      <w:pPr>
        <w:autoSpaceDE w:val="0"/>
        <w:autoSpaceDN w:val="0"/>
        <w:spacing w:line="360" w:lineRule="auto"/>
        <w:jc w:val="left"/>
        <w:outlineLvl w:val="1"/>
        <w:rPr>
          <w:rFonts w:hint="eastAsia" w:ascii="宋体" w:hAnsi="宋体" w:cs="宋体"/>
          <w:b/>
          <w:bCs/>
          <w:szCs w:val="21"/>
          <w:lang w:val="zh-CN" w:bidi="zh-CN"/>
        </w:rPr>
      </w:pPr>
      <w:bookmarkStart w:id="14" w:name="_Toc23789"/>
      <w:bookmarkStart w:id="15" w:name="_Toc6081"/>
      <w:r>
        <w:rPr>
          <w:rFonts w:hint="eastAsia" w:ascii="宋体" w:hAnsi="宋体" w:cs="宋体"/>
          <w:b/>
          <w:bCs/>
          <w:szCs w:val="21"/>
          <w:lang w:val="zh-CN" w:bidi="zh-CN"/>
        </w:rPr>
        <w:t>六、开标时间及地点</w:t>
      </w:r>
      <w:bookmarkEnd w:id="14"/>
      <w:bookmarkEnd w:id="15"/>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开标时间：以</w:t>
      </w:r>
      <w:r>
        <w:rPr>
          <w:rFonts w:hint="eastAsia" w:ascii="宋体" w:hAnsi="宋体" w:cs="宋体"/>
          <w:szCs w:val="21"/>
          <w:lang w:bidi="zh-CN"/>
        </w:rPr>
        <w:t>具体通知</w:t>
      </w:r>
      <w:r>
        <w:rPr>
          <w:rFonts w:hint="eastAsia" w:ascii="宋体" w:hAnsi="宋体" w:cs="宋体"/>
          <w:szCs w:val="21"/>
          <w:lang w:val="zh-CN" w:bidi="zh-CN"/>
        </w:rPr>
        <w:t>时间为准</w:t>
      </w:r>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开标地点：</w:t>
      </w:r>
      <w:r>
        <w:rPr>
          <w:rFonts w:hint="eastAsia"/>
          <w:b/>
          <w:bCs/>
        </w:rPr>
        <w:t xml:space="preserve">扬州邗江工业园牧羊路15号，收件人：陈娟 </w:t>
      </w:r>
      <w:r>
        <w:rPr>
          <w:b/>
          <w:bCs/>
        </w:rPr>
        <w:t xml:space="preserve"> 0514-85106680转8025</w:t>
      </w:r>
      <w:r>
        <w:rPr>
          <w:rFonts w:hint="eastAsia"/>
          <w:b/>
          <w:bCs/>
        </w:rPr>
        <w:t xml:space="preserve"> </w:t>
      </w:r>
      <w:r>
        <w:rPr>
          <w:rFonts w:hint="eastAsia" w:ascii="宋体" w:hAnsi="宋体" w:cs="宋体"/>
          <w:szCs w:val="21"/>
          <w:lang w:bidi="zh-CN"/>
        </w:rPr>
        <w:t>。</w:t>
      </w:r>
    </w:p>
    <w:p>
      <w:pPr>
        <w:autoSpaceDE w:val="0"/>
        <w:autoSpaceDN w:val="0"/>
        <w:spacing w:line="360" w:lineRule="auto"/>
        <w:jc w:val="left"/>
        <w:outlineLvl w:val="1"/>
        <w:rPr>
          <w:rFonts w:hint="eastAsia" w:ascii="宋体" w:hAnsi="宋体" w:cs="宋体"/>
          <w:b/>
          <w:bCs/>
          <w:szCs w:val="21"/>
          <w:lang w:val="zh-CN" w:bidi="zh-CN"/>
        </w:rPr>
      </w:pPr>
      <w:bookmarkStart w:id="16" w:name="_Toc26190"/>
      <w:bookmarkStart w:id="17" w:name="_Toc11141"/>
      <w:r>
        <w:rPr>
          <w:rFonts w:hint="eastAsia" w:ascii="宋体" w:hAnsi="宋体" w:cs="宋体"/>
          <w:b/>
          <w:bCs/>
          <w:szCs w:val="21"/>
          <w:lang w:val="zh-CN" w:bidi="zh-CN"/>
        </w:rPr>
        <w:t>七、其他</w:t>
      </w:r>
      <w:bookmarkEnd w:id="16"/>
      <w:bookmarkEnd w:id="17"/>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val="zh-CN" w:bidi="zh-CN"/>
        </w:rPr>
        <w:t>采购需求：</w:t>
      </w:r>
      <w:r>
        <w:rPr>
          <w:rFonts w:hint="eastAsia" w:ascii="宋体" w:hAnsi="宋体" w:cs="宋体"/>
          <w:szCs w:val="21"/>
          <w:lang w:bidi="zh-CN"/>
        </w:rPr>
        <w:t xml:space="preserve">国药集团扬州威克生物工程有限公司拟通过竞争性磋商方式选择供应商。(技术要求详见第六章） </w:t>
      </w:r>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bidi="zh-CN"/>
        </w:rPr>
        <w:t>交货期</w:t>
      </w:r>
      <w:r>
        <w:rPr>
          <w:rFonts w:hint="eastAsia" w:ascii="宋体" w:hAnsi="宋体" w:cs="宋体"/>
          <w:szCs w:val="21"/>
          <w:lang w:val="zh-CN" w:bidi="zh-CN"/>
        </w:rPr>
        <w:t>：根据</w:t>
      </w:r>
      <w:r>
        <w:rPr>
          <w:rFonts w:hint="eastAsia" w:ascii="宋体" w:hAnsi="宋体" w:cs="宋体"/>
          <w:szCs w:val="21"/>
          <w:lang w:bidi="zh-CN"/>
        </w:rPr>
        <w:t>招标人</w:t>
      </w:r>
      <w:r>
        <w:rPr>
          <w:rFonts w:hint="eastAsia" w:ascii="宋体" w:hAnsi="宋体" w:cs="宋体"/>
          <w:szCs w:val="21"/>
          <w:lang w:val="zh-CN" w:bidi="zh-CN"/>
        </w:rPr>
        <w:t>要求</w:t>
      </w:r>
      <w:r>
        <w:rPr>
          <w:rFonts w:hint="eastAsia" w:ascii="宋体" w:hAnsi="宋体" w:cs="宋体"/>
          <w:szCs w:val="21"/>
          <w:lang w:bidi="zh-CN"/>
        </w:rPr>
        <w:t>的</w:t>
      </w:r>
      <w:r>
        <w:rPr>
          <w:rFonts w:hint="eastAsia" w:ascii="宋体" w:hAnsi="宋体" w:cs="宋体"/>
          <w:szCs w:val="21"/>
          <w:lang w:val="zh-CN" w:bidi="zh-CN"/>
        </w:rPr>
        <w:t>时间</w:t>
      </w:r>
      <w:r>
        <w:rPr>
          <w:rFonts w:hint="eastAsia" w:ascii="宋体" w:hAnsi="宋体" w:cs="宋体"/>
          <w:szCs w:val="21"/>
          <w:lang w:bidi="zh-CN"/>
        </w:rPr>
        <w:t>完成。</w:t>
      </w:r>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bidi="zh-CN"/>
        </w:rPr>
        <w:t>供货期限：按合同签约定。</w:t>
      </w:r>
    </w:p>
    <w:p>
      <w:pPr>
        <w:pStyle w:val="80"/>
        <w:numPr>
          <w:ilvl w:val="0"/>
          <w:numId w:val="5"/>
        </w:numPr>
        <w:spacing w:after="0" w:afterLines="0"/>
        <w:ind w:firstLine="420"/>
        <w:rPr>
          <w:rFonts w:hint="eastAsia" w:ascii="宋体" w:hAnsi="宋体" w:eastAsia="宋体"/>
          <w:sz w:val="21"/>
          <w:szCs w:val="21"/>
          <w:lang w:val="en-US"/>
        </w:rPr>
      </w:pPr>
      <w:r>
        <w:rPr>
          <w:rFonts w:hint="eastAsia" w:ascii="宋体" w:hAnsi="宋体" w:eastAsia="宋体"/>
          <w:sz w:val="21"/>
          <w:szCs w:val="21"/>
          <w:lang w:val="en-US"/>
        </w:rPr>
        <w:t>交货地址：招标人指定交货地点。</w:t>
      </w:r>
    </w:p>
    <w:p>
      <w:pPr>
        <w:pStyle w:val="80"/>
        <w:numPr>
          <w:ilvl w:val="0"/>
          <w:numId w:val="5"/>
        </w:numPr>
        <w:spacing w:after="0" w:afterLines="0"/>
        <w:ind w:firstLine="420"/>
        <w:rPr>
          <w:sz w:val="21"/>
          <w:szCs w:val="21"/>
          <w:lang w:val="en-US"/>
        </w:rPr>
      </w:pPr>
      <w:r>
        <w:rPr>
          <w:rFonts w:hint="eastAsia" w:ascii="宋体" w:hAnsi="宋体" w:eastAsia="宋体"/>
          <w:sz w:val="21"/>
          <w:szCs w:val="21"/>
          <w:lang w:val="en-US"/>
        </w:rPr>
        <w:t>文件费：0元/份，售后不退。文件费发票为电子发票（发送至联系人邮箱）。</w:t>
      </w:r>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val="zh-CN" w:bidi="zh-CN"/>
        </w:rPr>
        <w:t>有意获取本项目招标文件的投标人</w:t>
      </w:r>
      <w:r>
        <w:rPr>
          <w:rFonts w:hint="eastAsia" w:ascii="宋体" w:hAnsi="宋体" w:cs="宋体"/>
          <w:szCs w:val="21"/>
          <w:lang w:bidi="zh-CN"/>
        </w:rPr>
        <w:t>，</w:t>
      </w:r>
      <w:r>
        <w:rPr>
          <w:rFonts w:hint="eastAsia" w:ascii="宋体" w:hAnsi="宋体" w:cs="宋体"/>
          <w:szCs w:val="21"/>
          <w:lang w:val="zh-CN" w:bidi="zh-CN"/>
        </w:rPr>
        <w:t>须在本公告规定时间内于</w:t>
      </w:r>
      <w:r>
        <w:rPr>
          <w:rFonts w:hint="eastAsia" w:ascii="宋体" w:hAnsi="宋体" w:cs="宋体"/>
          <w:szCs w:val="21"/>
          <w:lang w:bidi="zh-CN"/>
        </w:rPr>
        <w:t>国药集团扬州威克生物工程有限公司官网--招聘投标--招标信息（http://www.sinopharm-vacbio.com/）报名并获取</w:t>
      </w:r>
      <w:r>
        <w:rPr>
          <w:rFonts w:hint="eastAsia" w:ascii="宋体" w:hAnsi="宋体" w:cs="宋体"/>
          <w:szCs w:val="21"/>
          <w:lang w:val="zh-CN" w:bidi="zh-CN"/>
        </w:rPr>
        <w:t>招标文件。</w:t>
      </w:r>
    </w:p>
    <w:p>
      <w:pPr>
        <w:numPr>
          <w:ilvl w:val="0"/>
          <w:numId w:val="5"/>
        </w:numPr>
        <w:autoSpaceDE w:val="0"/>
        <w:autoSpaceDN w:val="0"/>
        <w:spacing w:line="360" w:lineRule="auto"/>
        <w:ind w:firstLine="420" w:firstLineChars="200"/>
        <w:jc w:val="left"/>
        <w:rPr>
          <w:lang w:val="zh-CN"/>
        </w:rPr>
      </w:pPr>
      <w:bookmarkStart w:id="18" w:name="_Toc16177"/>
      <w:r>
        <w:rPr>
          <w:rFonts w:hint="eastAsia" w:ascii="宋体" w:hAnsi="宋体" w:cs="宋体"/>
          <w:szCs w:val="21"/>
          <w:lang w:val="zh-CN" w:bidi="zh-CN"/>
        </w:rPr>
        <w:t>如果潜在投标人认为本采购项目投标资格或采购内容中存在倾向性或排斥性的内容，可以在</w:t>
      </w:r>
      <w:r>
        <w:rPr>
          <w:rFonts w:hint="eastAsia" w:ascii="宋体" w:hAnsi="宋体" w:cs="宋体"/>
          <w:szCs w:val="21"/>
          <w:lang w:bidi="zh-CN"/>
        </w:rPr>
        <w:t>获得</w:t>
      </w:r>
      <w:r>
        <w:rPr>
          <w:rFonts w:hint="eastAsia" w:ascii="宋体" w:hAnsi="宋体" w:cs="宋体"/>
          <w:szCs w:val="21"/>
          <w:lang w:val="zh-CN" w:bidi="zh-CN"/>
        </w:rPr>
        <w:t>招标文件截止时间或者投标截止时间</w:t>
      </w:r>
      <w:r>
        <w:rPr>
          <w:rFonts w:hint="eastAsia" w:ascii="宋体" w:hAnsi="宋体" w:cs="宋体"/>
          <w:szCs w:val="21"/>
          <w:lang w:bidi="zh-CN"/>
        </w:rPr>
        <w:t>3</w:t>
      </w:r>
      <w:r>
        <w:rPr>
          <w:rFonts w:hint="eastAsia" w:ascii="宋体" w:hAnsi="宋体" w:cs="宋体"/>
          <w:szCs w:val="21"/>
          <w:lang w:val="zh-CN" w:bidi="zh-CN"/>
        </w:rPr>
        <w:t>日前以书面形式向</w:t>
      </w:r>
      <w:r>
        <w:rPr>
          <w:rFonts w:hint="eastAsia" w:ascii="宋体" w:hAnsi="宋体" w:cs="宋体"/>
          <w:szCs w:val="21"/>
          <w:lang w:bidi="zh-CN"/>
        </w:rPr>
        <w:t>国药集团扬州威克生物工程有限公司</w:t>
      </w:r>
      <w:r>
        <w:rPr>
          <w:rFonts w:hint="eastAsia" w:ascii="宋体" w:hAnsi="宋体" w:cs="宋体"/>
          <w:szCs w:val="21"/>
          <w:lang w:val="zh-CN" w:bidi="zh-CN"/>
        </w:rPr>
        <w:t>提出，并附相关证明资料。</w:t>
      </w:r>
    </w:p>
    <w:p>
      <w:pPr>
        <w:pStyle w:val="80"/>
        <w:numPr>
          <w:ilvl w:val="0"/>
          <w:numId w:val="5"/>
        </w:numPr>
        <w:spacing w:after="120"/>
        <w:ind w:firstLineChars="0"/>
        <w:rPr>
          <w:rFonts w:hint="eastAsia" w:ascii="宋体" w:hAnsi="宋体" w:eastAsia="宋体"/>
          <w:sz w:val="21"/>
          <w:szCs w:val="21"/>
          <w:lang w:val="en-US" w:bidi="ar-SA"/>
        </w:rPr>
      </w:pPr>
      <w:r>
        <w:rPr>
          <w:rFonts w:hint="eastAsia" w:ascii="宋体" w:hAnsi="宋体" w:eastAsia="宋体"/>
          <w:sz w:val="21"/>
          <w:szCs w:val="21"/>
        </w:rPr>
        <w:t>本项目公告发布平台</w:t>
      </w:r>
      <w:r>
        <w:rPr>
          <w:rFonts w:hint="eastAsia" w:ascii="宋体" w:hAnsi="宋体" w:eastAsia="宋体"/>
          <w:sz w:val="21"/>
          <w:szCs w:val="21"/>
          <w:lang w:val="en-US"/>
        </w:rPr>
        <w:t>：国药集团扬州威克生物工程有限公司官网（http://www.sinopharm-vacbio.com/）</w:t>
      </w:r>
      <w:r>
        <w:rPr>
          <w:rFonts w:hint="eastAsia" w:ascii="宋体" w:hAnsi="宋体" w:eastAsia="宋体"/>
          <w:sz w:val="21"/>
          <w:szCs w:val="21"/>
        </w:rPr>
        <w:t>。因轻信其他组织、个人或媒介提供的信息而造成的损失，其责任由投标人自行负责。</w:t>
      </w:r>
    </w:p>
    <w:p>
      <w:pPr>
        <w:autoSpaceDE w:val="0"/>
        <w:autoSpaceDN w:val="0"/>
        <w:spacing w:line="360" w:lineRule="auto"/>
        <w:jc w:val="left"/>
        <w:outlineLvl w:val="1"/>
        <w:rPr>
          <w:rFonts w:hint="eastAsia" w:ascii="宋体" w:hAnsi="宋体" w:cs="宋体"/>
          <w:b/>
          <w:bCs/>
          <w:szCs w:val="21"/>
          <w:lang w:val="zh-CN" w:bidi="zh-CN"/>
        </w:rPr>
      </w:pPr>
      <w:bookmarkStart w:id="19" w:name="_Toc28912"/>
      <w:r>
        <w:rPr>
          <w:rFonts w:hint="eastAsia" w:ascii="宋体" w:hAnsi="宋体" w:cs="宋体"/>
          <w:b/>
          <w:bCs/>
          <w:szCs w:val="21"/>
          <w:lang w:val="zh-CN" w:bidi="zh-CN"/>
        </w:rPr>
        <w:t>八、监督部门</w:t>
      </w:r>
      <w:bookmarkEnd w:id="18"/>
      <w:bookmarkEnd w:id="19"/>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本招标项目的监督为</w:t>
      </w:r>
      <w:r>
        <w:rPr>
          <w:rFonts w:hint="eastAsia" w:ascii="宋体" w:hAnsi="宋体" w:cs="宋体"/>
          <w:szCs w:val="21"/>
          <w:lang w:bidi="zh-CN"/>
        </w:rPr>
        <w:t>公司纪检人员</w:t>
      </w:r>
      <w:r>
        <w:rPr>
          <w:rFonts w:hint="eastAsia" w:ascii="宋体" w:hAnsi="宋体" w:cs="宋体"/>
          <w:szCs w:val="21"/>
          <w:lang w:val="zh-CN" w:bidi="zh-CN"/>
        </w:rPr>
        <w:t>。</w:t>
      </w:r>
    </w:p>
    <w:p>
      <w:pPr>
        <w:autoSpaceDE w:val="0"/>
        <w:autoSpaceDN w:val="0"/>
        <w:spacing w:line="360" w:lineRule="auto"/>
        <w:jc w:val="left"/>
        <w:outlineLvl w:val="1"/>
        <w:rPr>
          <w:rFonts w:hint="eastAsia" w:ascii="宋体" w:hAnsi="宋体" w:cs="宋体"/>
          <w:b/>
          <w:bCs/>
          <w:szCs w:val="21"/>
          <w:lang w:val="zh-CN" w:bidi="zh-CN"/>
        </w:rPr>
      </w:pPr>
      <w:bookmarkStart w:id="20" w:name="_Toc5800"/>
      <w:bookmarkStart w:id="21" w:name="_Toc21816"/>
      <w:r>
        <w:rPr>
          <w:rFonts w:hint="eastAsia" w:ascii="宋体" w:hAnsi="宋体" w:cs="宋体"/>
          <w:b/>
          <w:bCs/>
          <w:szCs w:val="21"/>
          <w:lang w:val="zh-CN" w:bidi="zh-CN"/>
        </w:rPr>
        <w:t>九、联系方式</w:t>
      </w:r>
      <w:bookmarkEnd w:id="20"/>
      <w:bookmarkEnd w:id="21"/>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 xml:space="preserve">   招标人：</w:t>
      </w:r>
      <w:r>
        <w:rPr>
          <w:rFonts w:hint="eastAsia" w:ascii="宋体" w:hAnsi="宋体" w:cs="宋体"/>
          <w:szCs w:val="21"/>
          <w:lang w:bidi="zh-CN"/>
        </w:rPr>
        <w:t>国药集团扬州威克生物工程有限公司</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地 址： 扬州邗江工业园牧羊路15号</w:t>
      </w:r>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 xml:space="preserve">   联 系 人：</w:t>
      </w:r>
      <w:r>
        <w:rPr>
          <w:rFonts w:hint="eastAsia" w:ascii="宋体" w:hAnsi="宋体" w:cs="宋体"/>
          <w:szCs w:val="21"/>
          <w:lang w:bidi="zh-CN"/>
        </w:rPr>
        <w:t>陈娟</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电 话 ：</w:t>
      </w:r>
      <w:r>
        <w:rPr>
          <w:rFonts w:hint="eastAsia" w:ascii="宋体" w:hAnsi="宋体" w:cs="宋体"/>
          <w:szCs w:val="21"/>
          <w:lang w:bidi="zh-CN"/>
        </w:rPr>
        <w:t xml:space="preserve">  0514-85106680转8025</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电子邮件：</w:t>
      </w:r>
      <w:r>
        <w:rPr>
          <w:rFonts w:hint="eastAsia" w:ascii="宋体" w:hAnsi="宋体" w:cs="宋体"/>
          <w:szCs w:val="21"/>
          <w:lang w:bidi="zh-CN"/>
        </w:rPr>
        <w:t xml:space="preserve"> chenjuan1@sinopharm.com</w:t>
      </w:r>
      <w:r>
        <w:rPr>
          <w:rFonts w:hint="eastAsia" w:ascii="宋体" w:hAnsi="宋体" w:cs="宋体"/>
          <w:szCs w:val="21"/>
          <w:lang w:val="zh-CN" w:bidi="zh-CN"/>
        </w:rPr>
        <w:t xml:space="preserve"> </w:t>
      </w:r>
    </w:p>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r>
        <w:rPr>
          <w:rFonts w:hint="eastAsia" w:ascii="宋体" w:hAnsi="宋体" w:cs="宋体"/>
          <w:szCs w:val="21"/>
          <w:lang w:val="zh-CN" w:bidi="zh-CN"/>
        </w:rPr>
        <w:t xml:space="preserve">  </w:t>
      </w:r>
      <w:bookmarkStart w:id="22" w:name="_Toc152045527"/>
      <w:bookmarkStart w:id="23" w:name="_Toc77628939"/>
      <w:bookmarkStart w:id="24" w:name="_Toc233102490"/>
      <w:bookmarkStart w:id="25" w:name="_Toc26325"/>
      <w:bookmarkStart w:id="26" w:name="_Toc390940505"/>
      <w:bookmarkStart w:id="27" w:name="_Toc29240255"/>
      <w:bookmarkStart w:id="28" w:name="_Toc144974495"/>
      <w:bookmarkStart w:id="29" w:name="_Toc179632544"/>
      <w:bookmarkStart w:id="30" w:name="_Toc152042303"/>
      <w:bookmarkStart w:id="31" w:name="_Toc77629019"/>
      <w:bookmarkStart w:id="32" w:name="_Toc77628605"/>
      <w:r>
        <w:rPr>
          <w:rFonts w:hint="eastAsia" w:ascii="宋体" w:hAnsi="宋体"/>
          <w:b/>
          <w:bCs/>
          <w:sz w:val="24"/>
        </w:rPr>
        <w:t>第二章 投标人须知</w:t>
      </w:r>
      <w:bookmarkEnd w:id="22"/>
      <w:bookmarkEnd w:id="23"/>
      <w:bookmarkEnd w:id="24"/>
      <w:bookmarkEnd w:id="25"/>
      <w:bookmarkEnd w:id="26"/>
      <w:bookmarkEnd w:id="27"/>
      <w:bookmarkEnd w:id="28"/>
      <w:bookmarkEnd w:id="29"/>
      <w:bookmarkEnd w:id="30"/>
      <w:bookmarkEnd w:id="31"/>
      <w:bookmarkEnd w:id="32"/>
    </w:p>
    <w:p>
      <w:pPr>
        <w:pStyle w:val="153"/>
        <w:keepNext w:val="0"/>
        <w:keepLines w:val="0"/>
        <w:spacing w:before="0" w:line="360" w:lineRule="auto"/>
        <w:jc w:val="center"/>
        <w:rPr>
          <w:rFonts w:hint="eastAsia" w:ascii="宋体" w:hAnsi="宋体" w:eastAsia="宋体"/>
          <w:b/>
          <w:sz w:val="21"/>
          <w:szCs w:val="21"/>
        </w:rPr>
      </w:pPr>
      <w:bookmarkStart w:id="33" w:name="_Toc144974496"/>
      <w:bookmarkStart w:id="34" w:name="_Toc179632545"/>
      <w:bookmarkStart w:id="35" w:name="_Toc390940506"/>
      <w:bookmarkStart w:id="36" w:name="_Toc233102491"/>
      <w:bookmarkStart w:id="37" w:name="_Toc29240256"/>
      <w:bookmarkStart w:id="38" w:name="_Toc77629020"/>
      <w:bookmarkStart w:id="39" w:name="_Toc152042304"/>
      <w:bookmarkStart w:id="40" w:name="_Toc152045528"/>
      <w:bookmarkStart w:id="41" w:name="_Toc15300"/>
      <w:bookmarkStart w:id="42" w:name="_Toc77628606"/>
      <w:bookmarkStart w:id="43" w:name="_Toc77628940"/>
      <w:r>
        <w:rPr>
          <w:rFonts w:hint="eastAsia" w:ascii="宋体" w:hAnsi="宋体" w:eastAsia="宋体"/>
          <w:b/>
          <w:sz w:val="21"/>
          <w:szCs w:val="21"/>
        </w:rPr>
        <w:t>投标人须知前附表</w:t>
      </w:r>
      <w:bookmarkEnd w:id="33"/>
      <w:bookmarkEnd w:id="34"/>
      <w:bookmarkEnd w:id="35"/>
      <w:bookmarkEnd w:id="36"/>
      <w:bookmarkEnd w:id="37"/>
      <w:bookmarkEnd w:id="38"/>
      <w:bookmarkEnd w:id="39"/>
      <w:bookmarkEnd w:id="40"/>
      <w:bookmarkEnd w:id="41"/>
      <w:bookmarkEnd w:id="42"/>
      <w:bookmarkEnd w:id="43"/>
    </w:p>
    <w:p>
      <w:pPr>
        <w:spacing w:line="360" w:lineRule="auto"/>
        <w:jc w:val="center"/>
        <w:rPr>
          <w:rFonts w:hint="eastAsia" w:ascii="宋体" w:hAnsi="宋体"/>
          <w:szCs w:val="21"/>
        </w:rPr>
      </w:pPr>
      <w:r>
        <w:rPr>
          <w:rFonts w:hint="eastAsia" w:ascii="宋体" w:hAnsi="宋体" w:cs="微软雅黑"/>
          <w:b/>
          <w:kern w:val="0"/>
          <w:szCs w:val="21"/>
        </w:rPr>
        <w:t>本表是对“投标人须知”的具体补充和修改，如有矛盾，应以本表内容为准。</w:t>
      </w:r>
    </w:p>
    <w:tbl>
      <w:tblPr>
        <w:tblStyle w:val="41"/>
        <w:tblW w:w="95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4"/>
        <w:gridCol w:w="8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条款号</w:t>
            </w:r>
          </w:p>
        </w:tc>
        <w:tc>
          <w:tcPr>
            <w:tcW w:w="8379"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1.1</w:t>
            </w:r>
          </w:p>
        </w:tc>
        <w:tc>
          <w:tcPr>
            <w:tcW w:w="8379" w:type="dxa"/>
            <w:tcBorders>
              <w:tl2br w:val="nil"/>
              <w:tr2bl w:val="nil"/>
            </w:tcBorders>
            <w:vAlign w:val="center"/>
          </w:tcPr>
          <w:p>
            <w:pPr>
              <w:spacing w:line="360" w:lineRule="auto"/>
              <w:rPr>
                <w:rFonts w:hint="eastAsia" w:ascii="宋体" w:hAnsi="宋体"/>
                <w:szCs w:val="21"/>
              </w:rPr>
            </w:pPr>
            <w:r>
              <w:rPr>
                <w:rFonts w:hint="eastAsia" w:ascii="宋体" w:hAnsi="宋体"/>
                <w:szCs w:val="21"/>
              </w:rPr>
              <w:t>招标人：国药集团扬州威克生物工程有限公司</w:t>
            </w:r>
          </w:p>
          <w:p>
            <w:pPr>
              <w:spacing w:line="360" w:lineRule="auto"/>
              <w:rPr>
                <w:rFonts w:hint="eastAsia" w:ascii="宋体" w:hAnsi="宋体"/>
                <w:szCs w:val="21"/>
              </w:rPr>
            </w:pPr>
            <w:r>
              <w:rPr>
                <w:rFonts w:hint="eastAsia" w:ascii="宋体" w:hAnsi="宋体"/>
                <w:szCs w:val="21"/>
              </w:rPr>
              <w:t>地址： 扬州邗江工业园牧羊路15号</w:t>
            </w:r>
          </w:p>
          <w:p>
            <w:pPr>
              <w:pStyle w:val="2"/>
            </w:pPr>
            <w:r>
              <w:rPr>
                <w:rFonts w:hint="eastAsia"/>
              </w:rPr>
              <w:t>联系人：陈娟</w:t>
            </w:r>
          </w:p>
          <w:p>
            <w:pPr>
              <w:spacing w:line="360" w:lineRule="auto"/>
              <w:rPr>
                <w:rFonts w:hint="eastAsia" w:ascii="宋体" w:hAnsi="宋体"/>
                <w:szCs w:val="21"/>
                <w:u w:val="single"/>
              </w:rPr>
            </w:pPr>
            <w:r>
              <w:rPr>
                <w:rFonts w:hint="eastAsia" w:ascii="宋体" w:hAnsi="宋体"/>
                <w:szCs w:val="21"/>
              </w:rPr>
              <w:t>电话：</w:t>
            </w:r>
            <w:r>
              <w:rPr>
                <w:rFonts w:hint="eastAsia" w:ascii="宋体" w:hAnsi="宋体" w:cs="宋体"/>
                <w:szCs w:val="21"/>
                <w:lang w:bidi="zh-CN"/>
              </w:rPr>
              <w:t>0514-85106680转8025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1.2</w:t>
            </w:r>
          </w:p>
        </w:tc>
        <w:tc>
          <w:tcPr>
            <w:tcW w:w="8379" w:type="dxa"/>
            <w:tcBorders>
              <w:tl2br w:val="nil"/>
              <w:tr2bl w:val="nil"/>
            </w:tcBorders>
            <w:vAlign w:val="center"/>
          </w:tcPr>
          <w:p>
            <w:pPr>
              <w:spacing w:line="360" w:lineRule="auto"/>
              <w:rPr>
                <w:rFonts w:hint="eastAsia" w:ascii="宋体" w:hAnsi="宋体" w:cs="Arial"/>
                <w:b/>
                <w:bCs/>
                <w:szCs w:val="21"/>
              </w:rPr>
            </w:pPr>
            <w:r>
              <w:rPr>
                <w:rFonts w:hint="eastAsia" w:ascii="宋体" w:hAnsi="宋体" w:cs="Arial"/>
                <w:b/>
                <w:bCs/>
                <w:szCs w:val="21"/>
              </w:rPr>
              <w:t>投标人资格要求：</w:t>
            </w:r>
          </w:p>
          <w:p>
            <w:pPr>
              <w:spacing w:line="360" w:lineRule="auto"/>
              <w:rPr>
                <w:rFonts w:hint="eastAsia" w:ascii="宋体" w:hAnsi="宋体" w:cs="Arial"/>
                <w:szCs w:val="21"/>
              </w:rPr>
            </w:pPr>
            <w:r>
              <w:rPr>
                <w:rFonts w:hint="eastAsia" w:ascii="宋体" w:hAnsi="宋体" w:cs="Arial"/>
                <w:szCs w:val="21"/>
              </w:rPr>
              <w:t>1．在中国境内注册的法人或其他组织，遵守中国的法律、法规和条例；</w:t>
            </w:r>
          </w:p>
          <w:p>
            <w:pPr>
              <w:spacing w:line="360" w:lineRule="auto"/>
              <w:rPr>
                <w:rFonts w:hint="eastAsia" w:ascii="宋体" w:hAnsi="宋体" w:cs="Arial"/>
                <w:szCs w:val="21"/>
              </w:rPr>
            </w:pPr>
            <w:r>
              <w:rPr>
                <w:rFonts w:hint="eastAsia" w:ascii="宋体" w:hAnsi="宋体" w:cs="Arial"/>
                <w:szCs w:val="21"/>
              </w:rPr>
              <w:t>2．具有良好的财务状况(提供2023年度财务报表，含资产负债表、损益表（利润表）、现金流量表或投标截止日前三个月内基本开户行开具的资信证明)；</w:t>
            </w:r>
          </w:p>
          <w:p>
            <w:pPr>
              <w:spacing w:line="360" w:lineRule="auto"/>
              <w:rPr>
                <w:rFonts w:hint="eastAsia" w:ascii="宋体" w:hAnsi="宋体" w:cs="Arial"/>
                <w:szCs w:val="21"/>
              </w:rPr>
            </w:pPr>
            <w:r>
              <w:rPr>
                <w:rFonts w:hint="eastAsia" w:ascii="宋体" w:hAnsi="宋体" w:cs="Arial"/>
                <w:szCs w:val="21"/>
              </w:rPr>
              <w:t>3．投标人应为拟投产品生产厂家或代理商，如果投标人是代理商，应提供所投产品生产厂家出具的合法且在有效期内的授权书；</w:t>
            </w:r>
          </w:p>
          <w:p>
            <w:pPr>
              <w:spacing w:line="360" w:lineRule="auto"/>
              <w:rPr>
                <w:rFonts w:hint="eastAsia" w:ascii="宋体" w:hAnsi="宋体" w:cs="Arial"/>
                <w:szCs w:val="21"/>
              </w:rPr>
            </w:pPr>
            <w:r>
              <w:rPr>
                <w:rFonts w:hint="eastAsia" w:ascii="宋体" w:hAnsi="宋体" w:cs="Arial"/>
                <w:szCs w:val="21"/>
              </w:rPr>
              <w:t>4．投标人法定代表人为同一个人的两个及两个以上法人，母公司与全资子公司/由其控股的子公司，不得同时参与本项目；</w:t>
            </w:r>
          </w:p>
          <w:p>
            <w:pPr>
              <w:spacing w:line="360" w:lineRule="auto"/>
              <w:rPr>
                <w:rFonts w:hint="eastAsia" w:ascii="宋体" w:hAnsi="宋体" w:cs="Arial"/>
                <w:szCs w:val="21"/>
              </w:rPr>
            </w:pPr>
            <w:r>
              <w:rPr>
                <w:rFonts w:hint="eastAsia" w:ascii="宋体" w:hAnsi="宋体" w:cs="Arial"/>
                <w:szCs w:val="21"/>
              </w:rPr>
              <w:t>5．投标人在法律和财务上独立、合法运作并独立于招标人和招标代理机构，不得直接或间接地与招标人为本项目所委托的咨询公司或其附属机构有任何关联；</w:t>
            </w:r>
          </w:p>
          <w:p>
            <w:pPr>
              <w:spacing w:line="360" w:lineRule="auto"/>
              <w:rPr>
                <w:rFonts w:hint="eastAsia" w:ascii="宋体" w:hAnsi="宋体" w:cs="Arial"/>
                <w:szCs w:val="21"/>
              </w:rPr>
            </w:pPr>
            <w:r>
              <w:rPr>
                <w:rFonts w:hint="eastAsia" w:ascii="宋体" w:hAnsi="宋体" w:cs="Arial"/>
                <w:szCs w:val="21"/>
              </w:rPr>
              <w:t>6．投标人须未被“信用中国网站”（www.creditchina.gov.cn）列入失信被执行人、重大税收违法案件当事人名单、政府采购严重违法失信名单；</w:t>
            </w:r>
          </w:p>
          <w:p>
            <w:pPr>
              <w:spacing w:line="360" w:lineRule="auto"/>
              <w:rPr>
                <w:rFonts w:hint="eastAsia" w:ascii="宋体" w:hAnsi="宋体" w:cs="Arial"/>
                <w:szCs w:val="21"/>
              </w:rPr>
            </w:pPr>
            <w:r>
              <w:rPr>
                <w:rFonts w:hint="eastAsia" w:ascii="宋体" w:hAnsi="宋体" w:cs="Arial"/>
                <w:szCs w:val="21"/>
              </w:rPr>
              <w:t>7．投标人不得将本项目招标内容以任何方式进行转包或分包；</w:t>
            </w:r>
          </w:p>
          <w:p>
            <w:pPr>
              <w:spacing w:line="360" w:lineRule="auto"/>
              <w:rPr>
                <w:rFonts w:hint="eastAsia" w:ascii="宋体" w:hAnsi="宋体" w:cs="Arial"/>
                <w:szCs w:val="21"/>
              </w:rPr>
            </w:pPr>
            <w:r>
              <w:rPr>
                <w:rFonts w:hint="eastAsia" w:ascii="宋体" w:hAnsi="宋体" w:cs="Arial"/>
                <w:szCs w:val="21"/>
              </w:rPr>
              <w:t>8．本项目不接受联合体投标。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1.3</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cs="Arial"/>
                <w:szCs w:val="21"/>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ascii="宋体" w:hAnsi="宋体" w:cs="Arial"/>
                <w:b/>
                <w:szCs w:val="21"/>
              </w:rPr>
              <w:t>1.3.</w:t>
            </w:r>
            <w:r>
              <w:rPr>
                <w:rFonts w:hint="eastAsia" w:ascii="宋体" w:hAnsi="宋体" w:cs="Arial"/>
                <w:b/>
                <w:szCs w:val="21"/>
              </w:rPr>
              <w:t>6</w:t>
            </w:r>
          </w:p>
        </w:tc>
        <w:tc>
          <w:tcPr>
            <w:tcW w:w="8379" w:type="dxa"/>
            <w:tcBorders>
              <w:tl2br w:val="nil"/>
              <w:tr2bl w:val="nil"/>
            </w:tcBorders>
            <w:vAlign w:val="center"/>
          </w:tcPr>
          <w:p>
            <w:pPr>
              <w:spacing w:line="360" w:lineRule="auto"/>
              <w:rPr>
                <w:rFonts w:hint="eastAsia" w:ascii="宋体" w:hAnsi="宋体" w:cs="Arial"/>
                <w:szCs w:val="21"/>
              </w:rPr>
            </w:pPr>
            <w:r>
              <w:rPr>
                <w:rFonts w:ascii="宋体" w:hAnsi="宋体" w:cs="Arial"/>
                <w:szCs w:val="21"/>
              </w:rPr>
              <w:t>联合体的其他资格要求：无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hint="eastAsia" w:ascii="宋体" w:hAnsi="宋体" w:cs="Arial"/>
                <w:b/>
                <w:szCs w:val="21"/>
              </w:rPr>
              <w:t>2</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cs="Arial"/>
                <w:szCs w:val="21"/>
              </w:rPr>
              <w:t>本项目资金来源：企业自筹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ascii="宋体" w:hAnsi="宋体" w:cs="Arial"/>
                <w:b/>
                <w:szCs w:val="21"/>
              </w:rPr>
              <w:t>8.2</w:t>
            </w:r>
          </w:p>
        </w:tc>
        <w:tc>
          <w:tcPr>
            <w:tcW w:w="8379" w:type="dxa"/>
            <w:tcBorders>
              <w:tl2br w:val="nil"/>
              <w:tr2bl w:val="nil"/>
            </w:tcBorders>
            <w:vAlign w:val="center"/>
          </w:tcPr>
          <w:p>
            <w:pPr>
              <w:spacing w:line="360" w:lineRule="auto"/>
              <w:rPr>
                <w:rFonts w:hint="eastAsia" w:ascii="宋体" w:hAnsi="宋体" w:cs="Arial"/>
                <w:szCs w:val="21"/>
              </w:rPr>
            </w:pPr>
            <w:r>
              <w:rPr>
                <w:rFonts w:ascii="宋体" w:hAnsi="宋体" w:cs="Arial"/>
                <w:szCs w:val="21"/>
              </w:rPr>
              <w:t>是否允许提供备选方案：否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ascii="宋体" w:hAnsi="宋体" w:cs="Arial"/>
                <w:b/>
                <w:szCs w:val="21"/>
              </w:rPr>
              <w:t>9.1</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cs="Arial"/>
                <w:szCs w:val="21"/>
              </w:rPr>
              <w:t>生产厂商</w:t>
            </w:r>
            <w:r>
              <w:rPr>
                <w:rFonts w:ascii="宋体" w:hAnsi="宋体" w:cs="Arial"/>
                <w:szCs w:val="21"/>
              </w:rPr>
              <w:t>的资格声明：是</w:t>
            </w:r>
          </w:p>
          <w:p>
            <w:pPr>
              <w:spacing w:line="360" w:lineRule="auto"/>
              <w:rPr>
                <w:rFonts w:hint="eastAsia" w:ascii="宋体" w:hAnsi="宋体" w:cs="Arial"/>
                <w:szCs w:val="21"/>
              </w:rPr>
            </w:pPr>
            <w:r>
              <w:rPr>
                <w:rFonts w:hint="eastAsia" w:ascii="宋体" w:hAnsi="宋体" w:cs="Arial"/>
                <w:szCs w:val="21"/>
              </w:rPr>
              <w:t>生产厂商</w:t>
            </w:r>
            <w:r>
              <w:rPr>
                <w:rFonts w:ascii="宋体" w:hAnsi="宋体" w:cs="Arial"/>
                <w:szCs w:val="21"/>
              </w:rPr>
              <w:t>的授权书：提供</w:t>
            </w:r>
            <w:r>
              <w:rPr>
                <w:rFonts w:hint="eastAsia" w:ascii="宋体" w:hAnsi="宋体" w:cs="Arial"/>
                <w:szCs w:val="21"/>
              </w:rPr>
              <w:t>有效期内</w:t>
            </w:r>
            <w:r>
              <w:rPr>
                <w:rFonts w:ascii="宋体" w:hAnsi="宋体" w:cs="Arial"/>
                <w:szCs w:val="21"/>
              </w:rPr>
              <w:t>生产厂商关于本项目授权（函）</w:t>
            </w:r>
            <w:r>
              <w:rPr>
                <w:rFonts w:hint="eastAsia" w:ascii="宋体" w:hAnsi="宋体" w:cs="Arial"/>
                <w:szCs w:val="21"/>
              </w:rPr>
              <w:t>原</w:t>
            </w:r>
            <w:r>
              <w:rPr>
                <w:rFonts w:ascii="宋体" w:hAnsi="宋体" w:cs="Arial"/>
                <w:szCs w:val="21"/>
              </w:rPr>
              <w:t>件。</w:t>
            </w:r>
          </w:p>
          <w:p>
            <w:pPr>
              <w:spacing w:line="360" w:lineRule="auto"/>
              <w:rPr>
                <w:rFonts w:hint="eastAsia" w:ascii="宋体" w:hAnsi="宋体" w:cs="Arial"/>
                <w:szCs w:val="21"/>
              </w:rPr>
            </w:pPr>
            <w:r>
              <w:rPr>
                <w:rFonts w:ascii="宋体" w:hAnsi="宋体" w:cs="Arial"/>
                <w:szCs w:val="21"/>
              </w:rPr>
              <w:t>其他可接受的</w:t>
            </w:r>
            <w:r>
              <w:rPr>
                <w:rFonts w:hint="eastAsia" w:ascii="宋体" w:hAnsi="宋体" w:cs="Arial"/>
                <w:szCs w:val="21"/>
              </w:rPr>
              <w:t>生产厂商</w:t>
            </w:r>
            <w:r>
              <w:rPr>
                <w:rFonts w:ascii="宋体" w:hAnsi="宋体" w:cs="Arial"/>
                <w:szCs w:val="21"/>
              </w:rPr>
              <w:t>授权形式</w:t>
            </w:r>
            <w:r>
              <w:rPr>
                <w:rFonts w:hint="eastAsia" w:ascii="宋体" w:hAnsi="宋体" w:cs="Arial"/>
                <w:szCs w:val="21"/>
              </w:rPr>
              <w:t>：</w:t>
            </w:r>
            <w:r>
              <w:rPr>
                <w:rFonts w:ascii="宋体" w:hAnsi="宋体" w:cs="Arial"/>
                <w:szCs w:val="21"/>
              </w:rPr>
              <w:t>合法渠道获得的销售证明文件。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12.1</w:t>
            </w:r>
          </w:p>
        </w:tc>
        <w:tc>
          <w:tcPr>
            <w:tcW w:w="8379" w:type="dxa"/>
            <w:tcBorders>
              <w:tl2br w:val="nil"/>
              <w:tr2bl w:val="nil"/>
            </w:tcBorders>
            <w:vAlign w:val="center"/>
          </w:tcPr>
          <w:p>
            <w:pPr>
              <w:spacing w:line="360" w:lineRule="auto"/>
              <w:rPr>
                <w:rFonts w:hint="eastAsia" w:ascii="宋体" w:hAnsi="宋体"/>
                <w:b/>
                <w:szCs w:val="21"/>
              </w:rPr>
            </w:pPr>
            <w:r>
              <w:rPr>
                <w:rFonts w:hint="eastAsia" w:ascii="宋体" w:hAnsi="宋体"/>
                <w:b/>
                <w:szCs w:val="21"/>
              </w:rPr>
              <w:t>投标保证金：  0   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13.1</w:t>
            </w:r>
          </w:p>
        </w:tc>
        <w:tc>
          <w:tcPr>
            <w:tcW w:w="8379" w:type="dxa"/>
            <w:tcBorders>
              <w:tl2br w:val="nil"/>
              <w:tr2bl w:val="nil"/>
            </w:tcBorders>
            <w:vAlign w:val="center"/>
          </w:tcPr>
          <w:p>
            <w:pPr>
              <w:spacing w:line="360" w:lineRule="auto"/>
              <w:ind w:hanging="1592"/>
              <w:rPr>
                <w:rFonts w:hint="eastAsia" w:ascii="宋体" w:hAnsi="宋体"/>
                <w:szCs w:val="21"/>
                <w:u w:val="single"/>
              </w:rPr>
            </w:pPr>
            <w:r>
              <w:rPr>
                <w:rFonts w:hint="eastAsia" w:ascii="宋体" w:hAnsi="宋体"/>
                <w:szCs w:val="21"/>
              </w:rPr>
              <w:t>投标有效期：12 投标有效期：自投标截止之日起120天.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14.1</w:t>
            </w:r>
          </w:p>
        </w:tc>
        <w:tc>
          <w:tcPr>
            <w:tcW w:w="8379" w:type="dxa"/>
            <w:tcBorders>
              <w:tl2br w:val="nil"/>
              <w:tr2bl w:val="nil"/>
            </w:tcBorders>
            <w:vAlign w:val="center"/>
          </w:tcPr>
          <w:p>
            <w:pPr>
              <w:spacing w:line="360" w:lineRule="auto"/>
              <w:rPr>
                <w:rFonts w:eastAsia="楷体"/>
              </w:rPr>
            </w:pPr>
            <w:r>
              <w:rPr>
                <w:rFonts w:hint="eastAsia"/>
              </w:rPr>
              <w:t>投标文件：正本1份，副本2份，电子投标文件1份（以U盘形式同投标文件一并递交，</w:t>
            </w:r>
            <w:r>
              <w:t>内含一份可编辑版本</w:t>
            </w:r>
            <w:r>
              <w:rPr>
                <w:rFonts w:hint="eastAsia"/>
              </w:rPr>
              <w:t>文件和</w:t>
            </w:r>
            <w:r>
              <w:t>一份</w:t>
            </w:r>
            <w:r>
              <w:rPr>
                <w:rFonts w:hint="eastAsia"/>
              </w:rPr>
              <w:t>正本</w:t>
            </w:r>
            <w:r>
              <w:t>盖章扫描版本文件</w:t>
            </w:r>
            <w:r>
              <w:rPr>
                <w:rFonts w:hint="eastAsia"/>
              </w:rPr>
              <w:t>）。当</w:t>
            </w:r>
            <w:r>
              <w:t>电子文件与纸质文件内容不符时，</w:t>
            </w:r>
            <w:r>
              <w:rPr>
                <w:b/>
                <w:bCs/>
              </w:rPr>
              <w:t>以</w:t>
            </w:r>
            <w:r>
              <w:rPr>
                <w:rFonts w:hint="eastAsia"/>
                <w:b/>
                <w:bCs/>
              </w:rPr>
              <w:t>线上上传的电子版</w:t>
            </w:r>
            <w:r>
              <w:rPr>
                <w:b/>
                <w:bCs/>
              </w:rPr>
              <w:t>为准</w:t>
            </w:r>
            <w:r>
              <w:rPr>
                <w:rFonts w:hint="eastAsia"/>
              </w:rPr>
              <w:t>。未按要求提供的，将导致投标被否决。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16.1</w:t>
            </w:r>
          </w:p>
        </w:tc>
        <w:tc>
          <w:tcPr>
            <w:tcW w:w="8379" w:type="dxa"/>
            <w:tcBorders>
              <w:tl2br w:val="nil"/>
              <w:tr2bl w:val="nil"/>
            </w:tcBorders>
            <w:vAlign w:val="center"/>
          </w:tcPr>
          <w:p>
            <w:pPr>
              <w:spacing w:line="360" w:lineRule="auto"/>
              <w:rPr>
                <w:rFonts w:hint="eastAsia" w:ascii="宋体" w:hAnsi="宋体"/>
                <w:b/>
                <w:bCs/>
                <w:szCs w:val="21"/>
              </w:rPr>
            </w:pPr>
            <w:r>
              <w:rPr>
                <w:rFonts w:hint="eastAsia" w:ascii="宋体" w:hAnsi="宋体"/>
                <w:b/>
                <w:bCs/>
                <w:szCs w:val="21"/>
              </w:rPr>
              <w:t>投标截止期：以具体通知时间为准（北京时间）</w:t>
            </w:r>
          </w:p>
          <w:p>
            <w:pPr>
              <w:spacing w:line="360" w:lineRule="auto"/>
              <w:rPr>
                <w:rFonts w:hint="eastAsia" w:ascii="宋体" w:hAnsi="宋体"/>
                <w:b/>
                <w:bCs/>
                <w:szCs w:val="21"/>
              </w:rPr>
            </w:pPr>
            <w:r>
              <w:rPr>
                <w:rFonts w:hint="eastAsia" w:ascii="宋体" w:hAnsi="宋体"/>
                <w:b/>
                <w:bCs/>
                <w:szCs w:val="21"/>
              </w:rPr>
              <w:t>递交文件地点：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18.1</w:t>
            </w:r>
          </w:p>
        </w:tc>
        <w:tc>
          <w:tcPr>
            <w:tcW w:w="8379" w:type="dxa"/>
            <w:tcBorders>
              <w:tl2br w:val="nil"/>
              <w:tr2bl w:val="nil"/>
            </w:tcBorders>
            <w:vAlign w:val="center"/>
          </w:tcPr>
          <w:p>
            <w:pPr>
              <w:spacing w:line="360" w:lineRule="auto"/>
              <w:rPr>
                <w:rFonts w:hint="eastAsia" w:ascii="宋体" w:hAnsi="宋体"/>
                <w:b/>
                <w:bCs/>
                <w:szCs w:val="21"/>
                <w:u w:val="single"/>
              </w:rPr>
            </w:pPr>
            <w:r>
              <w:rPr>
                <w:rFonts w:hint="eastAsia" w:ascii="宋体" w:hAnsi="宋体"/>
                <w:b/>
                <w:bCs/>
                <w:szCs w:val="21"/>
              </w:rPr>
              <w:t>开标时间：以招标公告时间为准（（北京时间）</w:t>
            </w:r>
          </w:p>
          <w:p>
            <w:pPr>
              <w:spacing w:line="360" w:lineRule="auto"/>
              <w:rPr>
                <w:rFonts w:hint="eastAsia" w:ascii="宋体" w:hAnsi="宋体"/>
                <w:b/>
                <w:bCs/>
                <w:szCs w:val="21"/>
              </w:rPr>
            </w:pPr>
            <w:r>
              <w:rPr>
                <w:rFonts w:hint="eastAsia" w:ascii="宋体" w:hAnsi="宋体"/>
                <w:b/>
                <w:bCs/>
                <w:szCs w:val="21"/>
              </w:rPr>
              <w:t>开标地点：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22.2</w:t>
            </w:r>
          </w:p>
        </w:tc>
        <w:tc>
          <w:tcPr>
            <w:tcW w:w="8379" w:type="dxa"/>
            <w:tcBorders>
              <w:tl2br w:val="nil"/>
              <w:tr2bl w:val="nil"/>
            </w:tcBorders>
            <w:vAlign w:val="center"/>
          </w:tcPr>
          <w:p>
            <w:pPr>
              <w:spacing w:line="360" w:lineRule="auto"/>
              <w:rPr>
                <w:rFonts w:hint="eastAsia" w:ascii="宋体" w:hAnsi="宋体"/>
                <w:szCs w:val="21"/>
              </w:rPr>
            </w:pPr>
            <w:r>
              <w:rPr>
                <w:rFonts w:hint="eastAsia" w:ascii="宋体" w:hAnsi="宋体"/>
                <w:szCs w:val="21"/>
              </w:rPr>
              <w:t>评标方法：22.2（2）综合评分法（适用）</w:t>
            </w:r>
          </w:p>
          <w:p>
            <w:pPr>
              <w:spacing w:line="360" w:lineRule="auto"/>
              <w:ind w:firstLine="1050" w:firstLineChars="500"/>
              <w:rPr>
                <w:rFonts w:hint="eastAsia" w:ascii="宋体" w:hAnsi="宋体"/>
                <w:szCs w:val="21"/>
              </w:rPr>
            </w:pPr>
            <w:r>
              <w:rPr>
                <w:rFonts w:hint="eastAsia" w:ascii="宋体" w:hAnsi="宋体"/>
                <w:szCs w:val="21"/>
              </w:rPr>
              <w:t>22.2（1）最低评标价法（不适用）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30.1</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szCs w:val="21"/>
              </w:rPr>
              <w:t>履约保证金：</w:t>
            </w:r>
            <w:r>
              <w:rPr>
                <w:rFonts w:hint="eastAsia" w:ascii="宋体" w:hAnsi="宋体" w:cs="Arial"/>
                <w:szCs w:val="21"/>
              </w:rPr>
              <w:t>参照合同</w:t>
            </w:r>
          </w:p>
          <w:p>
            <w:pPr>
              <w:spacing w:line="360" w:lineRule="auto"/>
              <w:rPr>
                <w:rFonts w:hint="eastAsia" w:ascii="宋体" w:hAnsi="宋体" w:cs="Arial"/>
                <w:szCs w:val="21"/>
              </w:rPr>
            </w:pPr>
            <w:r>
              <w:rPr>
                <w:rFonts w:hint="eastAsia" w:ascii="宋体" w:hAnsi="宋体" w:cs="Arial"/>
                <w:szCs w:val="21"/>
              </w:rPr>
              <w:t>履约保证金形式：</w:t>
            </w:r>
            <w:r>
              <w:rPr>
                <w:rFonts w:hint="eastAsia" w:ascii="宋体" w:hAnsi="宋体" w:cs="Arial"/>
                <w:szCs w:val="21"/>
                <w:u w:val="single"/>
              </w:rPr>
              <w:t>支票或者电汇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jc w:val="center"/>
              <w:rPr>
                <w:rFonts w:hint="eastAsia" w:ascii="宋体" w:hAnsi="宋体"/>
                <w:b/>
                <w:sz w:val="20"/>
                <w:szCs w:val="21"/>
              </w:rPr>
            </w:pPr>
            <w:r>
              <w:rPr>
                <w:rFonts w:ascii="宋体" w:hAnsi="宋体" w:cs="Arial"/>
                <w:b/>
                <w:szCs w:val="21"/>
              </w:rPr>
              <w:t>适用于本投标人须知的额外增加的变动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numPr>
                <w:ilvl w:val="0"/>
                <w:numId w:val="6"/>
              </w:numPr>
              <w:spacing w:line="360" w:lineRule="auto"/>
            </w:pPr>
            <w:r>
              <w:rPr>
                <w:rFonts w:hint="eastAsia"/>
              </w:rPr>
              <w:t>本次由招标人在评审委员会推荐的排名中选择</w:t>
            </w:r>
            <w:r>
              <w:rPr>
                <w:rFonts w:hint="eastAsia"/>
                <w:u w:val="single"/>
              </w:rPr>
              <w:t xml:space="preserve">  1  </w:t>
            </w:r>
            <w:r>
              <w:rPr>
                <w:rFonts w:hint="eastAsia"/>
              </w:rPr>
              <w:t>家供应商，每家供应数量以实际订单为准。</w:t>
            </w:r>
          </w:p>
          <w:p>
            <w:pPr>
              <w:numPr>
                <w:ilvl w:val="0"/>
                <w:numId w:val="6"/>
              </w:numPr>
              <w:spacing w:line="360" w:lineRule="auto"/>
            </w:pPr>
            <w:r>
              <w:rPr>
                <w:rFonts w:hint="eastAsia"/>
              </w:rPr>
              <w:t>付款方式：参照合同。</w:t>
            </w:r>
          </w:p>
          <w:p>
            <w:pPr>
              <w:spacing w:line="360" w:lineRule="auto"/>
            </w:pPr>
            <w:r>
              <w:rPr>
                <w:rFonts w:hint="eastAsia"/>
              </w:rPr>
              <w:t>3、交货期：</w:t>
            </w:r>
            <w:r>
              <w:rPr>
                <w:rFonts w:hint="eastAsia" w:ascii="宋体" w:hAnsi="宋体" w:cs="宋体"/>
                <w:szCs w:val="21"/>
                <w:lang w:val="zh-CN" w:bidi="zh-CN"/>
              </w:rPr>
              <w:t>根据</w:t>
            </w:r>
            <w:r>
              <w:rPr>
                <w:rFonts w:hint="eastAsia" w:ascii="宋体" w:hAnsi="宋体" w:cs="宋体"/>
                <w:szCs w:val="21"/>
                <w:lang w:bidi="zh-CN"/>
              </w:rPr>
              <w:t>招标人单次</w:t>
            </w:r>
            <w:r>
              <w:rPr>
                <w:rFonts w:hint="eastAsia" w:ascii="宋体" w:hAnsi="宋体" w:cs="宋体"/>
                <w:szCs w:val="21"/>
                <w:lang w:val="zh-CN" w:bidi="zh-CN"/>
              </w:rPr>
              <w:t>订单要求</w:t>
            </w:r>
            <w:r>
              <w:rPr>
                <w:rFonts w:hint="eastAsia" w:ascii="宋体" w:hAnsi="宋体" w:cs="宋体"/>
                <w:szCs w:val="21"/>
                <w:lang w:bidi="zh-CN"/>
              </w:rPr>
              <w:t>的</w:t>
            </w:r>
            <w:r>
              <w:rPr>
                <w:rFonts w:hint="eastAsia" w:ascii="宋体" w:hAnsi="宋体" w:cs="宋体"/>
                <w:szCs w:val="21"/>
                <w:lang w:val="zh-CN" w:bidi="zh-CN"/>
              </w:rPr>
              <w:t>时间</w:t>
            </w:r>
            <w:r>
              <w:rPr>
                <w:rFonts w:hint="eastAsia" w:ascii="宋体" w:hAnsi="宋体" w:cs="宋体"/>
                <w:szCs w:val="21"/>
                <w:lang w:bidi="zh-CN"/>
              </w:rPr>
              <w:t>完成配送</w:t>
            </w:r>
            <w:r>
              <w:rPr>
                <w:rFonts w:hint="eastAsia"/>
              </w:rPr>
              <w:t>。</w:t>
            </w:r>
          </w:p>
          <w:p>
            <w:pPr>
              <w:spacing w:line="360" w:lineRule="auto"/>
              <w:rPr>
                <w:highlight w:val="yellow"/>
              </w:rPr>
            </w:pPr>
            <w:r>
              <w:rPr>
                <w:rFonts w:hint="eastAsia"/>
                <w:highlight w:val="yellow"/>
              </w:rPr>
              <w:t>4、</w:t>
            </w:r>
            <w:r>
              <w:rPr>
                <w:rFonts w:hint="eastAsia" w:ascii="宋体" w:hAnsi="宋体" w:cs="宋体"/>
                <w:szCs w:val="21"/>
                <w:highlight w:val="yellow"/>
                <w:lang w:bidi="zh-CN"/>
              </w:rPr>
              <w:t>服务期限：自合同签订日期服务期两年（除签订合同中另有约定）。</w:t>
            </w:r>
          </w:p>
          <w:p>
            <w:pPr>
              <w:spacing w:line="360" w:lineRule="auto"/>
            </w:pPr>
            <w:r>
              <w:rPr>
                <w:rFonts w:hint="eastAsia"/>
              </w:rPr>
              <w:t>5、由中标单位负责配送、卸货。</w:t>
            </w:r>
          </w:p>
          <w:p>
            <w:pPr>
              <w:spacing w:line="360" w:lineRule="auto"/>
            </w:pPr>
            <w:r>
              <w:rPr>
                <w:rFonts w:hint="eastAsia"/>
              </w:rPr>
              <w:t>6、招标文件“第六章 货物需求一览表及技术要求”中“*必需”的条款为关键技术于参数要求（如有），*号条款必须满足，如不满足，其投标将被否决。</w:t>
            </w:r>
          </w:p>
          <w:p>
            <w:pPr>
              <w:spacing w:line="360" w:lineRule="auto"/>
            </w:pPr>
            <w:r>
              <w:rPr>
                <w:rFonts w:hint="eastAsia"/>
              </w:rPr>
              <w:t>7、</w:t>
            </w:r>
            <w:r>
              <w:rPr>
                <w:rFonts w:hint="eastAsia"/>
                <w:b/>
                <w:bCs/>
              </w:rPr>
              <w:t>文件递交提醒：请投标人准备（1）一正</w:t>
            </w:r>
            <w:r>
              <w:rPr>
                <w:rFonts w:hint="eastAsia"/>
                <w:b/>
                <w:bCs/>
                <w:lang w:val="en-US" w:eastAsia="zh-CN"/>
              </w:rPr>
              <w:t>两</w:t>
            </w:r>
            <w:r>
              <w:rPr>
                <w:rFonts w:hint="eastAsia"/>
                <w:b/>
                <w:bCs/>
              </w:rPr>
              <w:t>副、电子投标文件一份在截止时间前密封送至扬州邗江工业园牧羊路15号，收件人：陈娟 0514-85106680转8025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adjustRightInd w:val="0"/>
              <w:snapToGrid w:val="0"/>
              <w:spacing w:line="360" w:lineRule="auto"/>
              <w:rPr>
                <w:rFonts w:hint="eastAsia" w:ascii="宋体" w:hAnsi="宋体"/>
                <w:b/>
                <w:szCs w:val="21"/>
              </w:rPr>
            </w:pPr>
            <w:r>
              <w:rPr>
                <w:rFonts w:hint="eastAsia" w:ascii="宋体" w:hAnsi="宋体"/>
                <w:b/>
                <w:szCs w:val="21"/>
              </w:rPr>
              <w:t>供应商如有串标、围标、弄虚作假等违法违规行为，其响应无效，保证金不予退还。</w:t>
            </w:r>
          </w:p>
          <w:p>
            <w:pPr>
              <w:adjustRightInd w:val="0"/>
              <w:snapToGrid w:val="0"/>
              <w:spacing w:line="360" w:lineRule="auto"/>
              <w:rPr>
                <w:rFonts w:hint="eastAsia" w:ascii="宋体" w:hAnsi="宋体"/>
                <w:b/>
                <w:szCs w:val="21"/>
              </w:rPr>
            </w:pPr>
            <w:r>
              <w:rPr>
                <w:rFonts w:hint="eastAsia" w:ascii="宋体" w:hAnsi="宋体"/>
                <w:b/>
                <w:szCs w:val="21"/>
              </w:rPr>
              <w:t>有下列情形之一的，视为供应商相互串通投标：</w:t>
            </w:r>
          </w:p>
          <w:p>
            <w:pPr>
              <w:adjustRightInd w:val="0"/>
              <w:snapToGrid w:val="0"/>
              <w:spacing w:line="360" w:lineRule="auto"/>
              <w:rPr>
                <w:rFonts w:hint="eastAsia" w:ascii="宋体" w:hAnsi="宋体"/>
                <w:bCs/>
                <w:szCs w:val="21"/>
              </w:rPr>
            </w:pPr>
            <w:r>
              <w:rPr>
                <w:rFonts w:hint="eastAsia" w:ascii="宋体" w:hAnsi="宋体"/>
                <w:bCs/>
                <w:szCs w:val="21"/>
              </w:rPr>
              <w:t>（一）不同供应商的响应文件由同一单位或者个人编制；</w:t>
            </w:r>
          </w:p>
          <w:p>
            <w:pPr>
              <w:adjustRightInd w:val="0"/>
              <w:snapToGrid w:val="0"/>
              <w:spacing w:line="360" w:lineRule="auto"/>
              <w:rPr>
                <w:rFonts w:hint="eastAsia" w:ascii="宋体" w:hAnsi="宋体"/>
                <w:bCs/>
                <w:szCs w:val="21"/>
              </w:rPr>
            </w:pPr>
            <w:r>
              <w:rPr>
                <w:rFonts w:hint="eastAsia" w:ascii="宋体" w:hAnsi="宋体"/>
                <w:bCs/>
                <w:szCs w:val="21"/>
              </w:rPr>
              <w:t>（二）不同供应商的响应文件载明的项目管理成员为同一人；</w:t>
            </w:r>
          </w:p>
          <w:p>
            <w:pPr>
              <w:adjustRightInd w:val="0"/>
              <w:snapToGrid w:val="0"/>
              <w:spacing w:line="360" w:lineRule="auto"/>
              <w:rPr>
                <w:rFonts w:hint="eastAsia" w:ascii="宋体" w:hAnsi="宋体"/>
                <w:bCs/>
                <w:szCs w:val="21"/>
              </w:rPr>
            </w:pPr>
            <w:r>
              <w:rPr>
                <w:rFonts w:hint="eastAsia" w:ascii="宋体" w:hAnsi="宋体"/>
                <w:bCs/>
                <w:szCs w:val="21"/>
              </w:rPr>
              <w:t>（三）不同供应商的响应文件内容存在非正常一致或响应文件错漏之处一致的；</w:t>
            </w:r>
          </w:p>
          <w:p>
            <w:pPr>
              <w:adjustRightInd w:val="0"/>
              <w:snapToGrid w:val="0"/>
              <w:spacing w:line="360" w:lineRule="auto"/>
              <w:rPr>
                <w:rFonts w:hint="eastAsia" w:ascii="宋体" w:hAnsi="宋体"/>
                <w:bCs/>
                <w:szCs w:val="21"/>
              </w:rPr>
            </w:pPr>
            <w:r>
              <w:rPr>
                <w:rFonts w:hint="eastAsia" w:ascii="宋体" w:hAnsi="宋体"/>
                <w:bCs/>
                <w:szCs w:val="21"/>
              </w:rPr>
              <w:t>（四）不同供应商的响应文件相互混装；</w:t>
            </w:r>
          </w:p>
          <w:p>
            <w:pPr>
              <w:spacing w:line="360" w:lineRule="auto"/>
              <w:rPr>
                <w:rFonts w:hint="eastAsia" w:ascii="宋体" w:hAnsi="宋体" w:cs="Arial"/>
                <w:b/>
                <w:szCs w:val="21"/>
              </w:rPr>
            </w:pPr>
            <w:r>
              <w:rPr>
                <w:rFonts w:hint="eastAsia" w:ascii="宋体" w:hAnsi="宋体"/>
                <w:bCs/>
                <w:szCs w:val="21"/>
              </w:rPr>
              <w:t>（五）不同供应商的投标保证金从同一单位或者个人的账户转出。</w:t>
            </w:r>
          </w:p>
        </w:tc>
      </w:tr>
    </w:tbl>
    <w:p>
      <w:pPr>
        <w:pageBreakBefore/>
        <w:spacing w:before="120" w:beforeLines="50" w:after="120" w:afterLines="50" w:line="360" w:lineRule="auto"/>
        <w:jc w:val="center"/>
        <w:outlineLvl w:val="1"/>
        <w:rPr>
          <w:b/>
          <w:bCs/>
          <w:szCs w:val="21"/>
        </w:rPr>
      </w:pPr>
      <w:bookmarkStart w:id="44" w:name="_Toc520356143"/>
      <w:bookmarkStart w:id="45" w:name="_Toc77629021"/>
      <w:bookmarkStart w:id="46" w:name="_Toc29240257"/>
      <w:bookmarkStart w:id="47" w:name="_Toc77628941"/>
      <w:bookmarkStart w:id="48" w:name="_Toc77628607"/>
      <w:bookmarkStart w:id="49" w:name="_Toc216582805"/>
      <w:bookmarkStart w:id="50" w:name="_Toc4167"/>
      <w:bookmarkStart w:id="51" w:name="_Toc233102492"/>
      <w:bookmarkStart w:id="52" w:name="_Toc144974497"/>
      <w:bookmarkStart w:id="53" w:name="_Toc152045529"/>
      <w:bookmarkStart w:id="54" w:name="_Toc179632546"/>
      <w:bookmarkStart w:id="55" w:name="_Toc152042305"/>
      <w:r>
        <w:rPr>
          <w:rFonts w:hint="eastAsia"/>
          <w:b/>
          <w:bCs/>
          <w:szCs w:val="21"/>
        </w:rPr>
        <w:t>一、说</w:t>
      </w:r>
      <w:r>
        <w:rPr>
          <w:b/>
          <w:bCs/>
          <w:szCs w:val="21"/>
        </w:rPr>
        <w:t xml:space="preserve">  </w:t>
      </w:r>
      <w:r>
        <w:rPr>
          <w:rFonts w:hint="eastAsia"/>
          <w:b/>
          <w:bCs/>
          <w:szCs w:val="21"/>
        </w:rPr>
        <w:t>明</w:t>
      </w:r>
      <w:bookmarkEnd w:id="44"/>
      <w:bookmarkEnd w:id="45"/>
      <w:bookmarkEnd w:id="46"/>
      <w:bookmarkEnd w:id="47"/>
      <w:bookmarkEnd w:id="48"/>
      <w:bookmarkEnd w:id="49"/>
      <w:bookmarkEnd w:id="50"/>
    </w:p>
    <w:p>
      <w:pPr>
        <w:pStyle w:val="5"/>
        <w:spacing w:before="0" w:after="0" w:line="360" w:lineRule="auto"/>
        <w:rPr>
          <w:rFonts w:hint="eastAsia" w:ascii="宋体" w:hAnsi="宋体"/>
          <w:sz w:val="21"/>
          <w:szCs w:val="21"/>
        </w:rPr>
      </w:pPr>
      <w:bookmarkStart w:id="56" w:name="_Toc29240258"/>
      <w:bookmarkStart w:id="57" w:name="_Toc29222761"/>
      <w:bookmarkStart w:id="58" w:name="_Toc520356144"/>
      <w:bookmarkStart w:id="59" w:name="_Toc468977532"/>
      <w:bookmarkStart w:id="60" w:name="_Toc478028212"/>
      <w:bookmarkStart w:id="61" w:name="_Toc468977618"/>
      <w:bookmarkStart w:id="62" w:name="_Toc478028053"/>
      <w:bookmarkStart w:id="63" w:name="_Toc468977703"/>
      <w:r>
        <w:rPr>
          <w:rFonts w:hint="eastAsia" w:ascii="宋体" w:hAnsi="宋体"/>
          <w:sz w:val="21"/>
          <w:szCs w:val="21"/>
        </w:rPr>
        <w:t>1．招标人及合格的投标人</w:t>
      </w:r>
      <w:bookmarkEnd w:id="56"/>
      <w:bookmarkEnd w:id="57"/>
      <w:bookmarkEnd w:id="58"/>
      <w:bookmarkEnd w:id="59"/>
      <w:bookmarkEnd w:id="60"/>
      <w:bookmarkEnd w:id="61"/>
      <w:bookmarkEnd w:id="62"/>
      <w:bookmarkEnd w:id="63"/>
    </w:p>
    <w:p>
      <w:pPr>
        <w:tabs>
          <w:tab w:val="left" w:pos="0"/>
        </w:tabs>
        <w:spacing w:line="360" w:lineRule="auto"/>
        <w:ind w:left="420" w:hanging="420" w:hangingChars="200"/>
        <w:rPr>
          <w:rFonts w:hint="eastAsia" w:ascii="宋体" w:hAnsi="宋体"/>
          <w:szCs w:val="21"/>
        </w:rPr>
      </w:pPr>
      <w:r>
        <w:rPr>
          <w:rFonts w:hint="eastAsia" w:ascii="宋体" w:hAnsi="宋体"/>
          <w:szCs w:val="21"/>
        </w:rPr>
        <w:t>1.1招标人：系指</w:t>
      </w:r>
      <w:r>
        <w:rPr>
          <w:rFonts w:ascii="Verdana" w:hAnsi="Verdana"/>
          <w:szCs w:val="21"/>
        </w:rPr>
        <w:t>提出招标项目、进行招标的法人或者其他组织</w:t>
      </w:r>
      <w:r>
        <w:rPr>
          <w:rFonts w:hint="eastAsia" w:ascii="宋体" w:hAnsi="宋体"/>
          <w:szCs w:val="21"/>
        </w:rPr>
        <w:t>及其委托的招标代理机构。</w:t>
      </w:r>
    </w:p>
    <w:p>
      <w:pPr>
        <w:tabs>
          <w:tab w:val="left" w:pos="0"/>
        </w:tabs>
        <w:spacing w:line="360" w:lineRule="auto"/>
        <w:ind w:left="420" w:hanging="420" w:hangingChars="200"/>
        <w:rPr>
          <w:rFonts w:hint="eastAsia" w:ascii="宋体" w:hAnsi="宋体"/>
          <w:szCs w:val="21"/>
        </w:rPr>
      </w:pPr>
      <w:r>
        <w:rPr>
          <w:rFonts w:hint="eastAsia" w:ascii="宋体" w:hAnsi="宋体"/>
          <w:szCs w:val="21"/>
        </w:rPr>
        <w:t>1.2满足以下条件的投标人是合格的投标人，可以参加本次投标：</w:t>
      </w:r>
    </w:p>
    <w:p>
      <w:pPr>
        <w:spacing w:line="360" w:lineRule="auto"/>
        <w:ind w:left="1050" w:leftChars="200" w:hanging="630" w:hangingChars="300"/>
        <w:rPr>
          <w:rFonts w:hint="eastAsia" w:ascii="宋体" w:hAnsi="宋体"/>
          <w:szCs w:val="21"/>
        </w:rPr>
      </w:pPr>
      <w:r>
        <w:rPr>
          <w:rFonts w:hint="eastAsia" w:ascii="宋体" w:hAnsi="宋体"/>
          <w:szCs w:val="21"/>
        </w:rPr>
        <w:t>1.2.1在中华人民共和国境内注册，能够独立承担民事责任，有生产或供应能力的本国供应商，包括法人、其他组织、自然人及其联合体。</w:t>
      </w:r>
    </w:p>
    <w:p>
      <w:pPr>
        <w:spacing w:line="360" w:lineRule="auto"/>
        <w:ind w:left="1050" w:leftChars="200" w:hanging="630" w:hangingChars="300"/>
        <w:rPr>
          <w:rFonts w:hint="eastAsia" w:ascii="宋体" w:hAnsi="宋体"/>
          <w:szCs w:val="21"/>
        </w:rPr>
      </w:pPr>
      <w:r>
        <w:rPr>
          <w:rFonts w:hint="eastAsia" w:ascii="宋体" w:hAnsi="宋体"/>
          <w:szCs w:val="21"/>
        </w:rPr>
        <w:t>1.2.2遵守国家有关法律、法规、规章，具有良好的商业信誉和健全的财务会计制度。</w:t>
      </w:r>
    </w:p>
    <w:p>
      <w:pPr>
        <w:spacing w:line="360" w:lineRule="auto"/>
        <w:ind w:left="1050" w:leftChars="200" w:hanging="630" w:hangingChars="300"/>
        <w:rPr>
          <w:rFonts w:hint="eastAsia" w:ascii="宋体" w:hAnsi="宋体"/>
          <w:szCs w:val="21"/>
        </w:rPr>
      </w:pPr>
      <w:r>
        <w:rPr>
          <w:rFonts w:hint="eastAsia" w:ascii="宋体" w:hAnsi="宋体"/>
          <w:szCs w:val="21"/>
        </w:rPr>
        <w:t>1.2.3对投标人的其他资格要求见投标人须知前附表。</w:t>
      </w:r>
    </w:p>
    <w:p>
      <w:pPr>
        <w:spacing w:line="360" w:lineRule="auto"/>
        <w:ind w:left="788" w:hanging="787" w:hangingChars="375"/>
        <w:rPr>
          <w:rFonts w:hint="eastAsia" w:ascii="宋体" w:hAnsi="宋体"/>
          <w:szCs w:val="21"/>
        </w:rPr>
      </w:pPr>
      <w:r>
        <w:rPr>
          <w:rFonts w:hint="eastAsia" w:ascii="宋体" w:hAnsi="宋体"/>
          <w:szCs w:val="21"/>
        </w:rPr>
        <w:t>1.3如</w:t>
      </w:r>
      <w:r>
        <w:rPr>
          <w:rFonts w:hint="eastAsia" w:ascii="宋体" w:hAnsi="宋体"/>
          <w:szCs w:val="21"/>
          <w:u w:val="single"/>
        </w:rPr>
        <w:t>投标人须知前附表</w:t>
      </w:r>
      <w:r>
        <w:rPr>
          <w:rFonts w:hint="eastAsia" w:ascii="宋体" w:hAnsi="宋体"/>
          <w:szCs w:val="21"/>
        </w:rPr>
        <w:t>中允许联合体投标，对联合体规定如下：</w:t>
      </w:r>
    </w:p>
    <w:p>
      <w:pPr>
        <w:spacing w:line="360" w:lineRule="auto"/>
        <w:ind w:left="1050" w:leftChars="200" w:hanging="630" w:hangingChars="300"/>
        <w:rPr>
          <w:rFonts w:hint="eastAsia" w:ascii="宋体" w:hAnsi="宋体"/>
          <w:szCs w:val="21"/>
        </w:rPr>
      </w:pPr>
      <w:r>
        <w:rPr>
          <w:rFonts w:hint="eastAsia" w:ascii="宋体" w:hAnsi="宋体"/>
          <w:szCs w:val="21"/>
        </w:rPr>
        <w:t>1.3.1两个以上投标人可以组成一个投标联合体，以一个投标人的身份投标。</w:t>
      </w:r>
    </w:p>
    <w:p>
      <w:pPr>
        <w:spacing w:line="360" w:lineRule="auto"/>
        <w:ind w:left="1050" w:leftChars="200" w:hanging="630" w:hangingChars="300"/>
        <w:rPr>
          <w:rFonts w:hint="eastAsia" w:ascii="宋体" w:hAnsi="宋体"/>
          <w:szCs w:val="21"/>
        </w:rPr>
      </w:pPr>
      <w:r>
        <w:rPr>
          <w:rFonts w:hint="eastAsia" w:ascii="宋体" w:hAnsi="宋体"/>
          <w:szCs w:val="21"/>
        </w:rPr>
        <w:t>1.3.2招标人根据采购项目对投标人的特殊要求，联合体中至少应当有一方符合其规定。</w:t>
      </w:r>
    </w:p>
    <w:p>
      <w:pPr>
        <w:spacing w:line="360" w:lineRule="auto"/>
        <w:ind w:left="1050" w:leftChars="200" w:hanging="630" w:hangingChars="300"/>
        <w:rPr>
          <w:rFonts w:hint="eastAsia" w:ascii="宋体" w:hAnsi="宋体"/>
          <w:szCs w:val="21"/>
        </w:rPr>
      </w:pPr>
      <w:r>
        <w:rPr>
          <w:rFonts w:hint="eastAsia" w:ascii="宋体" w:hAnsi="宋体"/>
          <w:szCs w:val="21"/>
        </w:rPr>
        <w:t>1.3.3联合体各方应签订共同投标协议，明确约定联合体各方承担的工作和相应的责任，并将共同投标协议连同投标文件一并提交招标人。</w:t>
      </w:r>
    </w:p>
    <w:p>
      <w:pPr>
        <w:spacing w:line="360" w:lineRule="auto"/>
        <w:ind w:left="1050" w:leftChars="200" w:hanging="630" w:hangingChars="300"/>
        <w:rPr>
          <w:rFonts w:hint="eastAsia" w:ascii="宋体" w:hAnsi="宋体"/>
          <w:szCs w:val="21"/>
        </w:rPr>
      </w:pPr>
      <w:r>
        <w:rPr>
          <w:rFonts w:hint="eastAsia" w:ascii="宋体" w:hAnsi="宋体"/>
          <w:szCs w:val="21"/>
        </w:rPr>
        <w:t>1.3.4联合</w:t>
      </w:r>
      <w:r>
        <w:rPr>
          <w:rFonts w:ascii="宋体" w:hAnsi="宋体"/>
          <w:szCs w:val="21"/>
        </w:rPr>
        <w:t>体中有</w:t>
      </w:r>
      <w:r>
        <w:rPr>
          <w:rFonts w:hint="eastAsia" w:ascii="宋体" w:hAnsi="宋体"/>
          <w:szCs w:val="21"/>
        </w:rPr>
        <w:t>同</w:t>
      </w:r>
      <w:r>
        <w:rPr>
          <w:rFonts w:ascii="宋体" w:hAnsi="宋体"/>
          <w:szCs w:val="21"/>
        </w:rPr>
        <w:t>类资质的投标人按照联合体分</w:t>
      </w:r>
      <w:r>
        <w:rPr>
          <w:rFonts w:hint="eastAsia" w:ascii="宋体" w:hAnsi="宋体"/>
          <w:szCs w:val="21"/>
        </w:rPr>
        <w:t>工</w:t>
      </w:r>
      <w:r>
        <w:rPr>
          <w:rFonts w:ascii="宋体" w:hAnsi="宋体"/>
          <w:szCs w:val="21"/>
        </w:rPr>
        <w:t>承担</w:t>
      </w:r>
      <w:r>
        <w:rPr>
          <w:rFonts w:hint="eastAsia" w:ascii="宋体" w:hAnsi="宋体"/>
          <w:szCs w:val="21"/>
        </w:rPr>
        <w:t>相</w:t>
      </w:r>
      <w:r>
        <w:rPr>
          <w:rFonts w:ascii="宋体" w:hAnsi="宋体"/>
          <w:szCs w:val="21"/>
        </w:rPr>
        <w:t>同工作的，按照资质等级</w:t>
      </w:r>
      <w:r>
        <w:rPr>
          <w:rFonts w:hint="eastAsia" w:ascii="宋体" w:hAnsi="宋体"/>
          <w:szCs w:val="21"/>
        </w:rPr>
        <w:t>较低</w:t>
      </w:r>
      <w:r>
        <w:rPr>
          <w:rFonts w:ascii="宋体" w:hAnsi="宋体"/>
          <w:szCs w:val="21"/>
        </w:rPr>
        <w:t>的投标人确定资质等级。</w:t>
      </w:r>
    </w:p>
    <w:p>
      <w:pPr>
        <w:spacing w:line="360" w:lineRule="auto"/>
        <w:ind w:left="1050" w:leftChars="200" w:hanging="630" w:hangingChars="300"/>
        <w:rPr>
          <w:rFonts w:hint="eastAsia" w:ascii="宋体" w:hAnsi="宋体"/>
          <w:szCs w:val="21"/>
        </w:rPr>
      </w:pPr>
      <w:r>
        <w:rPr>
          <w:rFonts w:ascii="宋体" w:hAnsi="宋体"/>
          <w:szCs w:val="21"/>
        </w:rPr>
        <w:t>1.3.</w:t>
      </w:r>
      <w:r>
        <w:rPr>
          <w:rFonts w:hint="eastAsia" w:ascii="宋体" w:hAnsi="宋体"/>
          <w:szCs w:val="21"/>
        </w:rPr>
        <w:t>5以</w:t>
      </w:r>
      <w:r>
        <w:rPr>
          <w:rFonts w:ascii="宋体" w:hAnsi="宋体"/>
          <w:szCs w:val="21"/>
        </w:rPr>
        <w:t>联合体形式参加</w:t>
      </w:r>
      <w:r>
        <w:rPr>
          <w:rFonts w:hint="eastAsia" w:ascii="宋体" w:hAnsi="宋体"/>
          <w:szCs w:val="21"/>
        </w:rPr>
        <w:t>招投标</w:t>
      </w:r>
      <w:r>
        <w:rPr>
          <w:rFonts w:ascii="宋体" w:hAnsi="宋体"/>
          <w:szCs w:val="21"/>
        </w:rPr>
        <w:t>活动的，联合体各方不得再</w:t>
      </w:r>
      <w:r>
        <w:rPr>
          <w:rFonts w:hint="eastAsia" w:ascii="宋体" w:hAnsi="宋体"/>
          <w:szCs w:val="21"/>
        </w:rPr>
        <w:t>单独</w:t>
      </w:r>
      <w:r>
        <w:rPr>
          <w:rFonts w:ascii="宋体" w:hAnsi="宋体"/>
          <w:szCs w:val="21"/>
        </w:rPr>
        <w:t>参加或者与其他投标人另外组成联合体参加</w:t>
      </w:r>
      <w:r>
        <w:rPr>
          <w:rFonts w:hint="eastAsia" w:ascii="宋体" w:hAnsi="宋体"/>
          <w:szCs w:val="21"/>
        </w:rPr>
        <w:t>本项目投标</w:t>
      </w:r>
      <w:r>
        <w:rPr>
          <w:rFonts w:ascii="宋体" w:hAnsi="宋体"/>
          <w:szCs w:val="21"/>
        </w:rPr>
        <w:t>。</w:t>
      </w:r>
    </w:p>
    <w:p>
      <w:pPr>
        <w:spacing w:line="360" w:lineRule="auto"/>
        <w:ind w:left="1050" w:leftChars="200" w:hanging="630" w:hangingChars="300"/>
        <w:rPr>
          <w:rFonts w:hint="eastAsia" w:ascii="宋体" w:hAnsi="宋体"/>
          <w:szCs w:val="21"/>
        </w:rPr>
      </w:pPr>
      <w:r>
        <w:rPr>
          <w:rFonts w:hint="eastAsia" w:ascii="宋体" w:hAnsi="宋体"/>
          <w:szCs w:val="21"/>
        </w:rPr>
        <w:t>1.3.6对联合体投标的其他资格要求见投标人须知前附表。</w:t>
      </w:r>
    </w:p>
    <w:p>
      <w:pPr>
        <w:tabs>
          <w:tab w:val="left" w:pos="0"/>
        </w:tabs>
        <w:spacing w:line="360" w:lineRule="auto"/>
        <w:ind w:left="420" w:hanging="420" w:hangingChars="200"/>
        <w:rPr>
          <w:rFonts w:hint="eastAsia" w:ascii="宋体" w:hAnsi="宋体"/>
          <w:szCs w:val="21"/>
        </w:rPr>
      </w:pPr>
      <w:r>
        <w:rPr>
          <w:rFonts w:hint="eastAsia" w:ascii="宋体" w:hAnsi="宋体"/>
          <w:szCs w:val="21"/>
        </w:rPr>
        <w:t>1.4凡在法律或财务上不能独立合法经营，或在法律或财务上不能独立于本项目招标人的任何机构，不得参加投标。</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5</w:t>
      </w:r>
      <w:r>
        <w:rPr>
          <w:rFonts w:ascii="宋体" w:hAnsi="宋体"/>
          <w:szCs w:val="21"/>
        </w:rPr>
        <w:t>为</w:t>
      </w:r>
      <w:r>
        <w:rPr>
          <w:rFonts w:hint="eastAsia" w:ascii="宋体" w:hAnsi="宋体"/>
          <w:szCs w:val="21"/>
        </w:rPr>
        <w:t>本</w:t>
      </w:r>
      <w:r>
        <w:rPr>
          <w:rFonts w:ascii="宋体" w:hAnsi="宋体"/>
          <w:szCs w:val="21"/>
        </w:rPr>
        <w:t>项目提供整体</w:t>
      </w:r>
      <w:r>
        <w:rPr>
          <w:rFonts w:hint="eastAsia" w:ascii="宋体" w:hAnsi="宋体"/>
          <w:szCs w:val="21"/>
        </w:rPr>
        <w:t>设计</w:t>
      </w:r>
      <w:r>
        <w:rPr>
          <w:rFonts w:ascii="宋体" w:hAnsi="宋体"/>
          <w:szCs w:val="21"/>
        </w:rPr>
        <w:t>、规范编制或者项目管理、监理、检测等服务的投标人，不得再参加</w:t>
      </w:r>
      <w:r>
        <w:rPr>
          <w:rFonts w:hint="eastAsia" w:ascii="宋体" w:hAnsi="宋体"/>
          <w:szCs w:val="21"/>
        </w:rPr>
        <w:t>本项目投标</w:t>
      </w:r>
      <w:r>
        <w:rPr>
          <w:rFonts w:ascii="宋体" w:hAnsi="宋体"/>
          <w:szCs w:val="21"/>
        </w:rPr>
        <w:t>。</w:t>
      </w:r>
    </w:p>
    <w:p>
      <w:pPr>
        <w:tabs>
          <w:tab w:val="left" w:pos="0"/>
        </w:tabs>
        <w:spacing w:line="360" w:lineRule="auto"/>
        <w:ind w:left="420" w:hanging="420" w:hangingChars="200"/>
        <w:rPr>
          <w:rFonts w:hint="eastAsia" w:ascii="宋体" w:hAnsi="宋体"/>
          <w:szCs w:val="21"/>
        </w:rPr>
      </w:pPr>
      <w:r>
        <w:rPr>
          <w:rFonts w:hint="eastAsia" w:ascii="宋体" w:hAnsi="宋体"/>
          <w:szCs w:val="21"/>
        </w:rPr>
        <w:t>1.6投标人在投标过程中不得向招标人提供、给予任何有价值的物品，影响其正常决策行为。一经发现，上述投标人的资格将被取消。</w:t>
      </w:r>
    </w:p>
    <w:p>
      <w:pPr>
        <w:tabs>
          <w:tab w:val="left" w:pos="0"/>
        </w:tabs>
        <w:spacing w:line="360" w:lineRule="auto"/>
        <w:ind w:left="420" w:hanging="420" w:hangingChars="200"/>
        <w:rPr>
          <w:rFonts w:hint="eastAsia" w:ascii="宋体" w:hAnsi="宋体"/>
          <w:szCs w:val="21"/>
        </w:rPr>
      </w:pPr>
      <w:r>
        <w:rPr>
          <w:rFonts w:hint="eastAsia" w:ascii="宋体" w:hAnsi="宋体"/>
          <w:szCs w:val="21"/>
        </w:rPr>
        <w:t>1.7招标人在任何时候发现投标人有下列情形之一时，有权依法追究投标人的责任并取消其中标资格，如果采购合同已经履行的，给招标人、其他投标人造成损失的，由责任人承担赔偿责任：</w:t>
      </w:r>
    </w:p>
    <w:p>
      <w:pPr>
        <w:spacing w:line="360" w:lineRule="auto"/>
        <w:ind w:left="1050" w:leftChars="200" w:hanging="630" w:hangingChars="300"/>
        <w:rPr>
          <w:rFonts w:hint="eastAsia" w:ascii="宋体" w:hAnsi="宋体"/>
          <w:szCs w:val="21"/>
        </w:rPr>
      </w:pPr>
      <w:r>
        <w:rPr>
          <w:rFonts w:hint="eastAsia" w:ascii="宋体" w:hAnsi="宋体"/>
          <w:szCs w:val="21"/>
        </w:rPr>
        <w:t>1.7.1提供虚假的资料。</w:t>
      </w:r>
    </w:p>
    <w:p>
      <w:pPr>
        <w:spacing w:line="360" w:lineRule="auto"/>
        <w:ind w:left="1050" w:leftChars="200" w:hanging="630" w:hangingChars="300"/>
        <w:rPr>
          <w:rFonts w:hint="eastAsia" w:ascii="宋体" w:hAnsi="宋体"/>
          <w:szCs w:val="21"/>
        </w:rPr>
      </w:pPr>
      <w:r>
        <w:rPr>
          <w:rFonts w:hint="eastAsia" w:ascii="宋体" w:hAnsi="宋体"/>
          <w:szCs w:val="21"/>
        </w:rPr>
        <w:t>1.7.2与其他投标人恶意串通。</w:t>
      </w:r>
    </w:p>
    <w:p>
      <w:pPr>
        <w:spacing w:line="360" w:lineRule="auto"/>
        <w:ind w:left="1050" w:leftChars="200" w:hanging="630" w:hangingChars="300"/>
        <w:rPr>
          <w:rFonts w:hint="eastAsia" w:ascii="宋体" w:hAnsi="宋体"/>
          <w:szCs w:val="21"/>
        </w:rPr>
      </w:pPr>
      <w:r>
        <w:rPr>
          <w:rFonts w:hint="eastAsia" w:ascii="宋体" w:hAnsi="宋体"/>
          <w:szCs w:val="21"/>
        </w:rPr>
        <w:t>1.7.3向招标人或评审专家行贿或提供其他不正当利益。</w:t>
      </w:r>
    </w:p>
    <w:p>
      <w:pPr>
        <w:spacing w:line="360" w:lineRule="auto"/>
        <w:ind w:left="1050" w:leftChars="200" w:hanging="630" w:hangingChars="300"/>
        <w:rPr>
          <w:rFonts w:hint="eastAsia" w:ascii="宋体" w:hAnsi="宋体"/>
          <w:szCs w:val="21"/>
        </w:rPr>
      </w:pPr>
      <w:r>
        <w:rPr>
          <w:rFonts w:hint="eastAsia" w:ascii="宋体" w:hAnsi="宋体"/>
          <w:szCs w:val="21"/>
        </w:rPr>
        <w:t>1.7.4中标后不按照招标文件和其投标文件与招标人订立合同。</w:t>
      </w:r>
    </w:p>
    <w:p>
      <w:pPr>
        <w:pStyle w:val="5"/>
        <w:spacing w:before="0" w:after="0" w:line="360" w:lineRule="auto"/>
        <w:rPr>
          <w:rFonts w:hint="eastAsia" w:ascii="宋体" w:hAnsi="宋体"/>
          <w:sz w:val="21"/>
          <w:szCs w:val="21"/>
        </w:rPr>
      </w:pPr>
      <w:bookmarkStart w:id="64" w:name="_Toc468977704"/>
      <w:bookmarkStart w:id="65" w:name="_Toc468977619"/>
      <w:bookmarkStart w:id="66" w:name="_Toc478028213"/>
      <w:bookmarkStart w:id="67" w:name="_Toc29240259"/>
      <w:bookmarkStart w:id="68" w:name="_Toc29222762"/>
      <w:bookmarkStart w:id="69" w:name="_Toc468977533"/>
      <w:bookmarkStart w:id="70" w:name="_Toc478028054"/>
      <w:r>
        <w:rPr>
          <w:rFonts w:hint="eastAsia" w:ascii="宋体" w:hAnsi="宋体"/>
          <w:sz w:val="21"/>
          <w:szCs w:val="21"/>
        </w:rPr>
        <w:t>2．资金来源</w:t>
      </w:r>
      <w:bookmarkEnd w:id="64"/>
      <w:bookmarkEnd w:id="65"/>
      <w:bookmarkEnd w:id="66"/>
      <w:bookmarkEnd w:id="67"/>
      <w:bookmarkEnd w:id="68"/>
      <w:bookmarkEnd w:id="69"/>
      <w:bookmarkEnd w:id="70"/>
    </w:p>
    <w:p>
      <w:pPr>
        <w:tabs>
          <w:tab w:val="left" w:pos="0"/>
        </w:tabs>
        <w:spacing w:line="360" w:lineRule="auto"/>
        <w:ind w:left="420" w:leftChars="200"/>
        <w:rPr>
          <w:rFonts w:hint="eastAsia" w:ascii="宋体" w:hAnsi="宋体"/>
          <w:szCs w:val="21"/>
        </w:rPr>
      </w:pPr>
      <w:r>
        <w:rPr>
          <w:rFonts w:hint="eastAsia" w:ascii="宋体" w:hAnsi="宋体"/>
          <w:szCs w:val="21"/>
        </w:rPr>
        <w:t>本项目</w:t>
      </w:r>
      <w:r>
        <w:rPr>
          <w:rFonts w:ascii="宋体" w:hAnsi="宋体"/>
          <w:szCs w:val="21"/>
        </w:rPr>
        <w:t>的相应资金已经落实</w:t>
      </w:r>
      <w:r>
        <w:rPr>
          <w:rFonts w:hint="eastAsia" w:ascii="宋体" w:hAnsi="宋体"/>
          <w:szCs w:val="21"/>
        </w:rPr>
        <w:t>。</w:t>
      </w:r>
    </w:p>
    <w:p>
      <w:pPr>
        <w:pStyle w:val="5"/>
        <w:spacing w:before="0" w:after="0" w:line="360" w:lineRule="auto"/>
        <w:rPr>
          <w:rFonts w:hint="eastAsia" w:ascii="宋体" w:hAnsi="宋体"/>
          <w:sz w:val="21"/>
          <w:szCs w:val="21"/>
        </w:rPr>
      </w:pPr>
      <w:bookmarkStart w:id="71" w:name="_Toc520356145"/>
      <w:bookmarkStart w:id="72" w:name="_Toc468977620"/>
      <w:bookmarkStart w:id="73" w:name="_Toc29240260"/>
      <w:bookmarkStart w:id="74" w:name="_Toc29222763"/>
      <w:bookmarkStart w:id="75" w:name="_Toc478028214"/>
      <w:bookmarkStart w:id="76" w:name="_Toc468977534"/>
      <w:bookmarkStart w:id="77" w:name="_Toc478028055"/>
      <w:bookmarkStart w:id="78" w:name="_Toc468977705"/>
      <w:r>
        <w:rPr>
          <w:rFonts w:hint="eastAsia" w:ascii="宋体" w:hAnsi="宋体"/>
          <w:sz w:val="21"/>
          <w:szCs w:val="21"/>
        </w:rPr>
        <w:t>3．投标费用</w:t>
      </w:r>
      <w:bookmarkEnd w:id="71"/>
      <w:bookmarkEnd w:id="72"/>
      <w:bookmarkEnd w:id="73"/>
      <w:bookmarkEnd w:id="74"/>
      <w:bookmarkEnd w:id="75"/>
      <w:bookmarkEnd w:id="76"/>
      <w:bookmarkEnd w:id="77"/>
      <w:bookmarkEnd w:id="78"/>
    </w:p>
    <w:p>
      <w:pPr>
        <w:tabs>
          <w:tab w:val="left" w:pos="0"/>
        </w:tabs>
        <w:spacing w:line="360" w:lineRule="auto"/>
        <w:ind w:firstLine="420" w:firstLineChars="200"/>
        <w:rPr>
          <w:rFonts w:hint="eastAsia" w:ascii="宋体" w:hAnsi="宋体"/>
          <w:szCs w:val="21"/>
        </w:rPr>
      </w:pPr>
      <w:r>
        <w:rPr>
          <w:rFonts w:hint="eastAsia" w:ascii="宋体" w:hAnsi="宋体"/>
          <w:szCs w:val="21"/>
        </w:rPr>
        <w:t>投标人应承担所有与准备和参加投标有关的费用，不论投标的结果如何，招标人均无承担的义务和责任。</w:t>
      </w:r>
    </w:p>
    <w:p>
      <w:pPr>
        <w:pStyle w:val="5"/>
        <w:spacing w:before="0" w:after="0" w:line="360" w:lineRule="auto"/>
        <w:rPr>
          <w:rFonts w:hint="eastAsia" w:ascii="宋体" w:hAnsi="宋体"/>
          <w:sz w:val="21"/>
          <w:szCs w:val="21"/>
        </w:rPr>
      </w:pPr>
      <w:bookmarkStart w:id="79" w:name="_Toc29222764"/>
      <w:bookmarkStart w:id="80" w:name="_Toc468977706"/>
      <w:bookmarkStart w:id="81" w:name="_Toc29240261"/>
      <w:bookmarkStart w:id="82" w:name="_Toc468977621"/>
      <w:bookmarkStart w:id="83" w:name="_Toc468977535"/>
      <w:bookmarkStart w:id="84" w:name="_Toc478028215"/>
      <w:bookmarkStart w:id="85" w:name="_Toc478028056"/>
      <w:r>
        <w:rPr>
          <w:rFonts w:hint="eastAsia" w:ascii="宋体" w:hAnsi="宋体"/>
          <w:sz w:val="21"/>
          <w:szCs w:val="21"/>
        </w:rPr>
        <w:t>4．适用法律</w:t>
      </w:r>
      <w:bookmarkEnd w:id="79"/>
      <w:bookmarkEnd w:id="80"/>
      <w:bookmarkEnd w:id="81"/>
      <w:bookmarkEnd w:id="82"/>
      <w:bookmarkEnd w:id="83"/>
      <w:bookmarkEnd w:id="84"/>
      <w:bookmarkEnd w:id="85"/>
    </w:p>
    <w:p>
      <w:pPr>
        <w:tabs>
          <w:tab w:val="left" w:pos="0"/>
        </w:tabs>
        <w:spacing w:line="360" w:lineRule="auto"/>
        <w:ind w:firstLine="420" w:firstLineChars="200"/>
        <w:rPr>
          <w:rFonts w:hint="eastAsia" w:ascii="宋体" w:hAnsi="宋体"/>
          <w:szCs w:val="21"/>
        </w:rPr>
      </w:pPr>
      <w:r>
        <w:rPr>
          <w:rFonts w:hint="eastAsia" w:ascii="宋体" w:hAnsi="宋体"/>
          <w:szCs w:val="21"/>
        </w:rPr>
        <w:t>本次招标属国内公开招标，招标人、投标人、评标委员会的相关行为均受《</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w:t>
      </w:r>
      <w:r>
        <w:rPr>
          <w:rFonts w:hint="eastAsia" w:ascii="宋体" w:hAnsi="宋体"/>
          <w:szCs w:val="21"/>
        </w:rPr>
        <w:t>约束。</w:t>
      </w:r>
    </w:p>
    <w:p>
      <w:pPr>
        <w:spacing w:before="120" w:beforeLines="50" w:after="120" w:afterLines="50" w:line="360" w:lineRule="auto"/>
        <w:jc w:val="center"/>
        <w:outlineLvl w:val="1"/>
        <w:rPr>
          <w:b/>
          <w:bCs/>
          <w:szCs w:val="21"/>
        </w:rPr>
      </w:pPr>
      <w:bookmarkStart w:id="86" w:name="_Toc77628942"/>
      <w:bookmarkStart w:id="87" w:name="_Toc77629022"/>
      <w:bookmarkStart w:id="88" w:name="_Toc216582806"/>
      <w:bookmarkStart w:id="89" w:name="_Toc28093"/>
      <w:bookmarkStart w:id="90" w:name="_Toc77628608"/>
      <w:bookmarkStart w:id="91" w:name="_Toc29240262"/>
      <w:bookmarkStart w:id="92" w:name="_Toc520356146"/>
      <w:r>
        <w:rPr>
          <w:rFonts w:hint="eastAsia"/>
          <w:b/>
          <w:bCs/>
          <w:szCs w:val="21"/>
        </w:rPr>
        <w:t>二、招标文件</w:t>
      </w:r>
      <w:bookmarkEnd w:id="86"/>
      <w:bookmarkEnd w:id="87"/>
      <w:bookmarkEnd w:id="88"/>
      <w:bookmarkEnd w:id="89"/>
      <w:bookmarkEnd w:id="90"/>
      <w:bookmarkEnd w:id="91"/>
      <w:bookmarkEnd w:id="92"/>
    </w:p>
    <w:p>
      <w:pPr>
        <w:pStyle w:val="5"/>
        <w:spacing w:before="0" w:after="0" w:line="360" w:lineRule="auto"/>
        <w:rPr>
          <w:rFonts w:hint="eastAsia" w:ascii="宋体" w:hAnsi="宋体"/>
          <w:sz w:val="21"/>
          <w:szCs w:val="21"/>
        </w:rPr>
      </w:pPr>
      <w:bookmarkStart w:id="93" w:name="_Toc520356147"/>
      <w:bookmarkStart w:id="94" w:name="_Toc478028217"/>
      <w:bookmarkStart w:id="95" w:name="_Toc468977708"/>
      <w:bookmarkStart w:id="96" w:name="_Toc29222766"/>
      <w:bookmarkStart w:id="97" w:name="_Toc468977537"/>
      <w:bookmarkStart w:id="98" w:name="_Toc29240263"/>
      <w:bookmarkStart w:id="99" w:name="_Toc468977623"/>
      <w:bookmarkStart w:id="100" w:name="_Toc478028058"/>
      <w:r>
        <w:rPr>
          <w:rFonts w:hint="eastAsia" w:ascii="宋体" w:hAnsi="宋体"/>
          <w:sz w:val="21"/>
          <w:szCs w:val="21"/>
        </w:rPr>
        <w:t>5.招标文件构成</w:t>
      </w:r>
      <w:bookmarkEnd w:id="93"/>
      <w:bookmarkEnd w:id="94"/>
      <w:bookmarkEnd w:id="95"/>
      <w:bookmarkEnd w:id="96"/>
      <w:bookmarkEnd w:id="97"/>
      <w:bookmarkEnd w:id="98"/>
      <w:bookmarkEnd w:id="99"/>
      <w:bookmarkEnd w:id="100"/>
    </w:p>
    <w:p>
      <w:pPr>
        <w:tabs>
          <w:tab w:val="left" w:pos="0"/>
        </w:tabs>
        <w:spacing w:line="360" w:lineRule="auto"/>
        <w:ind w:left="420" w:hanging="420" w:hangingChars="200"/>
        <w:rPr>
          <w:rFonts w:hint="eastAsia" w:ascii="宋体" w:hAnsi="宋体"/>
          <w:szCs w:val="21"/>
        </w:rPr>
      </w:pPr>
      <w:r>
        <w:rPr>
          <w:rFonts w:hint="eastAsia" w:ascii="宋体" w:hAnsi="宋体"/>
          <w:szCs w:val="21"/>
        </w:rPr>
        <w:t>5.1要求提供产品的内容及详细技术需求、投标须知和合同条件等在招标文件中均有说明。</w:t>
      </w:r>
    </w:p>
    <w:p>
      <w:pPr>
        <w:spacing w:line="360" w:lineRule="auto"/>
        <w:ind w:firstLine="420" w:firstLineChars="200"/>
        <w:rPr>
          <w:rFonts w:hint="eastAsia" w:ascii="宋体" w:hAnsi="宋体"/>
          <w:szCs w:val="21"/>
        </w:rPr>
      </w:pPr>
      <w:r>
        <w:rPr>
          <w:rFonts w:hint="eastAsia" w:ascii="宋体" w:hAnsi="宋体"/>
          <w:szCs w:val="21"/>
        </w:rPr>
        <w:t>招标文件共六章，内容如下：</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招标公告</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投标人须知</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合同条款</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投标文件格式</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评标方法和标准</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货物需求一览表及技术要求</w:t>
      </w:r>
    </w:p>
    <w:p>
      <w:pPr>
        <w:tabs>
          <w:tab w:val="left" w:pos="0"/>
        </w:tabs>
        <w:spacing w:line="360" w:lineRule="auto"/>
        <w:ind w:left="420" w:hanging="420" w:hangingChars="200"/>
        <w:rPr>
          <w:rFonts w:hint="eastAsia" w:ascii="宋体" w:hAnsi="宋体"/>
          <w:szCs w:val="21"/>
        </w:rPr>
      </w:pPr>
      <w:r>
        <w:rPr>
          <w:rFonts w:hint="eastAsia" w:ascii="宋体" w:hAnsi="宋体"/>
          <w:szCs w:val="21"/>
        </w:rPr>
        <w:t>5.2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pStyle w:val="5"/>
        <w:spacing w:before="0" w:after="0" w:line="360" w:lineRule="auto"/>
        <w:rPr>
          <w:rFonts w:hint="eastAsia" w:ascii="宋体" w:hAnsi="宋体"/>
          <w:sz w:val="21"/>
          <w:szCs w:val="21"/>
        </w:rPr>
      </w:pPr>
      <w:bookmarkStart w:id="101" w:name="_Toc468977538"/>
      <w:bookmarkStart w:id="102" w:name="_Toc478028218"/>
      <w:bookmarkStart w:id="103" w:name="_Toc468977624"/>
      <w:bookmarkStart w:id="104" w:name="_Toc29240264"/>
      <w:bookmarkStart w:id="105" w:name="_Toc468977709"/>
      <w:bookmarkStart w:id="106" w:name="_Toc478028059"/>
      <w:bookmarkStart w:id="107" w:name="_Toc29222767"/>
      <w:bookmarkStart w:id="108" w:name="_Toc520356148"/>
      <w:r>
        <w:rPr>
          <w:rFonts w:hint="eastAsia" w:ascii="宋体" w:hAnsi="宋体"/>
          <w:sz w:val="21"/>
          <w:szCs w:val="21"/>
        </w:rPr>
        <w:t>6.招标文件的澄清</w:t>
      </w:r>
      <w:bookmarkEnd w:id="101"/>
      <w:bookmarkEnd w:id="102"/>
      <w:bookmarkEnd w:id="103"/>
      <w:bookmarkEnd w:id="104"/>
      <w:bookmarkEnd w:id="105"/>
      <w:bookmarkEnd w:id="106"/>
      <w:bookmarkEnd w:id="107"/>
      <w:bookmarkEnd w:id="108"/>
    </w:p>
    <w:p>
      <w:pPr>
        <w:tabs>
          <w:tab w:val="left" w:pos="0"/>
        </w:tabs>
        <w:spacing w:line="360" w:lineRule="auto"/>
        <w:ind w:firstLine="420" w:firstLineChars="200"/>
        <w:rPr>
          <w:rFonts w:hint="eastAsia" w:ascii="宋体" w:hAnsi="宋体"/>
          <w:szCs w:val="21"/>
        </w:rPr>
      </w:pPr>
      <w:r>
        <w:rPr>
          <w:rFonts w:hint="eastAsia" w:ascii="宋体" w:hAnsi="宋体"/>
          <w:szCs w:val="21"/>
        </w:rPr>
        <w:t>任何要求对招标文件进行澄清的投标人，均应以书面形式通知招标人。为了</w:t>
      </w:r>
      <w:r>
        <w:rPr>
          <w:rFonts w:ascii="宋体" w:hAnsi="宋体"/>
          <w:szCs w:val="21"/>
        </w:rPr>
        <w:t>保证对招标文件的</w:t>
      </w:r>
      <w:r>
        <w:rPr>
          <w:rFonts w:hint="eastAsia" w:ascii="宋体" w:hAnsi="宋体"/>
          <w:szCs w:val="21"/>
        </w:rPr>
        <w:t>澄清</w:t>
      </w:r>
      <w:r>
        <w:rPr>
          <w:rFonts w:ascii="宋体" w:hAnsi="宋体"/>
          <w:szCs w:val="21"/>
        </w:rPr>
        <w:t>和修改满足</w:t>
      </w:r>
      <w:r>
        <w:rPr>
          <w:rFonts w:hint="eastAsia" w:ascii="宋体" w:hAnsi="宋体"/>
          <w:szCs w:val="21"/>
        </w:rPr>
        <w:t>法律</w:t>
      </w:r>
      <w:r>
        <w:rPr>
          <w:rFonts w:ascii="宋体" w:hAnsi="宋体"/>
          <w:szCs w:val="21"/>
        </w:rPr>
        <w:t>的</w:t>
      </w:r>
      <w:r>
        <w:rPr>
          <w:rFonts w:hint="eastAsia" w:ascii="宋体" w:hAnsi="宋体"/>
          <w:szCs w:val="21"/>
        </w:rPr>
        <w:t>时限</w:t>
      </w:r>
      <w:r>
        <w:rPr>
          <w:rFonts w:ascii="宋体" w:hAnsi="宋体"/>
          <w:szCs w:val="21"/>
        </w:rPr>
        <w:t>要求，</w:t>
      </w:r>
      <w:r>
        <w:rPr>
          <w:rFonts w:hint="eastAsia" w:ascii="宋体" w:hAnsi="宋体"/>
          <w:szCs w:val="21"/>
        </w:rPr>
        <w:t>投标</w:t>
      </w:r>
      <w:r>
        <w:rPr>
          <w:rFonts w:ascii="宋体" w:hAnsi="宋体"/>
          <w:szCs w:val="21"/>
        </w:rPr>
        <w:t>人应在投标截止</w:t>
      </w:r>
      <w:r>
        <w:rPr>
          <w:rFonts w:hint="eastAsia" w:ascii="宋体" w:hAnsi="宋体"/>
          <w:szCs w:val="21"/>
        </w:rPr>
        <w:t>期十日前提出并送达澄清要求至招标人。招标人应以公告和书面形式通知每个购买招标文件的投标人（答复中不包括问题的来源）。</w:t>
      </w:r>
    </w:p>
    <w:p>
      <w:pPr>
        <w:pStyle w:val="5"/>
        <w:spacing w:before="0" w:after="0" w:line="360" w:lineRule="auto"/>
        <w:rPr>
          <w:rFonts w:hint="eastAsia" w:ascii="宋体" w:hAnsi="宋体"/>
          <w:sz w:val="21"/>
          <w:szCs w:val="21"/>
        </w:rPr>
      </w:pPr>
      <w:bookmarkStart w:id="109" w:name="_Toc468977625"/>
      <w:bookmarkStart w:id="110" w:name="_Toc468977710"/>
      <w:bookmarkStart w:id="111" w:name="_Toc478028219"/>
      <w:bookmarkStart w:id="112" w:name="_Ref467378678"/>
      <w:bookmarkStart w:id="113" w:name="_Toc520356149"/>
      <w:bookmarkStart w:id="114" w:name="_Toc29240265"/>
      <w:bookmarkStart w:id="115" w:name="_Toc29222768"/>
      <w:bookmarkStart w:id="116" w:name="_Toc478028060"/>
      <w:bookmarkStart w:id="117" w:name="_Toc468977539"/>
      <w:r>
        <w:rPr>
          <w:rFonts w:hint="eastAsia" w:ascii="宋体" w:hAnsi="宋体"/>
          <w:sz w:val="21"/>
          <w:szCs w:val="21"/>
        </w:rPr>
        <w:t>7.招标文件的修改</w:t>
      </w:r>
      <w:bookmarkEnd w:id="109"/>
      <w:bookmarkEnd w:id="110"/>
      <w:bookmarkEnd w:id="111"/>
      <w:bookmarkEnd w:id="112"/>
      <w:bookmarkEnd w:id="113"/>
      <w:bookmarkEnd w:id="114"/>
      <w:bookmarkEnd w:id="115"/>
      <w:bookmarkEnd w:id="116"/>
      <w:bookmarkEnd w:id="117"/>
    </w:p>
    <w:p>
      <w:pPr>
        <w:tabs>
          <w:tab w:val="left" w:pos="0"/>
        </w:tabs>
        <w:spacing w:line="360" w:lineRule="auto"/>
        <w:ind w:left="420" w:hanging="420" w:hangingChars="200"/>
        <w:rPr>
          <w:rFonts w:hint="eastAsia" w:ascii="宋体" w:hAnsi="宋体"/>
          <w:szCs w:val="21"/>
        </w:rPr>
      </w:pPr>
      <w:r>
        <w:rPr>
          <w:rFonts w:hint="eastAsia" w:ascii="宋体" w:hAnsi="宋体"/>
          <w:szCs w:val="21"/>
        </w:rPr>
        <w:t>7</w:t>
      </w:r>
      <w:r>
        <w:rPr>
          <w:rFonts w:ascii="宋体" w:hAnsi="宋体"/>
          <w:szCs w:val="21"/>
        </w:rPr>
        <w:t>.1</w:t>
      </w:r>
      <w:r>
        <w:rPr>
          <w:rFonts w:hint="eastAsia" w:ascii="宋体" w:hAnsi="宋体"/>
          <w:szCs w:val="21"/>
        </w:rPr>
        <w:t>在投标截止期十五日前，招标人可主动地或在解答投标人提出的澄清问题时对招标文件进行修改。</w:t>
      </w:r>
    </w:p>
    <w:p>
      <w:pPr>
        <w:tabs>
          <w:tab w:val="left" w:pos="0"/>
        </w:tabs>
        <w:spacing w:line="360" w:lineRule="auto"/>
        <w:ind w:left="420" w:hanging="420" w:hangingChars="200"/>
        <w:rPr>
          <w:rFonts w:hint="eastAsia" w:ascii="宋体" w:hAnsi="宋体"/>
          <w:szCs w:val="21"/>
        </w:rPr>
      </w:pPr>
      <w:r>
        <w:rPr>
          <w:rFonts w:hint="eastAsia" w:ascii="宋体" w:hAnsi="宋体"/>
          <w:szCs w:val="21"/>
        </w:rPr>
        <w:t>7</w:t>
      </w:r>
      <w:r>
        <w:rPr>
          <w:rFonts w:ascii="宋体" w:hAnsi="宋体"/>
          <w:szCs w:val="21"/>
        </w:rPr>
        <w:t>.2</w:t>
      </w:r>
      <w:r>
        <w:rPr>
          <w:rFonts w:hint="eastAsia" w:ascii="宋体" w:hAnsi="宋体"/>
          <w:szCs w:val="21"/>
        </w:rPr>
        <w:t>招标文件的修改应以公告和书面形式通知所有购买招标文件的投标人，并对其具有约束力。投标人在收到上述通知后，应立即向招标人回函确认。</w:t>
      </w:r>
    </w:p>
    <w:p>
      <w:pPr>
        <w:tabs>
          <w:tab w:val="left" w:pos="0"/>
        </w:tabs>
        <w:spacing w:line="360" w:lineRule="auto"/>
        <w:ind w:left="420" w:hanging="420" w:hangingChars="200"/>
        <w:rPr>
          <w:rFonts w:hint="eastAsia" w:ascii="宋体" w:hAnsi="宋体"/>
          <w:szCs w:val="21"/>
        </w:rPr>
      </w:pPr>
      <w:r>
        <w:rPr>
          <w:rFonts w:hint="eastAsia" w:ascii="宋体" w:hAnsi="宋体"/>
          <w:szCs w:val="21"/>
        </w:rPr>
        <w:t>7</w:t>
      </w:r>
      <w:r>
        <w:rPr>
          <w:rFonts w:ascii="宋体" w:hAnsi="宋体"/>
          <w:szCs w:val="21"/>
        </w:rPr>
        <w:t>.3</w:t>
      </w:r>
      <w:r>
        <w:rPr>
          <w:rFonts w:hint="eastAsia" w:ascii="宋体" w:hAnsi="宋体"/>
          <w:szCs w:val="21"/>
        </w:rPr>
        <w:t>为使投标人准备投标时有足够的时间对招标文件的修改部分进行研究，招标人有权决定是否延长投标截止期。</w:t>
      </w:r>
      <w:bookmarkStart w:id="118" w:name="_Toc516367020"/>
      <w:bookmarkStart w:id="119" w:name="_Toc520356150"/>
      <w:bookmarkStart w:id="120" w:name="_Toc216582807"/>
    </w:p>
    <w:p>
      <w:pPr>
        <w:spacing w:before="120" w:beforeLines="50" w:after="120" w:afterLines="50" w:line="360" w:lineRule="auto"/>
        <w:jc w:val="center"/>
        <w:outlineLvl w:val="1"/>
        <w:rPr>
          <w:b/>
          <w:bCs/>
          <w:szCs w:val="21"/>
        </w:rPr>
      </w:pPr>
      <w:bookmarkStart w:id="121" w:name="_Toc29240266"/>
      <w:bookmarkStart w:id="122" w:name="_Toc77628943"/>
      <w:bookmarkStart w:id="123" w:name="_Toc1422"/>
      <w:bookmarkStart w:id="124" w:name="_Toc77629023"/>
      <w:bookmarkStart w:id="125" w:name="_Toc77628609"/>
      <w:r>
        <w:rPr>
          <w:rFonts w:hint="eastAsia"/>
          <w:b/>
          <w:bCs/>
          <w:szCs w:val="21"/>
        </w:rPr>
        <w:t>三、投标文件</w:t>
      </w:r>
      <w:bookmarkEnd w:id="118"/>
      <w:r>
        <w:rPr>
          <w:rFonts w:hint="eastAsia"/>
          <w:b/>
          <w:bCs/>
          <w:szCs w:val="21"/>
        </w:rPr>
        <w:t>的编制</w:t>
      </w:r>
      <w:bookmarkEnd w:id="119"/>
      <w:bookmarkEnd w:id="120"/>
      <w:bookmarkEnd w:id="121"/>
      <w:bookmarkEnd w:id="122"/>
      <w:bookmarkEnd w:id="123"/>
      <w:bookmarkEnd w:id="124"/>
      <w:bookmarkEnd w:id="125"/>
    </w:p>
    <w:p>
      <w:pPr>
        <w:pStyle w:val="5"/>
        <w:tabs>
          <w:tab w:val="left" w:pos="257"/>
        </w:tabs>
        <w:spacing w:before="0" w:after="0" w:line="360" w:lineRule="auto"/>
        <w:rPr>
          <w:rFonts w:hint="eastAsia" w:ascii="宋体" w:hAnsi="宋体"/>
          <w:sz w:val="21"/>
          <w:szCs w:val="21"/>
        </w:rPr>
      </w:pPr>
      <w:bookmarkStart w:id="126" w:name="_Toc516367021"/>
      <w:bookmarkStart w:id="127" w:name="_Toc29240267"/>
      <w:bookmarkStart w:id="128" w:name="_Toc478028062"/>
      <w:bookmarkStart w:id="129" w:name="_Toc29222770"/>
      <w:bookmarkStart w:id="130" w:name="_Toc468977541"/>
      <w:bookmarkStart w:id="131" w:name="_Toc478028221"/>
      <w:bookmarkStart w:id="132" w:name="_Toc468977627"/>
      <w:bookmarkStart w:id="133" w:name="_Toc468977712"/>
      <w:bookmarkStart w:id="134" w:name="_Toc520356151"/>
      <w:r>
        <w:rPr>
          <w:rFonts w:hint="eastAsia" w:ascii="宋体" w:hAnsi="宋体"/>
          <w:sz w:val="21"/>
          <w:szCs w:val="21"/>
        </w:rPr>
        <w:t>8</w:t>
      </w:r>
      <w:r>
        <w:rPr>
          <w:rFonts w:ascii="宋体" w:hAnsi="宋体"/>
          <w:sz w:val="21"/>
          <w:szCs w:val="21"/>
        </w:rPr>
        <w:t>.</w:t>
      </w:r>
      <w:r>
        <w:rPr>
          <w:rFonts w:hint="eastAsia" w:ascii="宋体" w:hAnsi="宋体"/>
          <w:sz w:val="21"/>
          <w:szCs w:val="21"/>
        </w:rPr>
        <w:t>投标范围及投标文件中标准和计量单位的使用</w:t>
      </w:r>
      <w:bookmarkEnd w:id="126"/>
      <w:bookmarkEnd w:id="127"/>
      <w:bookmarkEnd w:id="128"/>
      <w:bookmarkEnd w:id="129"/>
      <w:bookmarkEnd w:id="130"/>
      <w:bookmarkEnd w:id="131"/>
      <w:bookmarkEnd w:id="132"/>
      <w:bookmarkEnd w:id="133"/>
      <w:bookmarkEnd w:id="134"/>
    </w:p>
    <w:p>
      <w:pPr>
        <w:spacing w:line="360" w:lineRule="auto"/>
        <w:ind w:left="420" w:hanging="420" w:hangingChars="200"/>
        <w:rPr>
          <w:rFonts w:hint="eastAsia" w:ascii="宋体" w:hAnsi="宋体"/>
          <w:szCs w:val="21"/>
        </w:rPr>
      </w:pPr>
      <w:r>
        <w:rPr>
          <w:rFonts w:hint="eastAsia" w:ascii="宋体" w:hAnsi="宋体"/>
          <w:szCs w:val="21"/>
        </w:rPr>
        <w:t>8</w:t>
      </w:r>
      <w:r>
        <w:rPr>
          <w:rFonts w:ascii="宋体" w:hAnsi="宋体"/>
          <w:szCs w:val="21"/>
        </w:rPr>
        <w:t>.1</w:t>
      </w:r>
      <w:r>
        <w:rPr>
          <w:rFonts w:hint="eastAsia" w:ascii="宋体" w:hAnsi="宋体"/>
          <w:szCs w:val="21"/>
        </w:rPr>
        <w:t>投标人可对招标文件中“需求一览表”所列的所有工程进行投标，也可只对其中一包或几包产品进行投标，除非在</w:t>
      </w:r>
      <w:r>
        <w:rPr>
          <w:rFonts w:hint="eastAsia" w:ascii="宋体" w:hAnsi="宋体"/>
          <w:szCs w:val="21"/>
          <w:u w:val="single"/>
        </w:rPr>
        <w:t>投标人须知前附表</w:t>
      </w:r>
      <w:r>
        <w:rPr>
          <w:rFonts w:hint="eastAsia" w:ascii="宋体" w:hAnsi="宋体"/>
          <w:szCs w:val="21"/>
        </w:rPr>
        <w:t>中另有规定。但无论如何，均不得将一包中的内容拆开投标。</w:t>
      </w:r>
    </w:p>
    <w:p>
      <w:pPr>
        <w:spacing w:line="360" w:lineRule="auto"/>
        <w:ind w:left="420" w:hanging="420" w:hangingChars="200"/>
        <w:rPr>
          <w:rFonts w:hint="eastAsia" w:ascii="宋体" w:hAnsi="宋体"/>
          <w:szCs w:val="21"/>
        </w:rPr>
      </w:pPr>
      <w:r>
        <w:rPr>
          <w:rFonts w:hint="eastAsia" w:ascii="宋体" w:hAnsi="宋体"/>
          <w:szCs w:val="21"/>
        </w:rPr>
        <w:t>8.2如</w:t>
      </w:r>
      <w:r>
        <w:rPr>
          <w:rFonts w:hint="eastAsia" w:ascii="宋体" w:hAnsi="宋体"/>
          <w:szCs w:val="21"/>
          <w:u w:val="single"/>
        </w:rPr>
        <w:t>投标人须知前附表</w:t>
      </w:r>
      <w:r>
        <w:rPr>
          <w:rFonts w:hint="eastAsia" w:ascii="宋体" w:hAnsi="宋体"/>
          <w:szCs w:val="21"/>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8.3无论招标文件第六章技术规范书中是否要求，投标人所投产品均应符合国家强制性标准。</w:t>
      </w:r>
    </w:p>
    <w:p>
      <w:pPr>
        <w:tabs>
          <w:tab w:val="left" w:pos="0"/>
        </w:tabs>
        <w:spacing w:line="360" w:lineRule="auto"/>
        <w:ind w:left="420" w:hanging="420" w:hangingChars="20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4投标文件中所使用的计量单位，除招标文件中有特殊要求外，应采用中华人民共和国法定计量单位。</w:t>
      </w:r>
    </w:p>
    <w:p>
      <w:pPr>
        <w:pStyle w:val="5"/>
        <w:spacing w:before="0" w:after="0" w:line="360" w:lineRule="auto"/>
        <w:rPr>
          <w:rFonts w:hint="eastAsia" w:ascii="宋体" w:hAnsi="宋体"/>
          <w:sz w:val="21"/>
          <w:szCs w:val="21"/>
        </w:rPr>
      </w:pPr>
      <w:bookmarkStart w:id="135" w:name="_Ref467306676"/>
      <w:bookmarkStart w:id="136" w:name="_Toc516367022"/>
      <w:bookmarkStart w:id="137" w:name="_Ref467306195"/>
      <w:bookmarkStart w:id="138" w:name="_Toc478028222"/>
      <w:bookmarkStart w:id="139" w:name="_Toc478028063"/>
      <w:bookmarkStart w:id="140" w:name="_Toc520356152"/>
      <w:bookmarkStart w:id="141" w:name="_Toc468977628"/>
      <w:bookmarkStart w:id="142" w:name="_Toc468977542"/>
      <w:bookmarkStart w:id="143" w:name="_Toc29222771"/>
      <w:bookmarkStart w:id="144" w:name="_Toc468977713"/>
      <w:bookmarkStart w:id="145" w:name="_Toc29240268"/>
      <w:r>
        <w:rPr>
          <w:rFonts w:hint="eastAsia" w:ascii="宋体" w:hAnsi="宋体"/>
          <w:sz w:val="21"/>
          <w:szCs w:val="21"/>
        </w:rPr>
        <w:t>9</w:t>
      </w:r>
      <w:r>
        <w:rPr>
          <w:rFonts w:ascii="宋体" w:hAnsi="宋体"/>
          <w:sz w:val="21"/>
          <w:szCs w:val="21"/>
        </w:rPr>
        <w:t>.</w:t>
      </w:r>
      <w:r>
        <w:rPr>
          <w:rFonts w:hint="eastAsia" w:ascii="宋体" w:hAnsi="宋体"/>
          <w:sz w:val="21"/>
          <w:szCs w:val="21"/>
        </w:rPr>
        <w:t>投标文件</w:t>
      </w:r>
      <w:bookmarkEnd w:id="135"/>
      <w:bookmarkEnd w:id="136"/>
      <w:bookmarkEnd w:id="137"/>
      <w:r>
        <w:rPr>
          <w:rFonts w:hint="eastAsia" w:ascii="宋体" w:hAnsi="宋体"/>
          <w:sz w:val="21"/>
          <w:szCs w:val="21"/>
        </w:rPr>
        <w:t>构成</w:t>
      </w:r>
      <w:bookmarkEnd w:id="138"/>
      <w:bookmarkEnd w:id="139"/>
      <w:bookmarkEnd w:id="140"/>
      <w:bookmarkEnd w:id="141"/>
      <w:bookmarkEnd w:id="142"/>
      <w:bookmarkEnd w:id="143"/>
      <w:bookmarkEnd w:id="144"/>
      <w:bookmarkEnd w:id="145"/>
    </w:p>
    <w:p>
      <w:pPr>
        <w:tabs>
          <w:tab w:val="left" w:pos="0"/>
        </w:tabs>
        <w:spacing w:line="360" w:lineRule="auto"/>
        <w:ind w:left="420" w:hanging="420" w:hangingChars="200"/>
        <w:rPr>
          <w:rFonts w:hint="eastAsia" w:ascii="宋体" w:hAnsi="宋体"/>
          <w:szCs w:val="21"/>
        </w:rPr>
      </w:pPr>
      <w:bookmarkStart w:id="146" w:name="_Ref467052588"/>
      <w:r>
        <w:rPr>
          <w:rFonts w:hint="eastAsia" w:ascii="宋体" w:hAnsi="宋体"/>
          <w:szCs w:val="21"/>
        </w:rPr>
        <w:t>9</w:t>
      </w:r>
      <w:r>
        <w:rPr>
          <w:rFonts w:ascii="宋体" w:hAnsi="宋体"/>
          <w:szCs w:val="21"/>
        </w:rPr>
        <w:t>.1</w:t>
      </w:r>
      <w:r>
        <w:rPr>
          <w:rFonts w:hint="eastAsia" w:ascii="宋体" w:hAnsi="宋体"/>
          <w:szCs w:val="21"/>
        </w:rPr>
        <w:t>投标人应完整地按招标文件提供的投标文件格式填写投标文件，投标文件应包括以下内容</w:t>
      </w:r>
      <w:bookmarkEnd w:id="146"/>
      <w:r>
        <w:rPr>
          <w:rFonts w:hint="eastAsia" w:ascii="宋体" w:hAnsi="宋体"/>
          <w:szCs w:val="21"/>
        </w:rPr>
        <w:t>，如不完整将可能按无效投标处理：</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附件6——资格证明文件</w:t>
      </w:r>
    </w:p>
    <w:p>
      <w:pPr>
        <w:tabs>
          <w:tab w:val="left" w:pos="900"/>
          <w:tab w:val="left" w:pos="5580"/>
        </w:tabs>
        <w:spacing w:line="360" w:lineRule="auto"/>
        <w:ind w:firstLine="420" w:firstLineChars="200"/>
        <w:rPr>
          <w:rFonts w:hint="eastAsia" w:ascii="宋体" w:hAnsi="宋体"/>
          <w:szCs w:val="21"/>
        </w:rPr>
      </w:pPr>
      <w:r>
        <w:rPr>
          <w:rFonts w:hint="eastAsia" w:ascii="宋体" w:hAnsi="宋体"/>
          <w:szCs w:val="21"/>
        </w:rPr>
        <w:t>包括但不限于：</w:t>
      </w:r>
    </w:p>
    <w:p>
      <w:pPr>
        <w:tabs>
          <w:tab w:val="left" w:pos="5580"/>
        </w:tabs>
        <w:spacing w:line="360" w:lineRule="auto"/>
        <w:ind w:firstLine="420" w:firstLineChars="200"/>
        <w:rPr>
          <w:rFonts w:hint="eastAsia"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hint="eastAsia"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hint="eastAsia" w:ascii="宋体" w:hAnsi="宋体"/>
          <w:szCs w:val="21"/>
        </w:rPr>
      </w:pPr>
      <w:r>
        <w:rPr>
          <w:rFonts w:hint="eastAsia" w:ascii="宋体" w:hAnsi="宋体"/>
          <w:szCs w:val="21"/>
        </w:rPr>
        <w:t>6-5投标人参加本项目活动前三年内，在经营活动中没有重大违法记录的声明</w:t>
      </w:r>
    </w:p>
    <w:p>
      <w:pPr>
        <w:tabs>
          <w:tab w:val="left" w:pos="5580"/>
        </w:tabs>
        <w:spacing w:line="360" w:lineRule="auto"/>
        <w:ind w:firstLine="420" w:firstLineChars="200"/>
        <w:rPr>
          <w:rFonts w:hint="eastAsia" w:ascii="宋体" w:hAnsi="宋体"/>
          <w:szCs w:val="21"/>
        </w:rPr>
      </w:pPr>
      <w:r>
        <w:rPr>
          <w:rFonts w:hint="eastAsia" w:ascii="宋体" w:hAnsi="宋体"/>
          <w:szCs w:val="21"/>
        </w:rPr>
        <w:t>6-6近三年类似项目业绩一览表</w:t>
      </w:r>
    </w:p>
    <w:p>
      <w:pPr>
        <w:tabs>
          <w:tab w:val="left" w:pos="5580"/>
        </w:tabs>
        <w:spacing w:line="360" w:lineRule="auto"/>
        <w:ind w:firstLine="420" w:firstLineChars="200"/>
        <w:rPr>
          <w:rFonts w:hint="eastAsia" w:ascii="宋体" w:hAnsi="宋体"/>
          <w:szCs w:val="21"/>
        </w:rPr>
      </w:pPr>
      <w:r>
        <w:rPr>
          <w:rFonts w:hint="eastAsia" w:ascii="宋体" w:hAnsi="宋体"/>
          <w:szCs w:val="21"/>
        </w:rPr>
        <w:t>6-7符合投标人须知前附表和招标文件中要求的其它证明文件</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附件7——缴纳中标服务费承诺书（格式）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附件8——反商业贿赂承诺书（格式）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附件9——投标人控股及管理关系情况表</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附件10——详细的实施方案</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附件11——售后服务方案及承诺</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附件12——投标人认为需要提供的其它材料</w:t>
      </w:r>
    </w:p>
    <w:p>
      <w:pPr>
        <w:tabs>
          <w:tab w:val="left" w:pos="0"/>
        </w:tabs>
        <w:spacing w:line="360" w:lineRule="auto"/>
        <w:ind w:left="420" w:hanging="420" w:hangingChars="200"/>
        <w:rPr>
          <w:rFonts w:hint="eastAsia" w:ascii="宋体" w:hAnsi="宋体"/>
          <w:szCs w:val="21"/>
        </w:rPr>
      </w:pPr>
      <w:r>
        <w:rPr>
          <w:rFonts w:hint="eastAsia" w:ascii="宋体" w:hAnsi="宋体"/>
          <w:szCs w:val="21"/>
        </w:rPr>
        <w:t>9</w:t>
      </w:r>
      <w:r>
        <w:rPr>
          <w:rFonts w:ascii="宋体" w:hAnsi="宋体"/>
          <w:szCs w:val="21"/>
        </w:rPr>
        <w:t>.2</w:t>
      </w:r>
      <w:r>
        <w:rPr>
          <w:rFonts w:hint="eastAsia" w:ascii="宋体" w:hAnsi="宋体"/>
          <w:szCs w:val="21"/>
        </w:rPr>
        <w:t>除上述9</w:t>
      </w:r>
      <w:r>
        <w:rPr>
          <w:rFonts w:ascii="宋体" w:hAnsi="宋体"/>
          <w:szCs w:val="21"/>
        </w:rPr>
        <w:t>.1</w:t>
      </w:r>
      <w:r>
        <w:rPr>
          <w:rFonts w:hint="eastAsia" w:ascii="宋体" w:hAnsi="宋体"/>
          <w:szCs w:val="21"/>
        </w:rPr>
        <w:t>条外，投标文件还应包括本须知第10条的所有文件。</w:t>
      </w:r>
    </w:p>
    <w:p>
      <w:pPr>
        <w:tabs>
          <w:tab w:val="left" w:pos="0"/>
        </w:tabs>
        <w:spacing w:line="360" w:lineRule="auto"/>
        <w:ind w:left="420" w:hanging="420" w:hangingChars="200"/>
        <w:rPr>
          <w:rFonts w:hint="eastAsia" w:ascii="宋体" w:hAnsi="宋体"/>
          <w:szCs w:val="21"/>
        </w:rPr>
      </w:pPr>
      <w:r>
        <w:rPr>
          <w:rFonts w:hint="eastAsia" w:ascii="宋体" w:hAnsi="宋体"/>
          <w:szCs w:val="21"/>
        </w:rPr>
        <w:t>9.3所有投标人和投标产品的资格证明文件均应为合法、有效文件，否则将被视为该文件未被递交。</w:t>
      </w:r>
    </w:p>
    <w:p>
      <w:pPr>
        <w:tabs>
          <w:tab w:val="left" w:pos="0"/>
        </w:tabs>
        <w:spacing w:line="360" w:lineRule="auto"/>
        <w:ind w:left="420" w:hanging="420" w:hangingChars="200"/>
        <w:rPr>
          <w:rFonts w:hint="eastAsia" w:ascii="宋体" w:hAnsi="宋体"/>
          <w:szCs w:val="21"/>
        </w:rPr>
      </w:pPr>
      <w:r>
        <w:rPr>
          <w:rFonts w:hint="eastAsia" w:ascii="宋体" w:hAnsi="宋体"/>
          <w:szCs w:val="21"/>
        </w:rPr>
        <w:t>9.4上述文件应按照招标文件规定的格式填写、签署和盖章。</w:t>
      </w:r>
    </w:p>
    <w:p>
      <w:pPr>
        <w:pStyle w:val="5"/>
        <w:spacing w:before="0" w:after="0" w:line="360" w:lineRule="auto"/>
        <w:rPr>
          <w:rFonts w:hint="eastAsia" w:ascii="宋体" w:hAnsi="宋体"/>
          <w:sz w:val="21"/>
          <w:szCs w:val="21"/>
        </w:rPr>
      </w:pPr>
      <w:bookmarkStart w:id="147" w:name="_Toc478028223"/>
      <w:bookmarkStart w:id="148" w:name="_Toc468977629"/>
      <w:bookmarkStart w:id="149" w:name="_Toc478028064"/>
      <w:bookmarkStart w:id="150" w:name="_Toc468977714"/>
      <w:bookmarkStart w:id="151" w:name="_Toc520356153"/>
      <w:bookmarkStart w:id="152" w:name="_Toc29240269"/>
      <w:bookmarkStart w:id="153" w:name="_Toc29222772"/>
      <w:bookmarkStart w:id="154" w:name="_Toc468977543"/>
      <w:bookmarkStart w:id="155" w:name="_Toc516367023"/>
      <w:r>
        <w:rPr>
          <w:rFonts w:hint="eastAsia" w:ascii="宋体" w:hAnsi="宋体"/>
          <w:sz w:val="21"/>
          <w:szCs w:val="21"/>
        </w:rPr>
        <w:t>10</w:t>
      </w:r>
      <w:r>
        <w:rPr>
          <w:rFonts w:ascii="宋体" w:hAnsi="宋体"/>
          <w:sz w:val="21"/>
          <w:szCs w:val="21"/>
        </w:rPr>
        <w:t>.</w:t>
      </w:r>
      <w:r>
        <w:rPr>
          <w:rFonts w:hint="eastAsia" w:ascii="宋体" w:hAnsi="宋体"/>
          <w:sz w:val="21"/>
          <w:szCs w:val="21"/>
        </w:rPr>
        <w:t>证明产品的合格性和符合招标文件规定的文件</w:t>
      </w:r>
      <w:bookmarkEnd w:id="147"/>
      <w:bookmarkEnd w:id="148"/>
      <w:bookmarkEnd w:id="149"/>
      <w:bookmarkEnd w:id="150"/>
      <w:bookmarkEnd w:id="151"/>
      <w:bookmarkEnd w:id="152"/>
      <w:bookmarkEnd w:id="153"/>
      <w:bookmarkEnd w:id="154"/>
      <w:bookmarkEnd w:id="155"/>
    </w:p>
    <w:p>
      <w:pPr>
        <w:tabs>
          <w:tab w:val="left" w:pos="0"/>
        </w:tabs>
        <w:spacing w:line="360" w:lineRule="auto"/>
        <w:ind w:left="420" w:hanging="420" w:hangingChars="200"/>
        <w:rPr>
          <w:rFonts w:hint="eastAsia" w:ascii="宋体" w:hAnsi="宋体"/>
          <w:szCs w:val="21"/>
        </w:rPr>
      </w:pPr>
      <w:r>
        <w:rPr>
          <w:rFonts w:hint="eastAsia" w:ascii="宋体" w:hAnsi="宋体"/>
          <w:szCs w:val="21"/>
        </w:rPr>
        <w:t>10</w:t>
      </w:r>
      <w:r>
        <w:rPr>
          <w:rFonts w:ascii="宋体" w:hAnsi="宋体"/>
          <w:szCs w:val="21"/>
        </w:rPr>
        <w:t>.1</w:t>
      </w:r>
      <w:r>
        <w:rPr>
          <w:rFonts w:hint="eastAsia" w:ascii="宋体" w:hAnsi="宋体"/>
          <w:szCs w:val="21"/>
        </w:rPr>
        <w:t>投标人应提交证明文件，证明其拟供的合同项下的工程和服务的合格性符合招标文件规定。该证明文件是投标文件的一部分。</w:t>
      </w:r>
    </w:p>
    <w:p>
      <w:pPr>
        <w:tabs>
          <w:tab w:val="left" w:pos="0"/>
        </w:tabs>
        <w:spacing w:line="360" w:lineRule="auto"/>
        <w:ind w:left="420" w:hanging="420" w:hangingChars="200"/>
        <w:rPr>
          <w:rFonts w:hint="eastAsia" w:ascii="宋体" w:hAnsi="宋体"/>
          <w:szCs w:val="21"/>
        </w:rPr>
      </w:pPr>
      <w:bookmarkStart w:id="156" w:name="_Ref467306244"/>
      <w:r>
        <w:rPr>
          <w:rFonts w:hint="eastAsia" w:ascii="宋体" w:hAnsi="宋体"/>
          <w:szCs w:val="21"/>
        </w:rPr>
        <w:t>10</w:t>
      </w:r>
      <w:r>
        <w:rPr>
          <w:rFonts w:ascii="宋体" w:hAnsi="宋体"/>
          <w:szCs w:val="21"/>
        </w:rPr>
        <w:t>.2</w:t>
      </w:r>
      <w:r>
        <w:rPr>
          <w:rFonts w:hint="eastAsia" w:ascii="宋体" w:hAnsi="宋体"/>
          <w:szCs w:val="21"/>
        </w:rPr>
        <w:t>上款所述的证明文件，可以是文字资料、图纸和数据，</w:t>
      </w:r>
      <w:bookmarkEnd w:id="156"/>
      <w:r>
        <w:rPr>
          <w:rFonts w:hint="eastAsia" w:ascii="宋体" w:hAnsi="宋体"/>
          <w:szCs w:val="21"/>
        </w:rPr>
        <w:t>它包括：</w:t>
      </w:r>
    </w:p>
    <w:p>
      <w:pPr>
        <w:spacing w:line="360" w:lineRule="auto"/>
        <w:ind w:left="1050" w:leftChars="200" w:hanging="630" w:hangingChars="300"/>
        <w:rPr>
          <w:rFonts w:hint="eastAsia" w:ascii="宋体" w:hAnsi="宋体"/>
          <w:szCs w:val="21"/>
        </w:rPr>
      </w:pPr>
      <w:r>
        <w:rPr>
          <w:rFonts w:hint="eastAsia" w:ascii="宋体" w:hAnsi="宋体"/>
          <w:szCs w:val="21"/>
        </w:rPr>
        <w:t>10</w:t>
      </w:r>
      <w:r>
        <w:rPr>
          <w:rFonts w:ascii="宋体" w:hAnsi="宋体"/>
          <w:szCs w:val="21"/>
        </w:rPr>
        <w:t>.2.1</w:t>
      </w:r>
      <w:r>
        <w:rPr>
          <w:rFonts w:hint="eastAsia" w:ascii="宋体" w:hAnsi="宋体"/>
          <w:szCs w:val="21"/>
        </w:rPr>
        <w:t>服务主要技术指标和性能的详细说明。</w:t>
      </w:r>
    </w:p>
    <w:p>
      <w:pPr>
        <w:spacing w:line="360" w:lineRule="auto"/>
        <w:ind w:left="1050" w:leftChars="200" w:hanging="630" w:hangingChars="300"/>
        <w:rPr>
          <w:rFonts w:hint="eastAsia" w:ascii="宋体" w:hAnsi="宋体"/>
          <w:szCs w:val="21"/>
        </w:rPr>
      </w:pPr>
      <w:r>
        <w:rPr>
          <w:rFonts w:hint="eastAsia" w:ascii="宋体" w:hAnsi="宋体"/>
          <w:szCs w:val="21"/>
        </w:rPr>
        <w:t>10</w:t>
      </w:r>
      <w:r>
        <w:rPr>
          <w:rFonts w:ascii="宋体" w:hAnsi="宋体"/>
          <w:szCs w:val="21"/>
        </w:rPr>
        <w:t>.2.2</w:t>
      </w:r>
      <w:r>
        <w:rPr>
          <w:rFonts w:hint="eastAsia" w:ascii="宋体" w:hAnsi="宋体"/>
          <w:szCs w:val="21"/>
        </w:rPr>
        <w:t>服务从买方开始使用至招标文件规定的保质期内正常、连续地使用所必须的备件和专用工具清单，包括备件和专用工具的货源及现行价格。</w:t>
      </w:r>
    </w:p>
    <w:p>
      <w:pPr>
        <w:spacing w:line="360" w:lineRule="auto"/>
        <w:ind w:left="1050" w:leftChars="200" w:hanging="630" w:hangingChars="300"/>
        <w:rPr>
          <w:rFonts w:hint="eastAsia" w:ascii="宋体" w:hAnsi="宋体"/>
          <w:szCs w:val="21"/>
        </w:rPr>
      </w:pPr>
      <w:r>
        <w:rPr>
          <w:rFonts w:hint="eastAsia" w:ascii="宋体" w:hAnsi="宋体"/>
          <w:szCs w:val="21"/>
        </w:rPr>
        <w:t>10</w:t>
      </w:r>
      <w:r>
        <w:rPr>
          <w:rFonts w:ascii="宋体" w:hAnsi="宋体"/>
          <w:szCs w:val="21"/>
        </w:rPr>
        <w:t>.2.3</w:t>
      </w:r>
      <w:r>
        <w:rPr>
          <w:rFonts w:hint="eastAsia" w:ascii="宋体" w:hAnsi="宋体"/>
          <w:szCs w:val="21"/>
        </w:rPr>
        <w:t>对照招标文件技术规格，逐条说明所提供服务和服务已对招标文件的技术规格做出了实质性的响应，或申明与技术规格条文的偏差和例外。</w:t>
      </w:r>
    </w:p>
    <w:p>
      <w:pPr>
        <w:tabs>
          <w:tab w:val="left" w:pos="0"/>
        </w:tabs>
        <w:spacing w:line="360" w:lineRule="auto"/>
        <w:ind w:left="420" w:hanging="420" w:hangingChars="200"/>
        <w:rPr>
          <w:rFonts w:hint="eastAsia" w:ascii="宋体" w:hAnsi="宋体"/>
          <w:szCs w:val="21"/>
        </w:rPr>
      </w:pPr>
      <w:r>
        <w:rPr>
          <w:rFonts w:hint="eastAsia" w:ascii="宋体" w:hAnsi="宋体"/>
          <w:szCs w:val="21"/>
        </w:rPr>
        <w:t>10</w:t>
      </w:r>
      <w:r>
        <w:rPr>
          <w:rFonts w:ascii="宋体" w:hAnsi="宋体"/>
          <w:szCs w:val="21"/>
        </w:rPr>
        <w:t>.3</w:t>
      </w:r>
      <w:r>
        <w:rPr>
          <w:rFonts w:hint="eastAsia" w:ascii="宋体" w:hAnsi="宋体"/>
          <w:szCs w:val="21"/>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人承诺不以上述设备专有名称、参考牌号或分类号作为评标时确定无效投标的取舍标准。</w:t>
      </w:r>
    </w:p>
    <w:p>
      <w:pPr>
        <w:tabs>
          <w:tab w:val="left" w:pos="0"/>
        </w:tabs>
        <w:spacing w:line="360" w:lineRule="auto"/>
        <w:ind w:left="420" w:hanging="420" w:hangingChars="200"/>
        <w:rPr>
          <w:rFonts w:hint="eastAsia" w:ascii="宋体" w:hAnsi="宋体"/>
          <w:szCs w:val="21"/>
        </w:rPr>
      </w:pPr>
      <w:r>
        <w:rPr>
          <w:rFonts w:hint="eastAsia" w:ascii="宋体" w:hAnsi="宋体"/>
          <w:szCs w:val="21"/>
        </w:rPr>
        <w:t>10.4本条所指证明文件不得为对招标文件相关部分的文字、图标的复制。</w:t>
      </w:r>
    </w:p>
    <w:p>
      <w:pPr>
        <w:pStyle w:val="5"/>
        <w:spacing w:before="0" w:after="0" w:line="360" w:lineRule="auto"/>
        <w:rPr>
          <w:rFonts w:hint="eastAsia" w:ascii="宋体" w:hAnsi="宋体"/>
          <w:sz w:val="21"/>
          <w:szCs w:val="21"/>
        </w:rPr>
      </w:pPr>
      <w:bookmarkStart w:id="157" w:name="_Toc468977544"/>
      <w:bookmarkStart w:id="158" w:name="_Toc29240270"/>
      <w:bookmarkStart w:id="159" w:name="_Toc478028224"/>
      <w:bookmarkStart w:id="160" w:name="_Toc29222773"/>
      <w:bookmarkStart w:id="161" w:name="_Toc478028065"/>
      <w:bookmarkStart w:id="162" w:name="_Toc468977715"/>
      <w:bookmarkStart w:id="163" w:name="_Toc468977630"/>
      <w:bookmarkStart w:id="164" w:name="_Toc520356155"/>
      <w:r>
        <w:rPr>
          <w:rFonts w:ascii="宋体" w:hAnsi="宋体"/>
          <w:sz w:val="21"/>
          <w:szCs w:val="21"/>
        </w:rPr>
        <w:t>1</w:t>
      </w:r>
      <w:r>
        <w:rPr>
          <w:rFonts w:hint="eastAsia" w:ascii="宋体" w:hAnsi="宋体"/>
          <w:sz w:val="21"/>
          <w:szCs w:val="21"/>
        </w:rPr>
        <w:t>1</w:t>
      </w:r>
      <w:r>
        <w:rPr>
          <w:rFonts w:ascii="宋体" w:hAnsi="宋体"/>
          <w:sz w:val="21"/>
          <w:szCs w:val="21"/>
        </w:rPr>
        <w:t>.</w:t>
      </w:r>
      <w:r>
        <w:rPr>
          <w:rFonts w:hint="eastAsia" w:ascii="宋体" w:hAnsi="宋体"/>
          <w:sz w:val="21"/>
          <w:szCs w:val="21"/>
        </w:rPr>
        <w:t>投标报价</w:t>
      </w:r>
      <w:bookmarkEnd w:id="157"/>
      <w:bookmarkEnd w:id="158"/>
      <w:bookmarkEnd w:id="159"/>
      <w:bookmarkEnd w:id="160"/>
      <w:bookmarkEnd w:id="161"/>
      <w:bookmarkEnd w:id="162"/>
      <w:bookmarkEnd w:id="163"/>
      <w:bookmarkEnd w:id="164"/>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.1</w:t>
      </w:r>
      <w:r>
        <w:rPr>
          <w:rFonts w:hint="eastAsia" w:ascii="宋体" w:hAnsi="宋体"/>
          <w:szCs w:val="21"/>
        </w:rPr>
        <w:t>所有投标均以人民币报价。投标人的投标报价应遵守《中华人民共和国价格法》。</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.2</w:t>
      </w:r>
      <w:r>
        <w:rPr>
          <w:rFonts w:hint="eastAsia" w:ascii="宋体" w:hAnsi="宋体"/>
          <w:szCs w:val="21"/>
        </w:rPr>
        <w:t>投标人应在投标分项报价表上标明投标工程及相关服务的单价（如适用）和总价，并由法定代表人或其授权代表签署。</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.3</w:t>
      </w:r>
      <w:r>
        <w:rPr>
          <w:rFonts w:hint="eastAsia" w:ascii="宋体" w:hAnsi="宋体"/>
          <w:szCs w:val="21"/>
        </w:rPr>
        <w:t>投标分项报价表上的价格应按下列方式填写：</w:t>
      </w:r>
    </w:p>
    <w:p>
      <w:pPr>
        <w:spacing w:line="360" w:lineRule="auto"/>
        <w:ind w:left="1050" w:leftChars="200" w:hanging="630" w:hangingChars="300"/>
        <w:rPr>
          <w:rFonts w:hint="eastAsia" w:ascii="宋体" w:hAnsi="宋体"/>
          <w:szCs w:val="21"/>
        </w:rPr>
      </w:pPr>
      <w:r>
        <w:rPr>
          <w:rFonts w:hint="eastAsia" w:ascii="宋体" w:hAnsi="宋体"/>
          <w:szCs w:val="21"/>
        </w:rPr>
        <w:t>11.3.1投标报价表应详细列明报价的各组成部分。投标服务的价格、安装、调试、检验、技术服务和培训等费用；</w:t>
      </w:r>
    </w:p>
    <w:p>
      <w:pPr>
        <w:tabs>
          <w:tab w:val="left" w:pos="0"/>
        </w:tabs>
        <w:spacing w:line="360" w:lineRule="auto"/>
        <w:ind w:left="420" w:hanging="420" w:hangingChars="200"/>
        <w:rPr>
          <w:rFonts w:hint="eastAsia" w:ascii="宋体" w:hAnsi="宋体"/>
          <w:szCs w:val="21"/>
        </w:rPr>
      </w:pPr>
      <w:r>
        <w:rPr>
          <w:rFonts w:hint="eastAsia" w:ascii="宋体" w:hAnsi="宋体"/>
          <w:szCs w:val="21"/>
        </w:rPr>
        <w:t>11</w:t>
      </w:r>
      <w:r>
        <w:rPr>
          <w:rFonts w:ascii="宋体" w:hAnsi="宋体"/>
          <w:szCs w:val="21"/>
        </w:rPr>
        <w:t>.</w:t>
      </w:r>
      <w:r>
        <w:rPr>
          <w:rFonts w:hint="eastAsia" w:ascii="宋体" w:hAnsi="宋体"/>
          <w:szCs w:val="21"/>
        </w:rPr>
        <w:t>4为了方便评标委员会对投标文件进行比较，投标人可根据本须知11</w:t>
      </w:r>
      <w:r>
        <w:rPr>
          <w:rFonts w:ascii="宋体" w:hAnsi="宋体"/>
          <w:szCs w:val="21"/>
        </w:rPr>
        <w:t>.3</w:t>
      </w:r>
      <w:r>
        <w:rPr>
          <w:rFonts w:hint="eastAsia" w:ascii="宋体" w:hAnsi="宋体"/>
          <w:szCs w:val="21"/>
        </w:rPr>
        <w:t>条的规定将投标价分成几部分，并不限制买方以上述任何条件订立合同的权利。</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.5</w:t>
      </w:r>
      <w:r>
        <w:rPr>
          <w:rFonts w:hint="eastAsia" w:ascii="宋体" w:hAnsi="宋体"/>
          <w:szCs w:val="21"/>
        </w:rPr>
        <w:t>投标人所报的各分项投标单价在合同履行过程中是固定不变的，不得以任何理由予以变更。任何包含价格调整要求的投标，依据本须知第21条规定，将被认为是无效投标而被拒绝。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11.6每种服务只能有一个投标报价。招标人不接受具有附加条件的报价。</w:t>
      </w:r>
    </w:p>
    <w:p>
      <w:pPr>
        <w:tabs>
          <w:tab w:val="left" w:pos="0"/>
        </w:tabs>
        <w:spacing w:line="360" w:lineRule="auto"/>
        <w:ind w:left="420" w:hanging="420" w:hangingChars="200"/>
        <w:rPr>
          <w:rFonts w:hint="eastAsia" w:ascii="宋体" w:hAnsi="宋体"/>
          <w:szCs w:val="21"/>
        </w:rPr>
      </w:pPr>
      <w:r>
        <w:rPr>
          <w:rFonts w:hint="eastAsia" w:ascii="宋体" w:hAnsi="宋体"/>
          <w:szCs w:val="21"/>
        </w:rPr>
        <w:t>11.7本招标采购报价为综合价格，所有招标文件中列出的或隐含的为完成合同所需的一切责任和义务等费用都应包括在内，除合同另有规定外，应视为投标人为维保提供相关服务等投标人必须支付的费用，包括所有的维保人员工资、维修工具、办公及管理费用、交通通讯费用、税金和利润及可能的风险，不再有报价以外的任何附加费用。未列和没有填写的项目费用，应视为已包括在相关项目的价格中。</w:t>
      </w:r>
    </w:p>
    <w:p>
      <w:pPr>
        <w:pStyle w:val="5"/>
        <w:spacing w:before="0" w:after="0" w:line="360" w:lineRule="auto"/>
        <w:rPr>
          <w:rFonts w:hint="eastAsia" w:ascii="宋体" w:hAnsi="宋体"/>
          <w:sz w:val="21"/>
          <w:szCs w:val="21"/>
        </w:rPr>
      </w:pPr>
      <w:bookmarkStart w:id="165" w:name="_Toc478028066"/>
      <w:bookmarkStart w:id="166" w:name="_Toc29222774"/>
      <w:bookmarkStart w:id="167" w:name="_Toc520356156"/>
      <w:bookmarkStart w:id="168" w:name="_Toc468977716"/>
      <w:bookmarkStart w:id="169" w:name="_Ref467306513"/>
      <w:bookmarkStart w:id="170" w:name="_Toc468977545"/>
      <w:bookmarkStart w:id="171" w:name="_Toc29240271"/>
      <w:bookmarkStart w:id="172" w:name="_Toc468977631"/>
      <w:bookmarkStart w:id="173" w:name="_Toc478028225"/>
      <w:r>
        <w:rPr>
          <w:rFonts w:ascii="宋体" w:hAnsi="宋体"/>
          <w:sz w:val="21"/>
          <w:szCs w:val="21"/>
        </w:rPr>
        <w:t>1</w:t>
      </w:r>
      <w:r>
        <w:rPr>
          <w:rFonts w:hint="eastAsia" w:ascii="宋体" w:hAnsi="宋体"/>
          <w:sz w:val="21"/>
          <w:szCs w:val="21"/>
        </w:rPr>
        <w:t>2.投标保证金</w:t>
      </w:r>
      <w:bookmarkEnd w:id="165"/>
      <w:bookmarkEnd w:id="166"/>
      <w:bookmarkEnd w:id="167"/>
      <w:bookmarkEnd w:id="168"/>
      <w:bookmarkEnd w:id="169"/>
      <w:bookmarkEnd w:id="170"/>
      <w:bookmarkEnd w:id="171"/>
      <w:bookmarkEnd w:id="172"/>
      <w:bookmarkEnd w:id="173"/>
    </w:p>
    <w:p>
      <w:pPr>
        <w:tabs>
          <w:tab w:val="left" w:pos="0"/>
        </w:tabs>
        <w:spacing w:line="360" w:lineRule="auto"/>
        <w:ind w:left="420" w:hanging="420" w:hangingChars="200"/>
        <w:rPr>
          <w:rFonts w:hint="eastAsia" w:ascii="宋体" w:hAnsi="宋体"/>
          <w:szCs w:val="21"/>
        </w:rPr>
      </w:pPr>
      <w:bookmarkStart w:id="174" w:name="_Ref467306302"/>
      <w:r>
        <w:rPr>
          <w:rFonts w:ascii="宋体" w:hAnsi="宋体"/>
          <w:szCs w:val="21"/>
        </w:rPr>
        <w:t>1</w:t>
      </w:r>
      <w:r>
        <w:rPr>
          <w:rFonts w:hint="eastAsia" w:ascii="宋体" w:hAnsi="宋体"/>
          <w:szCs w:val="21"/>
        </w:rPr>
        <w:t>2</w:t>
      </w:r>
      <w:r>
        <w:rPr>
          <w:rFonts w:ascii="宋体" w:hAnsi="宋体"/>
          <w:szCs w:val="21"/>
        </w:rPr>
        <w:t>.1</w:t>
      </w:r>
      <w:r>
        <w:rPr>
          <w:rFonts w:hint="eastAsia" w:ascii="宋体" w:hAnsi="宋体"/>
          <w:szCs w:val="21"/>
        </w:rPr>
        <w:t>投标人应提供</w:t>
      </w:r>
      <w:r>
        <w:rPr>
          <w:rFonts w:hint="eastAsia" w:ascii="宋体" w:hAnsi="宋体"/>
          <w:szCs w:val="21"/>
          <w:u w:val="single"/>
        </w:rPr>
        <w:t>投标人须知前附表</w:t>
      </w:r>
      <w:r>
        <w:rPr>
          <w:rFonts w:hint="eastAsia" w:ascii="宋体" w:hAnsi="宋体"/>
          <w:szCs w:val="21"/>
        </w:rPr>
        <w:t>中规定的投标保证金</w:t>
      </w:r>
      <w:bookmarkEnd w:id="174"/>
      <w:r>
        <w:rPr>
          <w:rFonts w:hint="eastAsia" w:ascii="宋体" w:hAnsi="宋体"/>
          <w:szCs w:val="21"/>
        </w:rPr>
        <w:t>，并作为其投标的一部分。</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hint="eastAsia" w:ascii="宋体" w:hAnsi="宋体"/>
          <w:szCs w:val="21"/>
        </w:rPr>
        <w:t>投标保证金是为了保护招标人免遭因投标人的行为蒙受损失而要求的。</w:t>
      </w:r>
    </w:p>
    <w:p>
      <w:pPr>
        <w:spacing w:line="360" w:lineRule="auto"/>
        <w:ind w:left="577" w:leftChars="200" w:hanging="157" w:hangingChars="75"/>
        <w:rPr>
          <w:rFonts w:hint="eastAsia" w:ascii="宋体" w:hAnsi="宋体"/>
          <w:szCs w:val="21"/>
        </w:rPr>
      </w:pPr>
      <w:r>
        <w:rPr>
          <w:rFonts w:hint="eastAsia" w:ascii="宋体" w:hAnsi="宋体"/>
          <w:szCs w:val="21"/>
        </w:rPr>
        <w:t>下列任何情况发生，投标保证金将被没收：</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（1）在开标之日后到投标有效期满前，投标人擅自撤回投标的；</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（2）中标人不按本须知第29条的规定与招标人签订合同的；</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（3）中标人不按本须知第30条的规定提交履约保证金的；</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（4）中标人不按本须知第31条的规定缴纳中标服务费。</w:t>
      </w:r>
    </w:p>
    <w:p>
      <w:pPr>
        <w:spacing w:line="360" w:lineRule="auto"/>
        <w:ind w:left="420" w:hanging="420" w:hangingChars="200"/>
        <w:rPr>
          <w:rFonts w:hint="eastAsia" w:ascii="宋体" w:hAnsi="宋体"/>
          <w:szCs w:val="21"/>
        </w:rPr>
      </w:pPr>
      <w:bookmarkStart w:id="175" w:name="_Ref467306336"/>
      <w:r>
        <w:rPr>
          <w:rFonts w:hint="eastAsia" w:ascii="宋体" w:hAnsi="宋体"/>
          <w:szCs w:val="21"/>
        </w:rPr>
        <w:t>12.3投标保证金可采用下列形式之一：</w:t>
      </w:r>
      <w:bookmarkEnd w:id="175"/>
    </w:p>
    <w:p>
      <w:pPr>
        <w:spacing w:line="360" w:lineRule="auto"/>
        <w:ind w:left="577" w:leftChars="200" w:hanging="157" w:hangingChars="75"/>
        <w:rPr>
          <w:rFonts w:hint="eastAsia" w:ascii="宋体" w:hAnsi="宋体"/>
          <w:szCs w:val="21"/>
        </w:rPr>
      </w:pPr>
      <w:r>
        <w:rPr>
          <w:rFonts w:hint="eastAsia" w:ascii="宋体" w:hAnsi="宋体"/>
          <w:szCs w:val="21"/>
        </w:rPr>
        <w:t>北京地区：支票、电汇，</w:t>
      </w:r>
      <w:r>
        <w:rPr>
          <w:rFonts w:ascii="宋体" w:hAnsi="宋体"/>
          <w:szCs w:val="21"/>
        </w:rPr>
        <w:t>以及</w:t>
      </w:r>
      <w:r>
        <w:rPr>
          <w:rFonts w:hint="eastAsia" w:ascii="宋体" w:hAnsi="宋体"/>
          <w:szCs w:val="21"/>
        </w:rPr>
        <w:t>招标人可接受的其他形式</w:t>
      </w:r>
    </w:p>
    <w:p>
      <w:pPr>
        <w:spacing w:line="360" w:lineRule="auto"/>
        <w:ind w:left="577" w:leftChars="200" w:hanging="157" w:hangingChars="75"/>
        <w:rPr>
          <w:rFonts w:hint="eastAsia" w:ascii="宋体" w:hAnsi="宋体"/>
          <w:szCs w:val="21"/>
        </w:rPr>
      </w:pPr>
      <w:r>
        <w:rPr>
          <w:rFonts w:hint="eastAsia" w:ascii="宋体" w:hAnsi="宋体"/>
          <w:szCs w:val="21"/>
        </w:rPr>
        <w:t>外埠：汇票、电汇，</w:t>
      </w:r>
      <w:r>
        <w:rPr>
          <w:rFonts w:ascii="宋体" w:hAnsi="宋体"/>
          <w:szCs w:val="21"/>
        </w:rPr>
        <w:t>以及</w:t>
      </w:r>
      <w:r>
        <w:rPr>
          <w:rFonts w:hint="eastAsia" w:ascii="宋体" w:hAnsi="宋体"/>
          <w:szCs w:val="21"/>
        </w:rPr>
        <w:t>招标人可接受的其他形式</w:t>
      </w:r>
    </w:p>
    <w:p>
      <w:pPr>
        <w:tabs>
          <w:tab w:val="left" w:pos="0"/>
        </w:tabs>
        <w:spacing w:line="360" w:lineRule="auto"/>
        <w:ind w:left="420" w:hanging="420" w:hangingChars="200"/>
        <w:rPr>
          <w:rFonts w:hint="eastAsia" w:ascii="宋体" w:hAnsi="宋体"/>
          <w:szCs w:val="21"/>
        </w:rPr>
      </w:pPr>
      <w:r>
        <w:rPr>
          <w:rFonts w:hint="eastAsia" w:ascii="宋体" w:hAnsi="宋体"/>
          <w:szCs w:val="21"/>
        </w:rPr>
        <w:t>12.4凡没有根据本须知12</w:t>
      </w:r>
      <w:r>
        <w:rPr>
          <w:rFonts w:ascii="宋体" w:hAnsi="宋体"/>
          <w:szCs w:val="21"/>
        </w:rPr>
        <w:t>.1</w:t>
      </w:r>
      <w:r>
        <w:rPr>
          <w:rFonts w:hint="eastAsia" w:ascii="宋体" w:hAnsi="宋体"/>
          <w:szCs w:val="21"/>
        </w:rPr>
        <w:t>和第</w:t>
      </w: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条的规定，随附投标保证金的投标，将被视为无效投标被拒绝。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12.5联合体投标的，可以由联合体中的一方或者共同提交投标保证金，以一方名义提交投标保证金的，对联合体各方均具有约束力。</w:t>
      </w:r>
    </w:p>
    <w:p>
      <w:pPr>
        <w:pStyle w:val="5"/>
        <w:spacing w:before="0" w:after="0" w:line="360" w:lineRule="auto"/>
        <w:rPr>
          <w:rFonts w:hint="eastAsia" w:ascii="宋体" w:hAnsi="宋体"/>
          <w:sz w:val="21"/>
          <w:szCs w:val="21"/>
        </w:rPr>
      </w:pPr>
      <w:bookmarkStart w:id="176" w:name="_Toc478028226"/>
      <w:bookmarkStart w:id="177" w:name="_Toc29222775"/>
      <w:bookmarkStart w:id="178" w:name="_Toc520356157"/>
      <w:bookmarkStart w:id="179" w:name="_Toc468977717"/>
      <w:bookmarkStart w:id="180" w:name="_Toc478028067"/>
      <w:bookmarkStart w:id="181" w:name="_Toc468977546"/>
      <w:bookmarkStart w:id="182" w:name="_Toc29240272"/>
      <w:bookmarkStart w:id="183" w:name="_Toc468977632"/>
      <w:r>
        <w:rPr>
          <w:rFonts w:hint="eastAsia" w:ascii="宋体" w:hAnsi="宋体"/>
          <w:sz w:val="21"/>
          <w:szCs w:val="21"/>
        </w:rPr>
        <w:t>13.投标有效期</w:t>
      </w:r>
      <w:bookmarkEnd w:id="176"/>
      <w:bookmarkEnd w:id="177"/>
      <w:bookmarkEnd w:id="178"/>
      <w:bookmarkEnd w:id="179"/>
      <w:bookmarkEnd w:id="180"/>
      <w:bookmarkEnd w:id="181"/>
      <w:bookmarkEnd w:id="182"/>
      <w:bookmarkEnd w:id="183"/>
    </w:p>
    <w:p>
      <w:pPr>
        <w:tabs>
          <w:tab w:val="left" w:pos="0"/>
        </w:tabs>
        <w:spacing w:line="360" w:lineRule="auto"/>
        <w:ind w:left="420" w:hanging="420" w:hangingChars="200"/>
        <w:rPr>
          <w:rFonts w:hint="eastAsia" w:ascii="宋体" w:hAnsi="宋体"/>
          <w:szCs w:val="21"/>
        </w:rPr>
      </w:pPr>
      <w:r>
        <w:rPr>
          <w:rFonts w:hint="eastAsia" w:ascii="宋体" w:hAnsi="宋体"/>
          <w:szCs w:val="21"/>
        </w:rPr>
        <w:t>13.1投标应在规定的截止日后，按照投标人须知前附表中规定时间内保持有效，投标有效期不满足要求的投标将被视为无效投标被拒绝。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13.2招标人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人的这种要求，其投标保证金将不会被没收。上述要求和答复都应以书面形式提交。</w:t>
      </w:r>
    </w:p>
    <w:p>
      <w:pPr>
        <w:pStyle w:val="5"/>
        <w:spacing w:before="0" w:after="0" w:line="360" w:lineRule="auto"/>
        <w:rPr>
          <w:rFonts w:hint="eastAsia" w:ascii="宋体" w:hAnsi="宋体"/>
          <w:sz w:val="21"/>
          <w:szCs w:val="21"/>
        </w:rPr>
      </w:pPr>
      <w:bookmarkStart w:id="184" w:name="_Toc520356158"/>
      <w:bookmarkStart w:id="185" w:name="_Toc468977633"/>
      <w:bookmarkStart w:id="186" w:name="_Toc478028227"/>
      <w:bookmarkStart w:id="187" w:name="_Toc29240273"/>
      <w:bookmarkStart w:id="188" w:name="_Toc478028068"/>
      <w:bookmarkStart w:id="189" w:name="_Toc468977547"/>
      <w:bookmarkStart w:id="190" w:name="_Toc468977718"/>
      <w:bookmarkStart w:id="191" w:name="_Toc29222776"/>
      <w:r>
        <w:rPr>
          <w:rFonts w:hint="eastAsia" w:ascii="宋体" w:hAnsi="宋体"/>
          <w:sz w:val="21"/>
          <w:szCs w:val="21"/>
        </w:rPr>
        <w:t>14.投标文件的签署</w:t>
      </w:r>
      <w:bookmarkEnd w:id="184"/>
      <w:r>
        <w:rPr>
          <w:rFonts w:hint="eastAsia" w:ascii="宋体" w:hAnsi="宋体"/>
          <w:sz w:val="21"/>
          <w:szCs w:val="21"/>
        </w:rPr>
        <w:t>及规定</w:t>
      </w:r>
      <w:bookmarkEnd w:id="185"/>
      <w:bookmarkEnd w:id="186"/>
      <w:bookmarkEnd w:id="187"/>
      <w:bookmarkEnd w:id="188"/>
      <w:bookmarkEnd w:id="189"/>
      <w:bookmarkEnd w:id="190"/>
      <w:bookmarkEnd w:id="191"/>
    </w:p>
    <w:p>
      <w:pPr>
        <w:tabs>
          <w:tab w:val="left" w:pos="0"/>
        </w:tabs>
        <w:spacing w:line="360" w:lineRule="auto"/>
        <w:ind w:left="420" w:hanging="420" w:hangingChars="200"/>
        <w:rPr>
          <w:rFonts w:hint="eastAsia" w:ascii="宋体" w:hAnsi="宋体"/>
          <w:szCs w:val="21"/>
        </w:rPr>
      </w:pPr>
      <w:r>
        <w:rPr>
          <w:rFonts w:hint="eastAsia" w:ascii="宋体" w:hAnsi="宋体"/>
          <w:szCs w:val="21"/>
        </w:rPr>
        <w:t>14.1投标人应按投标人须知前附表中的规定准备和递交投标文件正本、副本和电子文档，每份纸质投标文件须清楚地标明“正本”或“副本”。若正本和副本不符，以正本为准。</w:t>
      </w:r>
    </w:p>
    <w:p>
      <w:pPr>
        <w:tabs>
          <w:tab w:val="left" w:pos="0"/>
        </w:tabs>
        <w:spacing w:line="360" w:lineRule="auto"/>
        <w:ind w:left="420" w:hanging="420" w:hangingChars="200"/>
        <w:rPr>
          <w:rFonts w:hint="eastAsia" w:ascii="宋体" w:hAnsi="宋体"/>
          <w:szCs w:val="21"/>
        </w:rPr>
      </w:pPr>
      <w:r>
        <w:rPr>
          <w:rFonts w:hint="eastAsia" w:ascii="宋体" w:hAnsi="宋体"/>
          <w:szCs w:val="21"/>
        </w:rPr>
        <w:t>14.2投标文件的正本需打印或用不褪色墨水书写，采用</w:t>
      </w:r>
      <w:r>
        <w:rPr>
          <w:rFonts w:ascii="宋体" w:hAnsi="宋体"/>
          <w:szCs w:val="21"/>
        </w:rPr>
        <w:t>不可拆装的胶</w:t>
      </w:r>
      <w:r>
        <w:rPr>
          <w:rFonts w:hint="eastAsia" w:ascii="宋体" w:hAnsi="宋体"/>
          <w:szCs w:val="21"/>
        </w:rPr>
        <w:t>订</w:t>
      </w:r>
      <w:r>
        <w:rPr>
          <w:rFonts w:ascii="宋体" w:hAnsi="宋体"/>
          <w:szCs w:val="21"/>
        </w:rPr>
        <w:t>方式</w:t>
      </w:r>
      <w:r>
        <w:rPr>
          <w:rFonts w:hint="eastAsia" w:ascii="宋体" w:hAnsi="宋体"/>
          <w:szCs w:val="21"/>
        </w:rPr>
        <w:t>装订</w:t>
      </w:r>
      <w:r>
        <w:rPr>
          <w:rFonts w:ascii="宋体" w:hAnsi="宋体"/>
          <w:szCs w:val="21"/>
        </w:rPr>
        <w:t>，</w:t>
      </w:r>
      <w:r>
        <w:rPr>
          <w:rFonts w:hint="eastAsia" w:ascii="宋体" w:hAnsi="宋体"/>
          <w:szCs w:val="21"/>
        </w:rPr>
        <w:t>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tabs>
          <w:tab w:val="left" w:pos="0"/>
        </w:tabs>
        <w:spacing w:line="360" w:lineRule="auto"/>
        <w:ind w:left="420" w:hanging="420" w:hangingChars="200"/>
        <w:rPr>
          <w:rFonts w:hint="eastAsia" w:ascii="宋体" w:hAnsi="宋体"/>
          <w:szCs w:val="21"/>
        </w:rPr>
      </w:pPr>
      <w:r>
        <w:rPr>
          <w:rFonts w:hint="eastAsia" w:ascii="宋体" w:hAnsi="宋体"/>
          <w:szCs w:val="21"/>
        </w:rPr>
        <w:t>14.3任何行间插字、涂改和增删，必须由投标文件签字人签字或盖章后才有效。</w:t>
      </w:r>
    </w:p>
    <w:p>
      <w:pPr>
        <w:tabs>
          <w:tab w:val="left" w:pos="0"/>
        </w:tabs>
        <w:spacing w:line="360" w:lineRule="auto"/>
        <w:ind w:left="420" w:hanging="420" w:hangingChars="200"/>
        <w:rPr>
          <w:rFonts w:hint="eastAsia" w:ascii="宋体" w:hAnsi="宋体"/>
          <w:szCs w:val="21"/>
        </w:rPr>
      </w:pPr>
      <w:r>
        <w:rPr>
          <w:rFonts w:hint="eastAsia" w:ascii="宋体" w:hAnsi="宋体"/>
          <w:szCs w:val="21"/>
        </w:rPr>
        <w:t>14.4投标文件因字迹潦草、表达不清或</w:t>
      </w:r>
      <w:r>
        <w:rPr>
          <w:rFonts w:ascii="宋体" w:hAnsi="宋体"/>
          <w:szCs w:val="21"/>
        </w:rPr>
        <w:t>装订不当</w:t>
      </w:r>
      <w:r>
        <w:rPr>
          <w:rFonts w:hint="eastAsia" w:ascii="宋体" w:hAnsi="宋体"/>
          <w:szCs w:val="21"/>
        </w:rPr>
        <w:t>所引起的后果由投标人负责。</w:t>
      </w:r>
    </w:p>
    <w:p>
      <w:pPr>
        <w:spacing w:before="120" w:beforeLines="50" w:after="120" w:afterLines="50" w:line="360" w:lineRule="auto"/>
        <w:jc w:val="center"/>
        <w:outlineLvl w:val="1"/>
        <w:rPr>
          <w:b/>
          <w:bCs/>
          <w:szCs w:val="21"/>
        </w:rPr>
      </w:pPr>
      <w:bookmarkStart w:id="192" w:name="_Toc77629024"/>
      <w:bookmarkStart w:id="193" w:name="_Toc216582808"/>
      <w:bookmarkStart w:id="194" w:name="_Toc10734"/>
      <w:bookmarkStart w:id="195" w:name="_Toc77628610"/>
      <w:bookmarkStart w:id="196" w:name="_Toc77628944"/>
      <w:bookmarkStart w:id="197" w:name="_Toc29240274"/>
      <w:bookmarkStart w:id="198" w:name="_Toc520356159"/>
      <w:r>
        <w:rPr>
          <w:rFonts w:hint="eastAsia"/>
          <w:b/>
          <w:bCs/>
          <w:szCs w:val="21"/>
        </w:rPr>
        <w:t>四、投标文件的递交</w:t>
      </w:r>
      <w:bookmarkEnd w:id="192"/>
      <w:bookmarkEnd w:id="193"/>
      <w:bookmarkEnd w:id="194"/>
      <w:bookmarkEnd w:id="195"/>
      <w:bookmarkEnd w:id="196"/>
      <w:bookmarkEnd w:id="197"/>
      <w:bookmarkEnd w:id="198"/>
    </w:p>
    <w:p>
      <w:pPr>
        <w:pStyle w:val="5"/>
        <w:spacing w:before="0" w:after="0" w:line="360" w:lineRule="auto"/>
        <w:rPr>
          <w:rFonts w:hint="eastAsia" w:ascii="宋体" w:hAnsi="宋体"/>
          <w:sz w:val="21"/>
          <w:szCs w:val="21"/>
        </w:rPr>
      </w:pPr>
      <w:bookmarkStart w:id="199" w:name="_Toc29222778"/>
      <w:bookmarkStart w:id="200" w:name="_Toc478028229"/>
      <w:bookmarkStart w:id="201" w:name="_Toc520356160"/>
      <w:bookmarkStart w:id="202" w:name="_Toc468977720"/>
      <w:bookmarkStart w:id="203" w:name="_Toc29240275"/>
      <w:bookmarkStart w:id="204" w:name="_Toc468977635"/>
      <w:bookmarkStart w:id="205" w:name="_Toc468977549"/>
      <w:r>
        <w:rPr>
          <w:rFonts w:hint="eastAsia" w:ascii="宋体" w:hAnsi="宋体"/>
          <w:sz w:val="21"/>
          <w:szCs w:val="21"/>
        </w:rPr>
        <w:t>15.投标文件的密封和标记</w:t>
      </w:r>
      <w:bookmarkEnd w:id="199"/>
      <w:bookmarkEnd w:id="200"/>
      <w:bookmarkEnd w:id="201"/>
      <w:bookmarkEnd w:id="202"/>
      <w:bookmarkEnd w:id="203"/>
      <w:bookmarkEnd w:id="204"/>
      <w:bookmarkEnd w:id="205"/>
    </w:p>
    <w:p>
      <w:pPr>
        <w:tabs>
          <w:tab w:val="left" w:pos="0"/>
        </w:tabs>
        <w:spacing w:line="360" w:lineRule="auto"/>
        <w:ind w:left="420" w:hanging="420" w:hangingChars="200"/>
        <w:rPr>
          <w:rFonts w:hint="eastAsia" w:ascii="宋体" w:hAnsi="宋体"/>
          <w:szCs w:val="21"/>
        </w:rPr>
      </w:pPr>
      <w:r>
        <w:rPr>
          <w:rFonts w:hint="eastAsia" w:ascii="宋体" w:hAnsi="宋体"/>
          <w:szCs w:val="21"/>
        </w:rPr>
        <w:t>15.1投标时，投标人应将投标文件正本和副本分开单独密封，且在封皮正面标明“正本”或“副本”字样。</w:t>
      </w:r>
    </w:p>
    <w:p>
      <w:pPr>
        <w:tabs>
          <w:tab w:val="left" w:pos="0"/>
        </w:tabs>
        <w:spacing w:line="360" w:lineRule="auto"/>
        <w:ind w:left="420" w:hanging="420" w:hangingChars="200"/>
        <w:rPr>
          <w:rFonts w:hint="eastAsia" w:ascii="宋体" w:hAnsi="宋体"/>
          <w:szCs w:val="21"/>
        </w:rPr>
      </w:pPr>
      <w:r>
        <w:rPr>
          <w:rFonts w:hint="eastAsia" w:ascii="宋体" w:hAnsi="宋体"/>
          <w:szCs w:val="21"/>
        </w:rPr>
        <w:t>15.2为方便核查投标保证金，投标人应将“投标保证金（电汇底单复印件）</w:t>
      </w:r>
      <w:r>
        <w:rPr>
          <w:rFonts w:ascii="宋体" w:hAnsi="宋体"/>
          <w:szCs w:val="21"/>
        </w:rPr>
        <w:t>”</w:t>
      </w:r>
      <w:r>
        <w:rPr>
          <w:rFonts w:hint="eastAsia" w:ascii="宋体" w:hAnsi="宋体"/>
          <w:szCs w:val="21"/>
        </w:rPr>
        <w:t>粘贴在附件3投标保证金粘贴处。若递交支票、汇票，单独密封于一信封，并在信封上标明 “投标保证金”字样，在投标时单独递交。</w:t>
      </w:r>
    </w:p>
    <w:p>
      <w:pPr>
        <w:tabs>
          <w:tab w:val="left" w:pos="0"/>
        </w:tabs>
        <w:spacing w:line="360" w:lineRule="auto"/>
        <w:ind w:left="420" w:hanging="420" w:hangingChars="200"/>
        <w:rPr>
          <w:rFonts w:hint="eastAsia" w:ascii="宋体" w:hAnsi="宋体"/>
          <w:szCs w:val="21"/>
        </w:rPr>
      </w:pPr>
      <w:r>
        <w:rPr>
          <w:rFonts w:hint="eastAsia" w:ascii="宋体" w:hAnsi="宋体"/>
          <w:szCs w:val="21"/>
        </w:rPr>
        <w:t>15.3所有包装封皮和信封上均应：</w:t>
      </w:r>
    </w:p>
    <w:p>
      <w:pPr>
        <w:spacing w:line="360" w:lineRule="auto"/>
        <w:ind w:firstLine="420" w:firstLineChars="200"/>
        <w:rPr>
          <w:rFonts w:hint="eastAsia" w:ascii="宋体" w:hAnsi="宋体"/>
          <w:szCs w:val="21"/>
        </w:rPr>
      </w:pPr>
      <w:r>
        <w:rPr>
          <w:rFonts w:hint="eastAsia" w:ascii="宋体" w:hAnsi="宋体"/>
          <w:szCs w:val="21"/>
        </w:rPr>
        <w:t>（1）注明招标公告或投标邀请书中指明的产品名称、招标编号、投标人名称和“在（投标人须知前附表中规定开标时间）之前不得启封”的字样。</w:t>
      </w:r>
    </w:p>
    <w:p>
      <w:pPr>
        <w:spacing w:line="360" w:lineRule="auto"/>
        <w:ind w:firstLine="420" w:firstLineChars="200"/>
        <w:rPr>
          <w:rFonts w:hint="eastAsia" w:ascii="宋体" w:hAnsi="宋体"/>
          <w:szCs w:val="21"/>
        </w:rPr>
      </w:pPr>
      <w:r>
        <w:rPr>
          <w:rFonts w:hint="eastAsia" w:ascii="宋体" w:hAnsi="宋体"/>
          <w:szCs w:val="21"/>
        </w:rPr>
        <w:t>（2）在封装处加盖投标人公章，或由法定代表人（或其授权代表）签字。</w:t>
      </w:r>
    </w:p>
    <w:p>
      <w:pPr>
        <w:tabs>
          <w:tab w:val="left" w:pos="0"/>
        </w:tabs>
        <w:spacing w:line="360" w:lineRule="auto"/>
        <w:ind w:left="420" w:hanging="420" w:hangingChars="200"/>
        <w:rPr>
          <w:rFonts w:hint="eastAsia" w:ascii="宋体" w:hAnsi="宋体"/>
          <w:szCs w:val="21"/>
        </w:rPr>
      </w:pPr>
      <w:r>
        <w:rPr>
          <w:rFonts w:hint="eastAsia" w:ascii="宋体" w:hAnsi="宋体"/>
          <w:szCs w:val="21"/>
        </w:rPr>
        <w:t>15.4如果投标人未按上述要求密封及加写标记，招标人对投标文件过早启封概不负责，并可能导致其投标被拒绝。</w:t>
      </w:r>
    </w:p>
    <w:p>
      <w:pPr>
        <w:pStyle w:val="5"/>
        <w:spacing w:before="0" w:after="0" w:line="360" w:lineRule="auto"/>
        <w:rPr>
          <w:rFonts w:hint="eastAsia" w:ascii="宋体" w:hAnsi="宋体"/>
          <w:sz w:val="21"/>
          <w:szCs w:val="21"/>
        </w:rPr>
      </w:pPr>
      <w:bookmarkStart w:id="206" w:name="_Toc478028230"/>
      <w:bookmarkStart w:id="207" w:name="_Toc29222779"/>
      <w:bookmarkStart w:id="208" w:name="_Toc468977721"/>
      <w:bookmarkStart w:id="209" w:name="_Toc29240276"/>
      <w:bookmarkStart w:id="210" w:name="_Toc520356161"/>
      <w:bookmarkStart w:id="211" w:name="_Toc468977550"/>
      <w:bookmarkStart w:id="212" w:name="_Toc468977636"/>
      <w:r>
        <w:rPr>
          <w:rFonts w:hint="eastAsia" w:ascii="宋体" w:hAnsi="宋体"/>
          <w:sz w:val="21"/>
          <w:szCs w:val="21"/>
        </w:rPr>
        <w:t>16.投标截止期</w:t>
      </w:r>
      <w:bookmarkEnd w:id="206"/>
      <w:bookmarkEnd w:id="207"/>
      <w:bookmarkEnd w:id="208"/>
      <w:bookmarkEnd w:id="209"/>
      <w:bookmarkEnd w:id="210"/>
      <w:bookmarkEnd w:id="211"/>
      <w:bookmarkEnd w:id="212"/>
    </w:p>
    <w:p>
      <w:pPr>
        <w:tabs>
          <w:tab w:val="left" w:pos="0"/>
        </w:tabs>
        <w:spacing w:line="360" w:lineRule="auto"/>
        <w:ind w:left="420" w:hanging="420" w:hangingChars="200"/>
        <w:rPr>
          <w:rFonts w:hint="eastAsia" w:ascii="宋体" w:hAnsi="宋体"/>
          <w:szCs w:val="21"/>
        </w:rPr>
      </w:pPr>
      <w:r>
        <w:rPr>
          <w:rFonts w:hint="eastAsia" w:ascii="宋体" w:hAnsi="宋体"/>
          <w:szCs w:val="21"/>
        </w:rPr>
        <w:t>16.1投标人应在招标公告或投标邀请书中规定的截止日期和时间内，派人将投标文件递交招标人，递交地点应是招标公告或投标邀请书中规定的地址。</w:t>
      </w:r>
    </w:p>
    <w:p>
      <w:pPr>
        <w:tabs>
          <w:tab w:val="left" w:pos="0"/>
        </w:tabs>
        <w:spacing w:line="360" w:lineRule="auto"/>
        <w:ind w:left="420" w:hanging="420" w:hangingChars="200"/>
        <w:rPr>
          <w:rFonts w:hint="eastAsia" w:ascii="宋体" w:hAnsi="宋体"/>
          <w:szCs w:val="21"/>
        </w:rPr>
      </w:pPr>
      <w:r>
        <w:rPr>
          <w:rFonts w:hint="eastAsia" w:ascii="宋体" w:hAnsi="宋体"/>
          <w:szCs w:val="21"/>
        </w:rPr>
        <w:t>16.2招标人有权按本须知的规定，通过修改招标文件，延长投标截止期。在此情况下，招标人和投标人受投标截止期制约的所有权利和义务均应延长至新的截止期。</w:t>
      </w:r>
    </w:p>
    <w:p>
      <w:pPr>
        <w:tabs>
          <w:tab w:val="left" w:pos="0"/>
        </w:tabs>
        <w:spacing w:line="360" w:lineRule="auto"/>
        <w:ind w:left="420" w:hanging="420" w:hangingChars="200"/>
        <w:rPr>
          <w:rFonts w:hint="eastAsia" w:ascii="宋体" w:hAnsi="宋体"/>
          <w:szCs w:val="21"/>
        </w:rPr>
      </w:pPr>
      <w:r>
        <w:rPr>
          <w:rFonts w:hint="eastAsia" w:ascii="宋体" w:hAnsi="宋体"/>
          <w:szCs w:val="21"/>
        </w:rPr>
        <w:t>16.3招标人将拒绝并原封退回在投标截止期后送达的任何投标文件。</w:t>
      </w:r>
    </w:p>
    <w:p>
      <w:pPr>
        <w:pStyle w:val="5"/>
        <w:spacing w:before="0" w:after="0" w:line="360" w:lineRule="auto"/>
        <w:rPr>
          <w:rFonts w:hint="eastAsia" w:ascii="宋体" w:hAnsi="宋体"/>
          <w:sz w:val="21"/>
          <w:szCs w:val="21"/>
        </w:rPr>
      </w:pPr>
      <w:bookmarkStart w:id="213" w:name="_Toc29240277"/>
      <w:bookmarkStart w:id="214" w:name="_Toc468977637"/>
      <w:bookmarkStart w:id="215" w:name="_Toc29222780"/>
      <w:bookmarkStart w:id="216" w:name="_Toc468977551"/>
      <w:bookmarkStart w:id="217" w:name="_Toc468977722"/>
      <w:bookmarkStart w:id="218" w:name="_Toc520356162"/>
      <w:bookmarkStart w:id="219" w:name="_Toc478028231"/>
      <w:r>
        <w:rPr>
          <w:rFonts w:hint="eastAsia" w:ascii="宋体" w:hAnsi="宋体"/>
          <w:sz w:val="21"/>
          <w:szCs w:val="21"/>
        </w:rPr>
        <w:t>17.投标文件的修改与撤回</w:t>
      </w:r>
      <w:bookmarkEnd w:id="213"/>
      <w:bookmarkEnd w:id="214"/>
      <w:bookmarkEnd w:id="215"/>
      <w:bookmarkEnd w:id="216"/>
      <w:bookmarkEnd w:id="217"/>
      <w:bookmarkEnd w:id="218"/>
      <w:bookmarkEnd w:id="219"/>
    </w:p>
    <w:p>
      <w:pPr>
        <w:tabs>
          <w:tab w:val="left" w:pos="0"/>
        </w:tabs>
        <w:spacing w:line="360" w:lineRule="auto"/>
        <w:ind w:left="420" w:hanging="420" w:hangingChars="200"/>
        <w:rPr>
          <w:rFonts w:hint="eastAsia" w:ascii="宋体" w:hAnsi="宋体"/>
          <w:szCs w:val="21"/>
        </w:rPr>
      </w:pPr>
      <w:r>
        <w:rPr>
          <w:rFonts w:hint="eastAsia" w:ascii="宋体" w:hAnsi="宋体"/>
          <w:szCs w:val="21"/>
        </w:rPr>
        <w:t>17.1投标以后，如果投标人提出书面修改或撤标要求，在投标截止时间前送达开标地点，招标人将予以接受，并视为投标文件的组成部分。</w:t>
      </w:r>
    </w:p>
    <w:p>
      <w:pPr>
        <w:tabs>
          <w:tab w:val="left" w:pos="0"/>
        </w:tabs>
        <w:spacing w:line="360" w:lineRule="auto"/>
        <w:ind w:left="420" w:hanging="420" w:hangingChars="200"/>
        <w:rPr>
          <w:rFonts w:hint="eastAsia" w:ascii="宋体" w:hAnsi="宋体"/>
          <w:szCs w:val="21"/>
        </w:rPr>
      </w:pPr>
      <w:r>
        <w:rPr>
          <w:rFonts w:hint="eastAsia" w:ascii="宋体" w:hAnsi="宋体"/>
          <w:szCs w:val="21"/>
        </w:rPr>
        <w:t>17.2投标人对投标文件的修改或撤回通知应按本须知第15条规定编制、密封、标记和发送。</w:t>
      </w:r>
    </w:p>
    <w:p>
      <w:pPr>
        <w:tabs>
          <w:tab w:val="left" w:pos="0"/>
        </w:tabs>
        <w:spacing w:line="360" w:lineRule="auto"/>
        <w:ind w:left="420" w:hanging="420" w:hangingChars="200"/>
        <w:rPr>
          <w:rFonts w:hint="eastAsia" w:ascii="宋体" w:hAnsi="宋体"/>
          <w:szCs w:val="21"/>
        </w:rPr>
      </w:pPr>
      <w:r>
        <w:rPr>
          <w:rFonts w:hint="eastAsia" w:ascii="宋体" w:hAnsi="宋体"/>
          <w:szCs w:val="21"/>
        </w:rPr>
        <w:t>17.3在投标截止期之后，投标人不得对其投标文件做任何修改，招标人对所接收投标文件概不退回。</w:t>
      </w:r>
    </w:p>
    <w:p>
      <w:pPr>
        <w:tabs>
          <w:tab w:val="left" w:pos="0"/>
        </w:tabs>
        <w:spacing w:line="360" w:lineRule="auto"/>
        <w:ind w:left="420" w:hanging="420" w:hangingChars="200"/>
        <w:rPr>
          <w:rFonts w:hint="eastAsia" w:ascii="宋体" w:hAnsi="宋体"/>
          <w:szCs w:val="21"/>
        </w:rPr>
      </w:pPr>
      <w:r>
        <w:rPr>
          <w:rFonts w:hint="eastAsia" w:ascii="宋体" w:hAnsi="宋体"/>
          <w:szCs w:val="21"/>
        </w:rPr>
        <w:t>17.4从投标截止期至投标人在投标书中承诺的投标有效期之间，投标人不得撤回其投标，否则其投标保证金将按照本须知第12条规定予以没收。</w:t>
      </w:r>
    </w:p>
    <w:p>
      <w:pPr>
        <w:spacing w:before="120" w:beforeLines="50" w:after="120" w:afterLines="50" w:line="360" w:lineRule="auto"/>
        <w:jc w:val="center"/>
        <w:outlineLvl w:val="1"/>
        <w:rPr>
          <w:b/>
          <w:bCs/>
          <w:szCs w:val="21"/>
        </w:rPr>
      </w:pPr>
      <w:bookmarkStart w:id="220" w:name="_Toc77628945"/>
      <w:bookmarkStart w:id="221" w:name="_Toc520356163"/>
      <w:bookmarkStart w:id="222" w:name="_Toc77628611"/>
      <w:bookmarkStart w:id="223" w:name="_Toc29240278"/>
      <w:bookmarkStart w:id="224" w:name="_Toc216582809"/>
      <w:bookmarkStart w:id="225" w:name="_Toc77629025"/>
      <w:bookmarkStart w:id="226" w:name="_Toc17414"/>
      <w:r>
        <w:rPr>
          <w:rFonts w:hint="eastAsia"/>
          <w:b/>
          <w:bCs/>
          <w:szCs w:val="21"/>
        </w:rPr>
        <w:t>五、开标及评标</w:t>
      </w:r>
      <w:bookmarkEnd w:id="220"/>
      <w:bookmarkEnd w:id="221"/>
      <w:bookmarkEnd w:id="222"/>
      <w:bookmarkEnd w:id="223"/>
      <w:bookmarkEnd w:id="224"/>
      <w:bookmarkEnd w:id="225"/>
      <w:bookmarkEnd w:id="226"/>
    </w:p>
    <w:p>
      <w:pPr>
        <w:pStyle w:val="5"/>
        <w:spacing w:before="0" w:after="0" w:line="360" w:lineRule="auto"/>
        <w:rPr>
          <w:rFonts w:hint="eastAsia" w:ascii="宋体" w:hAnsi="宋体"/>
          <w:sz w:val="21"/>
          <w:szCs w:val="21"/>
        </w:rPr>
      </w:pPr>
      <w:bookmarkStart w:id="227" w:name="_Toc468977639"/>
      <w:bookmarkStart w:id="228" w:name="_Toc520356164"/>
      <w:bookmarkStart w:id="229" w:name="_Toc29222782"/>
      <w:bookmarkStart w:id="230" w:name="_Toc468977553"/>
      <w:bookmarkStart w:id="231" w:name="_Toc29240279"/>
      <w:bookmarkStart w:id="232" w:name="_Toc478028233"/>
      <w:bookmarkStart w:id="233" w:name="_Toc468977724"/>
      <w:r>
        <w:rPr>
          <w:rFonts w:hint="eastAsia" w:ascii="宋体" w:hAnsi="宋体"/>
          <w:sz w:val="21"/>
          <w:szCs w:val="21"/>
        </w:rPr>
        <w:t>18.开标</w:t>
      </w:r>
      <w:bookmarkEnd w:id="227"/>
      <w:bookmarkEnd w:id="228"/>
      <w:bookmarkEnd w:id="229"/>
      <w:bookmarkEnd w:id="230"/>
      <w:bookmarkEnd w:id="231"/>
      <w:bookmarkEnd w:id="232"/>
      <w:bookmarkEnd w:id="233"/>
    </w:p>
    <w:p>
      <w:pPr>
        <w:tabs>
          <w:tab w:val="left" w:pos="0"/>
        </w:tabs>
        <w:spacing w:line="360" w:lineRule="auto"/>
        <w:ind w:left="420" w:hanging="420" w:hangingChars="200"/>
        <w:rPr>
          <w:rFonts w:hint="eastAsia" w:ascii="宋体" w:hAnsi="宋体"/>
          <w:szCs w:val="21"/>
        </w:rPr>
      </w:pPr>
      <w:r>
        <w:rPr>
          <w:rFonts w:hint="eastAsia" w:ascii="宋体" w:hAnsi="宋体"/>
          <w:szCs w:val="21"/>
        </w:rPr>
        <w:t>18.1将按通知的开标时间和地点组织开标，所有投标人代表均有权参加。</w:t>
      </w:r>
    </w:p>
    <w:p>
      <w:pPr>
        <w:tabs>
          <w:tab w:val="left" w:pos="0"/>
        </w:tabs>
        <w:spacing w:line="360" w:lineRule="auto"/>
        <w:ind w:left="420" w:hanging="420" w:hangingChars="200"/>
        <w:rPr>
          <w:rFonts w:hint="eastAsia" w:ascii="宋体" w:hAnsi="宋体"/>
          <w:szCs w:val="21"/>
        </w:rPr>
      </w:pPr>
      <w:r>
        <w:rPr>
          <w:rFonts w:hint="eastAsia" w:ascii="宋体" w:hAnsi="宋体"/>
          <w:szCs w:val="21"/>
        </w:rPr>
        <w:t>18.2开标时，由投标人或其推选的代表，以及公证人员（如有）检查投标文件的密封情况，经记录后，由招标人当众拆封、宣读投标人名称、投标价格、价格折扣、是否提交了投标保证金、招标文件允许提供的备选方案等内容。对于投标人在投标截止期前递交的投标声明，在开标时当众宣读，评标时有效。</w:t>
      </w:r>
    </w:p>
    <w:p>
      <w:pPr>
        <w:tabs>
          <w:tab w:val="left" w:pos="0"/>
        </w:tabs>
        <w:spacing w:line="360" w:lineRule="auto"/>
        <w:ind w:left="420" w:leftChars="200"/>
        <w:rPr>
          <w:rFonts w:hint="eastAsia" w:ascii="宋体" w:hAnsi="宋体"/>
          <w:szCs w:val="21"/>
        </w:rPr>
      </w:pPr>
      <w:r>
        <w:rPr>
          <w:rFonts w:hint="eastAsia" w:ascii="宋体" w:hAnsi="宋体"/>
          <w:szCs w:val="21"/>
        </w:rPr>
        <w:t>未宣读的投标价格、价格折扣、备选方案等实质内容，评标时不予承认。</w:t>
      </w:r>
    </w:p>
    <w:p>
      <w:pPr>
        <w:tabs>
          <w:tab w:val="left" w:pos="0"/>
        </w:tabs>
        <w:spacing w:line="360" w:lineRule="auto"/>
        <w:ind w:left="420" w:hanging="420" w:hangingChars="200"/>
        <w:rPr>
          <w:rFonts w:hint="eastAsia" w:ascii="宋体" w:hAnsi="宋体"/>
          <w:szCs w:val="21"/>
        </w:rPr>
      </w:pPr>
      <w:r>
        <w:rPr>
          <w:rFonts w:hint="eastAsia" w:ascii="宋体" w:hAnsi="宋体"/>
          <w:szCs w:val="21"/>
        </w:rPr>
        <w:t>18.3除了按照本须知的规定原封退回迟到的投标文件之外，开标时将不得拒绝任何投标。</w:t>
      </w:r>
    </w:p>
    <w:p>
      <w:pPr>
        <w:tabs>
          <w:tab w:val="left" w:pos="0"/>
        </w:tabs>
        <w:spacing w:line="360" w:lineRule="auto"/>
        <w:ind w:left="420" w:hanging="420" w:hangingChars="200"/>
        <w:rPr>
          <w:rFonts w:hint="eastAsia" w:ascii="宋体" w:hAnsi="宋体"/>
          <w:szCs w:val="21"/>
        </w:rPr>
      </w:pPr>
      <w:r>
        <w:rPr>
          <w:rFonts w:hint="eastAsia" w:ascii="宋体" w:hAnsi="宋体"/>
          <w:szCs w:val="21"/>
        </w:rPr>
        <w:t>18.4招标代理将对开标</w:t>
      </w:r>
      <w:r>
        <w:rPr>
          <w:rFonts w:ascii="宋体" w:hAnsi="宋体"/>
          <w:szCs w:val="21"/>
        </w:rPr>
        <w:t>过程</w:t>
      </w:r>
      <w:r>
        <w:rPr>
          <w:rFonts w:hint="eastAsia" w:ascii="宋体" w:hAnsi="宋体"/>
          <w:szCs w:val="21"/>
        </w:rPr>
        <w:t>进行记录</w:t>
      </w:r>
      <w:bookmarkStart w:id="234" w:name="_Toc520356165"/>
      <w:r>
        <w:rPr>
          <w:rFonts w:hint="eastAsia" w:ascii="宋体" w:hAnsi="宋体"/>
          <w:szCs w:val="21"/>
        </w:rPr>
        <w:t>，并存档备查。</w:t>
      </w:r>
    </w:p>
    <w:p>
      <w:pPr>
        <w:pStyle w:val="5"/>
        <w:spacing w:before="0" w:after="0" w:line="360" w:lineRule="auto"/>
        <w:rPr>
          <w:rFonts w:hint="eastAsia" w:ascii="宋体" w:hAnsi="宋体"/>
          <w:sz w:val="21"/>
          <w:szCs w:val="21"/>
        </w:rPr>
      </w:pPr>
      <w:bookmarkStart w:id="235" w:name="_Toc29240280"/>
      <w:bookmarkStart w:id="236" w:name="_Toc478028234"/>
      <w:bookmarkStart w:id="237" w:name="_Toc468977554"/>
      <w:bookmarkStart w:id="238" w:name="_Toc29222783"/>
      <w:bookmarkStart w:id="239" w:name="_Toc468977725"/>
      <w:bookmarkStart w:id="240" w:name="_Toc468977640"/>
      <w:r>
        <w:rPr>
          <w:rFonts w:hint="eastAsia" w:ascii="宋体" w:hAnsi="宋体"/>
          <w:sz w:val="21"/>
          <w:szCs w:val="21"/>
        </w:rPr>
        <w:t>19.</w:t>
      </w:r>
      <w:bookmarkEnd w:id="234"/>
      <w:r>
        <w:rPr>
          <w:rFonts w:hint="eastAsia" w:ascii="宋体" w:hAnsi="宋体"/>
          <w:sz w:val="21"/>
          <w:szCs w:val="21"/>
        </w:rPr>
        <w:t>组建评标委员会</w:t>
      </w:r>
      <w:bookmarkEnd w:id="235"/>
      <w:bookmarkEnd w:id="236"/>
      <w:bookmarkEnd w:id="237"/>
      <w:bookmarkEnd w:id="238"/>
      <w:bookmarkEnd w:id="239"/>
      <w:bookmarkEnd w:id="240"/>
    </w:p>
    <w:p>
      <w:pPr>
        <w:tabs>
          <w:tab w:val="left" w:pos="0"/>
        </w:tabs>
        <w:spacing w:line="360" w:lineRule="auto"/>
        <w:ind w:firstLine="420" w:firstLineChars="200"/>
        <w:rPr>
          <w:rFonts w:hint="eastAsia" w:ascii="宋体" w:hAnsi="宋体"/>
          <w:szCs w:val="21"/>
        </w:rPr>
      </w:pPr>
      <w:r>
        <w:rPr>
          <w:rFonts w:hint="eastAsia" w:ascii="宋体" w:hAnsi="宋体"/>
          <w:szCs w:val="21"/>
        </w:rPr>
        <w:t>评标委员会根据招标采购产品的特点，按照公司招议标管理规定的有关要求组建，并负责评标工作。</w:t>
      </w:r>
      <w:bookmarkStart w:id="241" w:name="_Toc520356166"/>
    </w:p>
    <w:p>
      <w:pPr>
        <w:pStyle w:val="5"/>
        <w:spacing w:before="0" w:after="0" w:line="360" w:lineRule="auto"/>
        <w:rPr>
          <w:rFonts w:hint="eastAsia" w:ascii="宋体" w:hAnsi="宋体"/>
          <w:b w:val="0"/>
          <w:bCs w:val="0"/>
          <w:sz w:val="21"/>
          <w:szCs w:val="21"/>
          <w:bdr w:val="single" w:color="auto" w:sz="4" w:space="0"/>
        </w:rPr>
      </w:pPr>
      <w:bookmarkStart w:id="242" w:name="_Toc468977641"/>
      <w:bookmarkStart w:id="243" w:name="_Toc478028235"/>
      <w:bookmarkStart w:id="244" w:name="_Toc468977726"/>
      <w:bookmarkStart w:id="245" w:name="_Toc29222784"/>
      <w:bookmarkStart w:id="246" w:name="_Toc468977555"/>
      <w:bookmarkStart w:id="247" w:name="_Toc29240281"/>
      <w:r>
        <w:rPr>
          <w:rFonts w:hint="eastAsia" w:ascii="宋体" w:hAnsi="宋体"/>
          <w:sz w:val="21"/>
          <w:szCs w:val="21"/>
        </w:rPr>
        <w:t>20.投标文件的初审</w:t>
      </w:r>
      <w:bookmarkEnd w:id="241"/>
      <w:r>
        <w:rPr>
          <w:rFonts w:hint="eastAsia" w:ascii="宋体" w:hAnsi="宋体"/>
          <w:sz w:val="21"/>
          <w:szCs w:val="21"/>
        </w:rPr>
        <w:t>与澄清</w:t>
      </w:r>
      <w:bookmarkEnd w:id="242"/>
      <w:bookmarkEnd w:id="243"/>
      <w:bookmarkEnd w:id="244"/>
      <w:bookmarkEnd w:id="245"/>
      <w:bookmarkEnd w:id="246"/>
      <w:bookmarkEnd w:id="247"/>
    </w:p>
    <w:p>
      <w:pPr>
        <w:tabs>
          <w:tab w:val="left" w:pos="0"/>
        </w:tabs>
        <w:spacing w:line="360" w:lineRule="auto"/>
        <w:ind w:left="420" w:hanging="420" w:hangingChars="200"/>
        <w:rPr>
          <w:rFonts w:hint="eastAsia" w:ascii="宋体" w:hAnsi="宋体"/>
          <w:szCs w:val="21"/>
        </w:rPr>
      </w:pPr>
      <w:r>
        <w:rPr>
          <w:rFonts w:hint="eastAsia" w:ascii="宋体" w:hAnsi="宋体"/>
          <w:szCs w:val="21"/>
        </w:rPr>
        <w:t>20.1投标文件的初审分为资格性检查和符合性检查。</w:t>
      </w:r>
    </w:p>
    <w:p>
      <w:pPr>
        <w:spacing w:line="360" w:lineRule="auto"/>
        <w:ind w:left="1050" w:leftChars="200" w:hanging="630" w:hangingChars="300"/>
        <w:rPr>
          <w:rFonts w:hint="eastAsia" w:ascii="宋体" w:hAnsi="宋体"/>
          <w:szCs w:val="21"/>
        </w:rPr>
      </w:pPr>
      <w:r>
        <w:rPr>
          <w:rFonts w:hint="eastAsia" w:ascii="宋体" w:hAnsi="宋体"/>
          <w:szCs w:val="21"/>
        </w:rPr>
        <w:t>20.1.1资格性检查：指依据法律法规和招标文件的规定，对投标文件中的资格证明、投标保证金等进行审查，以确定投标人是否具备投标资格。</w:t>
      </w:r>
    </w:p>
    <w:p>
      <w:pPr>
        <w:spacing w:line="360" w:lineRule="auto"/>
        <w:ind w:left="1050" w:leftChars="200" w:hanging="630" w:hangingChars="300"/>
        <w:rPr>
          <w:rFonts w:hint="eastAsia" w:ascii="宋体" w:hAnsi="宋体"/>
          <w:szCs w:val="21"/>
        </w:rPr>
      </w:pPr>
      <w:r>
        <w:rPr>
          <w:rFonts w:hint="eastAsia" w:ascii="宋体" w:hAnsi="宋体"/>
          <w:szCs w:val="21"/>
        </w:rPr>
        <w:t>20.1.2符合性检查： 依据招标文件的规定，从投标文件的有效性、完整性和对招标文件的响应程度进行审查，以确定是否对招标文件的实质性要求做出响应。</w:t>
      </w:r>
      <w:bookmarkStart w:id="248" w:name="_Hlt522424701"/>
      <w:bookmarkEnd w:id="248"/>
      <w:bookmarkStart w:id="249" w:name="_Toc520356167"/>
    </w:p>
    <w:p>
      <w:pPr>
        <w:tabs>
          <w:tab w:val="left" w:pos="0"/>
        </w:tabs>
        <w:spacing w:line="360" w:lineRule="auto"/>
        <w:ind w:left="420" w:hanging="420" w:hangingChars="200"/>
        <w:rPr>
          <w:rFonts w:hint="eastAsia" w:ascii="宋体" w:hAnsi="宋体"/>
          <w:szCs w:val="21"/>
        </w:rPr>
      </w:pPr>
      <w:r>
        <w:rPr>
          <w:rFonts w:hint="eastAsia" w:ascii="宋体" w:hAnsi="宋体"/>
          <w:szCs w:val="21"/>
        </w:rPr>
        <w:t>20.2投标文件的澄清</w:t>
      </w:r>
    </w:p>
    <w:p>
      <w:pPr>
        <w:spacing w:line="360" w:lineRule="auto"/>
        <w:ind w:left="1050" w:leftChars="200" w:hanging="630" w:hangingChars="300"/>
        <w:rPr>
          <w:rFonts w:hint="eastAsia" w:ascii="宋体" w:hAnsi="宋体"/>
          <w:szCs w:val="21"/>
        </w:rPr>
      </w:pPr>
      <w:r>
        <w:rPr>
          <w:rFonts w:hint="eastAsia" w:ascii="宋体" w:hAnsi="宋体"/>
          <w:szCs w:val="21"/>
        </w:rPr>
        <w:t>20.2.1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rPr>
      </w:pPr>
      <w:r>
        <w:rPr>
          <w:rFonts w:hint="eastAsia" w:ascii="宋体" w:hAnsi="宋体"/>
          <w:szCs w:val="21"/>
        </w:rPr>
        <w:t>20.2.2澄清文件将作为投标文件的一部分。</w:t>
      </w:r>
    </w:p>
    <w:p>
      <w:pPr>
        <w:spacing w:line="360" w:lineRule="auto"/>
        <w:ind w:left="1050" w:leftChars="200" w:hanging="630" w:hangingChars="300"/>
        <w:rPr>
          <w:rFonts w:hint="eastAsia" w:ascii="宋体" w:hAnsi="宋体"/>
          <w:szCs w:val="21"/>
        </w:rPr>
      </w:pPr>
      <w:r>
        <w:rPr>
          <w:rFonts w:hint="eastAsia" w:ascii="宋体" w:hAnsi="宋体"/>
          <w:szCs w:val="21"/>
        </w:rPr>
        <w:t>20.2.3算术错误及文字歧义将按以下方法更正：投标文件中“开标一览表”（报价表）内容与投标文件中明细表内容不一致的，以“开标一览表” （报价表）为准。投标文件同一部分</w:t>
      </w:r>
      <w:r>
        <w:rPr>
          <w:rFonts w:ascii="宋体" w:hAnsi="宋体"/>
          <w:szCs w:val="21"/>
        </w:rPr>
        <w:t>中，</w:t>
      </w:r>
      <w:r>
        <w:rPr>
          <w:rFonts w:hint="eastAsia" w:ascii="宋体" w:hAnsi="宋体"/>
          <w:szCs w:val="21"/>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1050" w:leftChars="200" w:hanging="630" w:hangingChars="300"/>
        <w:rPr>
          <w:rFonts w:hint="eastAsia" w:ascii="宋体" w:hAnsi="宋体"/>
          <w:szCs w:val="21"/>
        </w:rPr>
      </w:pPr>
      <w:r>
        <w:rPr>
          <w:rFonts w:hint="eastAsia" w:ascii="宋体" w:hAnsi="宋体"/>
          <w:szCs w:val="21"/>
        </w:rPr>
        <w:t>20.2.4如果投标人不接受对其错误和歧义的更改，其投标将作为无效投标被拒绝。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20.3如一个包内只有一种设备或服务，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pStyle w:val="5"/>
        <w:spacing w:before="0" w:after="0" w:line="360" w:lineRule="auto"/>
        <w:rPr>
          <w:rFonts w:hint="eastAsia" w:ascii="宋体" w:hAnsi="宋体"/>
          <w:sz w:val="21"/>
          <w:szCs w:val="21"/>
        </w:rPr>
      </w:pPr>
      <w:bookmarkStart w:id="250" w:name="_Toc468977642"/>
      <w:bookmarkStart w:id="251" w:name="_Toc468977727"/>
      <w:bookmarkStart w:id="252" w:name="_Toc29222785"/>
      <w:bookmarkStart w:id="253" w:name="_Toc478028236"/>
      <w:bookmarkStart w:id="254" w:name="_Toc29240282"/>
      <w:bookmarkStart w:id="255" w:name="_Toc468977556"/>
      <w:r>
        <w:rPr>
          <w:rFonts w:hint="eastAsia" w:ascii="宋体" w:hAnsi="宋体"/>
          <w:sz w:val="21"/>
          <w:szCs w:val="21"/>
        </w:rPr>
        <w:t>21.投标偏离与无效投标</w:t>
      </w:r>
      <w:bookmarkEnd w:id="250"/>
      <w:bookmarkEnd w:id="251"/>
      <w:bookmarkEnd w:id="252"/>
      <w:bookmarkEnd w:id="253"/>
      <w:bookmarkEnd w:id="254"/>
      <w:bookmarkEnd w:id="255"/>
    </w:p>
    <w:p>
      <w:pPr>
        <w:tabs>
          <w:tab w:val="left" w:pos="0"/>
        </w:tabs>
        <w:spacing w:line="360" w:lineRule="auto"/>
        <w:ind w:left="420" w:hanging="420" w:hangingChars="200"/>
        <w:rPr>
          <w:rFonts w:hint="eastAsia" w:ascii="宋体" w:hAnsi="宋体"/>
          <w:szCs w:val="21"/>
        </w:rPr>
      </w:pPr>
      <w:r>
        <w:rPr>
          <w:rFonts w:hint="eastAsia" w:ascii="宋体" w:hAnsi="宋体"/>
          <w:szCs w:val="21"/>
        </w:rPr>
        <w:t>21.1对于投标文件中不构成实质性偏差的不正规、不一致或不规则，评标委员会可以接受，但这种接受不能损坏或影响任何投标人的相对排序。</w:t>
      </w:r>
    </w:p>
    <w:p>
      <w:pPr>
        <w:tabs>
          <w:tab w:val="left" w:pos="0"/>
        </w:tabs>
        <w:spacing w:line="360" w:lineRule="auto"/>
        <w:ind w:left="420" w:hanging="420" w:hangingChars="200"/>
        <w:rPr>
          <w:rFonts w:hint="eastAsia" w:ascii="宋体" w:hAnsi="宋体"/>
          <w:szCs w:val="21"/>
        </w:rPr>
      </w:pPr>
      <w:r>
        <w:rPr>
          <w:rFonts w:hint="eastAsia" w:ascii="宋体" w:hAnsi="宋体"/>
          <w:szCs w:val="21"/>
        </w:rPr>
        <w:t>21.2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tabs>
          <w:tab w:val="left" w:pos="0"/>
        </w:tabs>
        <w:spacing w:line="360" w:lineRule="auto"/>
        <w:ind w:left="420" w:hanging="420" w:hangingChars="200"/>
        <w:rPr>
          <w:rFonts w:hint="eastAsia" w:ascii="宋体" w:hAnsi="宋体"/>
          <w:szCs w:val="21"/>
        </w:rPr>
      </w:pPr>
      <w:r>
        <w:rPr>
          <w:rFonts w:hint="eastAsia" w:ascii="宋体" w:hAnsi="宋体"/>
          <w:szCs w:val="21"/>
        </w:rPr>
        <w:t>21.3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未按招标文件规定的形式和数量交纳投标保证金的；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未按照招标文件规定要求密封、签署、盖章的；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未按照招标文件要求提供资格文件或资格证明文件无效或不符合招标文件要求的；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 xml:space="preserve">不具备招标文件中规定投标人资格要求的； </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不满足招标文件中商务部分标注“*”号条款的；以及招标文件所列无效投标、必须满足项不满足等情形的；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不符合法规和招标文件中规定的其他实质性要求的。</w:t>
      </w:r>
    </w:p>
    <w:p>
      <w:pPr>
        <w:pStyle w:val="5"/>
        <w:spacing w:before="0" w:after="0" w:line="360" w:lineRule="auto"/>
        <w:rPr>
          <w:rFonts w:hint="eastAsia" w:ascii="宋体" w:hAnsi="宋体"/>
          <w:sz w:val="21"/>
          <w:szCs w:val="21"/>
        </w:rPr>
      </w:pPr>
      <w:bookmarkStart w:id="256" w:name="_Toc29222786"/>
      <w:bookmarkStart w:id="257" w:name="_Toc29240283"/>
      <w:bookmarkStart w:id="258" w:name="_Toc468977728"/>
      <w:bookmarkStart w:id="259" w:name="_Toc468977643"/>
      <w:bookmarkStart w:id="260" w:name="_Toc468977557"/>
      <w:bookmarkStart w:id="261" w:name="_Toc478028237"/>
      <w:r>
        <w:rPr>
          <w:rFonts w:hint="eastAsia" w:ascii="宋体" w:hAnsi="宋体"/>
          <w:sz w:val="21"/>
          <w:szCs w:val="21"/>
        </w:rPr>
        <w:t>22.</w:t>
      </w:r>
      <w:bookmarkEnd w:id="249"/>
      <w:r>
        <w:rPr>
          <w:rFonts w:hint="eastAsia" w:ascii="宋体" w:hAnsi="宋体"/>
          <w:sz w:val="21"/>
          <w:szCs w:val="21"/>
        </w:rPr>
        <w:t>比较与评价</w:t>
      </w:r>
      <w:bookmarkEnd w:id="256"/>
      <w:bookmarkEnd w:id="257"/>
      <w:bookmarkEnd w:id="258"/>
      <w:bookmarkEnd w:id="259"/>
      <w:bookmarkEnd w:id="260"/>
      <w:bookmarkEnd w:id="261"/>
    </w:p>
    <w:p>
      <w:pPr>
        <w:spacing w:line="360" w:lineRule="auto"/>
        <w:ind w:left="420" w:hanging="420" w:hangingChars="200"/>
        <w:rPr>
          <w:rFonts w:hint="eastAsia" w:ascii="宋体" w:hAnsi="宋体"/>
          <w:szCs w:val="21"/>
        </w:rPr>
      </w:pPr>
      <w:r>
        <w:rPr>
          <w:rFonts w:hint="eastAsia" w:ascii="宋体" w:hAnsi="宋体"/>
          <w:szCs w:val="21"/>
        </w:rPr>
        <w:t>22.1经初审合格的投标文件，评标委员会将根据招标文件确定的评标方法和标准，对其技术部分和商务部分作进一步的比较和评价。</w:t>
      </w:r>
    </w:p>
    <w:p>
      <w:pPr>
        <w:spacing w:line="360" w:lineRule="auto"/>
        <w:ind w:left="420" w:hanging="420" w:hangingChars="200"/>
        <w:rPr>
          <w:rFonts w:hint="eastAsia" w:ascii="宋体" w:hAnsi="宋体"/>
          <w:szCs w:val="21"/>
        </w:rPr>
      </w:pPr>
      <w:r>
        <w:rPr>
          <w:rFonts w:hint="eastAsia" w:ascii="宋体" w:hAnsi="宋体"/>
          <w:szCs w:val="21"/>
        </w:rPr>
        <w:t>22.2评标严格按照招标文件的要求和条件进行。根据实际情况，在</w:t>
      </w:r>
      <w:r>
        <w:rPr>
          <w:rFonts w:hint="eastAsia" w:ascii="宋体" w:hAnsi="宋体"/>
          <w:szCs w:val="21"/>
          <w:u w:val="single"/>
        </w:rPr>
        <w:t>投标人须知前附表</w:t>
      </w:r>
      <w:r>
        <w:rPr>
          <w:rFonts w:hint="eastAsia" w:ascii="宋体" w:hAnsi="宋体"/>
          <w:szCs w:val="21"/>
        </w:rPr>
        <w:t>中规定采用下列一种评标方法，详细评标标准见招标文件第五章：</w:t>
      </w:r>
    </w:p>
    <w:p>
      <w:pPr>
        <w:pStyle w:val="20"/>
        <w:spacing w:line="360" w:lineRule="auto"/>
        <w:ind w:firstLine="420" w:firstLineChars="200"/>
        <w:rPr>
          <w:rFonts w:hint="eastAsia" w:hAnsi="宋体"/>
          <w:szCs w:val="21"/>
        </w:rPr>
      </w:pPr>
      <w:r>
        <w:rPr>
          <w:rFonts w:hint="eastAsia" w:hAnsi="宋体"/>
          <w:szCs w:val="21"/>
        </w:rPr>
        <w:t>（1）最低评标价法。是指</w:t>
      </w:r>
      <w:r>
        <w:rPr>
          <w:rFonts w:hAnsi="宋体"/>
          <w:szCs w:val="21"/>
        </w:rPr>
        <w:t>投标文件满足招标文件全部实质性要求且投标报价最低的投标人为中标</w:t>
      </w:r>
      <w:r>
        <w:rPr>
          <w:rFonts w:hint="eastAsia" w:hAnsi="宋体"/>
          <w:szCs w:val="21"/>
        </w:rPr>
        <w:t>候选</w:t>
      </w:r>
      <w:r>
        <w:rPr>
          <w:rFonts w:hAnsi="宋体"/>
          <w:szCs w:val="21"/>
        </w:rPr>
        <w:t>人的评标方法</w:t>
      </w:r>
      <w:r>
        <w:rPr>
          <w:rFonts w:hint="eastAsia" w:hAnsi="宋体"/>
          <w:szCs w:val="21"/>
        </w:rPr>
        <w:t>。</w:t>
      </w:r>
    </w:p>
    <w:p>
      <w:pPr>
        <w:pStyle w:val="20"/>
        <w:spacing w:line="360" w:lineRule="auto"/>
        <w:ind w:firstLine="420" w:firstLineChars="200"/>
        <w:rPr>
          <w:rFonts w:hint="eastAsia" w:hAnsi="宋体"/>
          <w:szCs w:val="21"/>
        </w:rPr>
      </w:pPr>
      <w:r>
        <w:rPr>
          <w:rFonts w:hint="eastAsia" w:hAnsi="宋体"/>
          <w:szCs w:val="21"/>
        </w:rPr>
        <w:t>（2）综合评分法。是</w:t>
      </w:r>
      <w:r>
        <w:rPr>
          <w:rFonts w:hAnsi="宋体"/>
          <w:szCs w:val="21"/>
        </w:rPr>
        <w:t>指投标文件满足招标</w:t>
      </w:r>
      <w:r>
        <w:rPr>
          <w:rFonts w:hint="eastAsia" w:hAnsi="宋体"/>
          <w:szCs w:val="21"/>
        </w:rPr>
        <w:t>文件</w:t>
      </w:r>
      <w:r>
        <w:rPr>
          <w:rFonts w:hAnsi="宋体"/>
          <w:szCs w:val="21"/>
        </w:rPr>
        <w:t>全部实质性要求且按照评审因素的</w:t>
      </w:r>
      <w:r>
        <w:rPr>
          <w:rFonts w:hint="eastAsia" w:hAnsi="宋体"/>
          <w:szCs w:val="21"/>
        </w:rPr>
        <w:t>量化</w:t>
      </w:r>
      <w:r>
        <w:rPr>
          <w:rFonts w:hAnsi="宋体"/>
          <w:szCs w:val="21"/>
        </w:rPr>
        <w:t>指标评审得分最高的投标人为中标候选人的评标方法。</w:t>
      </w:r>
    </w:p>
    <w:p>
      <w:pPr>
        <w:pStyle w:val="20"/>
        <w:spacing w:line="360" w:lineRule="auto"/>
        <w:ind w:left="420" w:hanging="420" w:hangingChars="200"/>
        <w:rPr>
          <w:rFonts w:hint="eastAsia" w:hAnsi="宋体"/>
          <w:szCs w:val="21"/>
        </w:rPr>
      </w:pPr>
      <w:r>
        <w:rPr>
          <w:rFonts w:hint="eastAsia" w:hAnsi="宋体"/>
          <w:szCs w:val="21"/>
        </w:rPr>
        <w:t>22.3备选方案的评审。如</w:t>
      </w:r>
      <w:r>
        <w:rPr>
          <w:rFonts w:hint="eastAsia" w:hAnsi="宋体"/>
          <w:szCs w:val="21"/>
          <w:u w:val="single"/>
        </w:rPr>
        <w:t>投标人须知前附表</w:t>
      </w:r>
      <w:r>
        <w:rPr>
          <w:rFonts w:hint="eastAsia" w:hAnsi="宋体"/>
          <w:szCs w:val="21"/>
        </w:rPr>
        <w:t>中允许提交备选方案，评审过程中只考虑主方案。只有当主方案的投标人为第一中标候选人或中标人，且开标时报出的备选方案满足招标文件要求、报价低于主方案时，招标人才可考虑选用备选方案。</w:t>
      </w:r>
    </w:p>
    <w:p>
      <w:pPr>
        <w:pStyle w:val="5"/>
        <w:spacing w:before="0" w:after="0" w:line="360" w:lineRule="auto"/>
        <w:rPr>
          <w:rFonts w:hint="eastAsia" w:ascii="宋体" w:hAnsi="宋体"/>
          <w:sz w:val="21"/>
          <w:szCs w:val="21"/>
        </w:rPr>
      </w:pPr>
      <w:bookmarkStart w:id="262" w:name="_Toc468977644"/>
      <w:bookmarkStart w:id="263" w:name="_Toc29240284"/>
      <w:bookmarkStart w:id="264" w:name="_Toc468977558"/>
      <w:bookmarkStart w:id="265" w:name="_Toc478028238"/>
      <w:bookmarkStart w:id="266" w:name="_Toc29222787"/>
      <w:bookmarkStart w:id="267" w:name="_Toc468977729"/>
      <w:bookmarkStart w:id="268" w:name="_Toc520356169"/>
      <w:r>
        <w:rPr>
          <w:rFonts w:hint="eastAsia" w:ascii="宋体" w:hAnsi="宋体"/>
          <w:sz w:val="21"/>
          <w:szCs w:val="21"/>
        </w:rPr>
        <w:t>23．保密原则</w:t>
      </w:r>
      <w:bookmarkEnd w:id="262"/>
      <w:bookmarkEnd w:id="263"/>
      <w:bookmarkEnd w:id="264"/>
      <w:bookmarkEnd w:id="265"/>
      <w:bookmarkEnd w:id="266"/>
      <w:bookmarkEnd w:id="267"/>
    </w:p>
    <w:p>
      <w:pPr>
        <w:spacing w:line="360" w:lineRule="auto"/>
        <w:ind w:left="420" w:hanging="420" w:hangingChars="200"/>
        <w:rPr>
          <w:rFonts w:hint="eastAsia" w:ascii="宋体" w:hAnsi="宋体"/>
          <w:szCs w:val="21"/>
        </w:rPr>
      </w:pPr>
      <w:r>
        <w:rPr>
          <w:rFonts w:hint="eastAsia" w:ascii="宋体" w:hAnsi="宋体"/>
          <w:szCs w:val="21"/>
        </w:rPr>
        <w:t>23.1评标将在严格保密的情况下进行。</w:t>
      </w:r>
    </w:p>
    <w:p>
      <w:pPr>
        <w:spacing w:line="360" w:lineRule="auto"/>
        <w:ind w:left="420" w:hanging="420" w:hangingChars="200"/>
        <w:rPr>
          <w:rFonts w:hint="eastAsia" w:ascii="宋体" w:hAnsi="宋体"/>
          <w:szCs w:val="21"/>
        </w:rPr>
      </w:pPr>
      <w:r>
        <w:rPr>
          <w:rFonts w:hint="eastAsia" w:ascii="宋体" w:hAnsi="宋体"/>
          <w:szCs w:val="21"/>
        </w:rPr>
        <w:t>23.2</w:t>
      </w:r>
      <w:r>
        <w:rPr>
          <w:rFonts w:ascii="宋体" w:hAnsi="宋体"/>
          <w:szCs w:val="21"/>
        </w:rPr>
        <w:t>评审专家应当</w:t>
      </w:r>
      <w:r>
        <w:rPr>
          <w:rFonts w:hint="eastAsia" w:ascii="宋体" w:hAnsi="宋体"/>
          <w:szCs w:val="21"/>
        </w:rPr>
        <w:t>遵</w:t>
      </w:r>
      <w:r>
        <w:rPr>
          <w:rFonts w:ascii="宋体" w:hAnsi="宋体"/>
          <w:szCs w:val="21"/>
        </w:rPr>
        <w:t>守评审工作纪律，不得</w:t>
      </w:r>
      <w:r>
        <w:rPr>
          <w:rFonts w:hint="eastAsia" w:ascii="宋体" w:hAnsi="宋体"/>
          <w:szCs w:val="21"/>
        </w:rPr>
        <w:t>泄露</w:t>
      </w:r>
      <w:r>
        <w:rPr>
          <w:rFonts w:ascii="宋体" w:hAnsi="宋体"/>
          <w:szCs w:val="21"/>
        </w:rPr>
        <w:t>评审</w:t>
      </w:r>
      <w:r>
        <w:rPr>
          <w:rFonts w:hint="eastAsia" w:ascii="宋体" w:hAnsi="宋体"/>
          <w:szCs w:val="21"/>
        </w:rPr>
        <w:t>文件</w:t>
      </w:r>
      <w:r>
        <w:rPr>
          <w:rFonts w:ascii="宋体" w:hAnsi="宋体"/>
          <w:szCs w:val="21"/>
        </w:rPr>
        <w:t>、评审情况和评审中获悉的商业秘密。</w:t>
      </w:r>
    </w:p>
    <w:p>
      <w:pPr>
        <w:spacing w:line="360" w:lineRule="auto"/>
        <w:ind w:left="420" w:hanging="420" w:hangingChars="200"/>
        <w:rPr>
          <w:rFonts w:hint="eastAsia" w:ascii="宋体" w:hAnsi="宋体"/>
          <w:szCs w:val="21"/>
        </w:rPr>
      </w:pPr>
      <w:r>
        <w:rPr>
          <w:rFonts w:hint="eastAsia" w:ascii="宋体" w:hAnsi="宋体"/>
          <w:szCs w:val="21"/>
        </w:rPr>
        <w:t>23.3投标人试图影响招标人和评标委员会的任何活动，将导致其投标被拒绝，并承担相应的法律责任。</w:t>
      </w:r>
    </w:p>
    <w:p>
      <w:pPr>
        <w:spacing w:before="120" w:beforeLines="50" w:after="120" w:afterLines="50" w:line="360" w:lineRule="auto"/>
        <w:jc w:val="center"/>
        <w:outlineLvl w:val="1"/>
        <w:rPr>
          <w:b/>
          <w:bCs/>
          <w:szCs w:val="21"/>
        </w:rPr>
      </w:pPr>
      <w:bookmarkStart w:id="269" w:name="_Toc77629026"/>
      <w:bookmarkStart w:id="270" w:name="_Toc77628612"/>
      <w:bookmarkStart w:id="271" w:name="_Toc216582810"/>
      <w:bookmarkStart w:id="272" w:name="_Toc16391"/>
      <w:bookmarkStart w:id="273" w:name="_Toc29240285"/>
      <w:bookmarkStart w:id="274" w:name="_Toc77628946"/>
      <w:r>
        <w:rPr>
          <w:rFonts w:hint="eastAsia"/>
          <w:b/>
          <w:bCs/>
          <w:szCs w:val="21"/>
        </w:rPr>
        <w:t>六</w:t>
      </w:r>
      <w:bookmarkEnd w:id="268"/>
      <w:r>
        <w:rPr>
          <w:rFonts w:hint="eastAsia"/>
          <w:b/>
          <w:bCs/>
          <w:szCs w:val="21"/>
        </w:rPr>
        <w:t>、确定中标</w:t>
      </w:r>
      <w:bookmarkEnd w:id="269"/>
      <w:bookmarkEnd w:id="270"/>
      <w:bookmarkEnd w:id="271"/>
      <w:bookmarkEnd w:id="272"/>
      <w:bookmarkEnd w:id="273"/>
      <w:bookmarkEnd w:id="274"/>
    </w:p>
    <w:p>
      <w:pPr>
        <w:pStyle w:val="5"/>
        <w:spacing w:before="0" w:after="0" w:line="360" w:lineRule="auto"/>
        <w:rPr>
          <w:rFonts w:hint="eastAsia" w:ascii="宋体" w:hAnsi="宋体"/>
          <w:sz w:val="21"/>
          <w:szCs w:val="21"/>
        </w:rPr>
      </w:pPr>
      <w:bookmarkStart w:id="275" w:name="_Ref467307010"/>
      <w:bookmarkStart w:id="276" w:name="_Toc468977646"/>
      <w:bookmarkStart w:id="277" w:name="_Toc468977731"/>
      <w:bookmarkStart w:id="278" w:name="_Toc478028240"/>
      <w:bookmarkStart w:id="279" w:name="_Toc520356170"/>
      <w:bookmarkStart w:id="280" w:name="_Toc29240286"/>
      <w:bookmarkStart w:id="281" w:name="_Toc468977560"/>
      <w:bookmarkStart w:id="282" w:name="_Toc29222789"/>
      <w:r>
        <w:rPr>
          <w:rFonts w:hint="eastAsia" w:ascii="宋体" w:hAnsi="宋体"/>
          <w:sz w:val="21"/>
          <w:szCs w:val="21"/>
        </w:rPr>
        <w:t>25．中标候选人的确定原则及标准</w:t>
      </w:r>
      <w:bookmarkEnd w:id="275"/>
      <w:bookmarkEnd w:id="276"/>
      <w:bookmarkEnd w:id="277"/>
      <w:bookmarkEnd w:id="278"/>
      <w:bookmarkEnd w:id="279"/>
      <w:bookmarkEnd w:id="280"/>
      <w:bookmarkEnd w:id="281"/>
      <w:bookmarkEnd w:id="282"/>
    </w:p>
    <w:p>
      <w:pPr>
        <w:spacing w:line="360" w:lineRule="auto"/>
        <w:ind w:firstLine="420" w:firstLineChars="200"/>
        <w:rPr>
          <w:rFonts w:hint="eastAsia" w:ascii="宋体" w:hAnsi="宋体"/>
          <w:szCs w:val="21"/>
        </w:rPr>
      </w:pPr>
      <w:r>
        <w:rPr>
          <w:rFonts w:hint="eastAsia" w:ascii="宋体" w:hAnsi="宋体"/>
          <w:szCs w:val="21"/>
        </w:rPr>
        <w:t>除第27条规定外，确定实质上响应招标文件且满足</w:t>
      </w:r>
      <w:r>
        <w:rPr>
          <w:rFonts w:hint="eastAsia" w:ascii="宋体" w:hAnsi="宋体"/>
          <w:szCs w:val="21"/>
          <w:u w:val="single"/>
        </w:rPr>
        <w:t>投标人须知前附表</w:t>
      </w:r>
      <w:r>
        <w:rPr>
          <w:rFonts w:hint="eastAsia" w:ascii="宋体" w:hAnsi="宋体"/>
          <w:szCs w:val="21"/>
        </w:rPr>
        <w:t>中规定的下列条件之一者为中标候选人。</w:t>
      </w:r>
    </w:p>
    <w:p>
      <w:pPr>
        <w:spacing w:line="360" w:lineRule="auto"/>
        <w:ind w:firstLine="420" w:firstLineChars="200"/>
        <w:rPr>
          <w:rFonts w:hint="eastAsia" w:ascii="宋体" w:hAnsi="宋体"/>
          <w:szCs w:val="21"/>
        </w:rPr>
      </w:pPr>
      <w:r>
        <w:rPr>
          <w:rFonts w:hint="eastAsia" w:ascii="宋体" w:hAnsi="宋体"/>
          <w:szCs w:val="21"/>
        </w:rPr>
        <w:t>（1）如果采用最低评标价法，按评审后投标报价经</w:t>
      </w:r>
      <w:r>
        <w:rPr>
          <w:rFonts w:ascii="宋体" w:hAnsi="宋体"/>
          <w:szCs w:val="21"/>
        </w:rPr>
        <w:t>政策功能扣除后</w:t>
      </w:r>
      <w:r>
        <w:rPr>
          <w:rFonts w:hint="eastAsia" w:ascii="宋体" w:hAnsi="宋体"/>
          <w:szCs w:val="21"/>
        </w:rPr>
        <w:t>由低到高顺序排列。报价相同的，按技术指标优劣排列。</w:t>
      </w:r>
    </w:p>
    <w:p>
      <w:pPr>
        <w:spacing w:line="360" w:lineRule="auto"/>
        <w:ind w:firstLine="420" w:firstLineChars="200"/>
        <w:rPr>
          <w:rFonts w:hint="eastAsia" w:ascii="宋体" w:hAnsi="宋体"/>
          <w:szCs w:val="21"/>
        </w:rPr>
      </w:pPr>
      <w:r>
        <w:rPr>
          <w:rFonts w:hint="eastAsia" w:ascii="宋体" w:hAnsi="宋体"/>
          <w:szCs w:val="21"/>
        </w:rPr>
        <w:t>（2）如果采用综合评分法，按评审后得分由高到低顺序排列。得分相同的，按投标报价由低到高顺序排列，得分与投标报价均相同的，按技术指标优劣排列。</w:t>
      </w:r>
    </w:p>
    <w:p>
      <w:pPr>
        <w:pStyle w:val="5"/>
        <w:spacing w:before="0" w:after="0" w:line="360" w:lineRule="auto"/>
        <w:rPr>
          <w:rFonts w:hint="eastAsia" w:ascii="宋体" w:hAnsi="宋体"/>
          <w:sz w:val="21"/>
          <w:szCs w:val="21"/>
        </w:rPr>
      </w:pPr>
      <w:bookmarkStart w:id="283" w:name="_Toc520356171"/>
      <w:bookmarkStart w:id="284" w:name="_Toc29240287"/>
      <w:bookmarkStart w:id="285" w:name="_Toc468977647"/>
      <w:bookmarkStart w:id="286" w:name="_Toc468977561"/>
      <w:bookmarkStart w:id="287" w:name="_Toc478028241"/>
      <w:bookmarkStart w:id="288" w:name="_Toc29222790"/>
      <w:bookmarkStart w:id="289" w:name="_Toc468977732"/>
      <w:r>
        <w:rPr>
          <w:rFonts w:hint="eastAsia" w:ascii="宋体" w:hAnsi="宋体"/>
          <w:sz w:val="21"/>
          <w:szCs w:val="21"/>
        </w:rPr>
        <w:t>26．</w:t>
      </w:r>
      <w:bookmarkEnd w:id="283"/>
      <w:r>
        <w:rPr>
          <w:rFonts w:hint="eastAsia" w:ascii="宋体" w:hAnsi="宋体"/>
          <w:sz w:val="21"/>
          <w:szCs w:val="21"/>
        </w:rPr>
        <w:t>确定中标候选人和中标人</w:t>
      </w:r>
      <w:bookmarkEnd w:id="284"/>
      <w:bookmarkEnd w:id="285"/>
      <w:bookmarkEnd w:id="286"/>
      <w:bookmarkEnd w:id="287"/>
      <w:bookmarkEnd w:id="288"/>
      <w:bookmarkEnd w:id="289"/>
    </w:p>
    <w:p>
      <w:pPr>
        <w:spacing w:line="360" w:lineRule="auto"/>
        <w:rPr>
          <w:rFonts w:hint="eastAsia" w:ascii="宋体" w:hAnsi="宋体"/>
          <w:szCs w:val="21"/>
        </w:rPr>
      </w:pPr>
      <w:r>
        <w:rPr>
          <w:rFonts w:hint="eastAsia" w:ascii="宋体" w:hAnsi="宋体"/>
          <w:szCs w:val="21"/>
        </w:rPr>
        <w:t>26.1推荐中标候选人：总得分最高者被推荐为第一中标候选人，其次者为第二中标候选人，依此类推。26.2确认中标人：由招标人根据评审委员会的推荐名单，结合供应商考核情况，确认最终入围的供应商。</w:t>
      </w:r>
    </w:p>
    <w:p>
      <w:pPr>
        <w:pStyle w:val="5"/>
        <w:spacing w:before="0" w:after="0" w:line="360" w:lineRule="auto"/>
        <w:rPr>
          <w:rFonts w:hint="eastAsia" w:ascii="宋体" w:hAnsi="宋体"/>
          <w:sz w:val="21"/>
          <w:szCs w:val="21"/>
        </w:rPr>
      </w:pPr>
      <w:bookmarkStart w:id="290" w:name="_Ref467306874"/>
      <w:bookmarkStart w:id="291" w:name="_Toc520356173"/>
      <w:bookmarkStart w:id="292" w:name="_Toc29222791"/>
      <w:bookmarkStart w:id="293" w:name="_Toc468977733"/>
      <w:bookmarkStart w:id="294" w:name="_Toc468977648"/>
      <w:bookmarkStart w:id="295" w:name="_Toc29240288"/>
      <w:bookmarkStart w:id="296" w:name="_Toc468977562"/>
      <w:bookmarkStart w:id="297" w:name="_Toc478028242"/>
      <w:r>
        <w:rPr>
          <w:rFonts w:hint="eastAsia" w:ascii="宋体" w:hAnsi="宋体"/>
          <w:sz w:val="21"/>
          <w:szCs w:val="21"/>
        </w:rPr>
        <w:t>27</w:t>
      </w:r>
      <w:bookmarkEnd w:id="290"/>
      <w:bookmarkEnd w:id="291"/>
      <w:r>
        <w:rPr>
          <w:rFonts w:hint="eastAsia" w:ascii="宋体" w:hAnsi="宋体"/>
          <w:sz w:val="21"/>
          <w:szCs w:val="21"/>
        </w:rPr>
        <w:t>．招标项目取消</w:t>
      </w:r>
      <w:bookmarkEnd w:id="292"/>
      <w:bookmarkEnd w:id="293"/>
      <w:bookmarkEnd w:id="294"/>
      <w:bookmarkEnd w:id="295"/>
      <w:bookmarkEnd w:id="296"/>
      <w:bookmarkEnd w:id="297"/>
    </w:p>
    <w:p>
      <w:pPr>
        <w:spacing w:line="360" w:lineRule="auto"/>
        <w:ind w:firstLine="420" w:firstLineChars="200"/>
        <w:rPr>
          <w:rFonts w:hint="eastAsia" w:ascii="宋体" w:hAnsi="宋体"/>
          <w:szCs w:val="21"/>
        </w:rPr>
      </w:pPr>
      <w:r>
        <w:rPr>
          <w:rFonts w:hint="eastAsia" w:ascii="宋体" w:hAnsi="宋体"/>
          <w:szCs w:val="21"/>
        </w:rPr>
        <w:t>当招标项目取消时，为维护国家和社会公共利益，招标人有权拒绝任何投标人中标，且对受影响的投标人不承担任何责任。</w:t>
      </w:r>
      <w:bookmarkStart w:id="298" w:name="_Toc520356174"/>
    </w:p>
    <w:p>
      <w:pPr>
        <w:pStyle w:val="5"/>
        <w:spacing w:before="0" w:after="0" w:line="360" w:lineRule="auto"/>
        <w:rPr>
          <w:rFonts w:hint="eastAsia" w:ascii="宋体" w:hAnsi="宋体"/>
          <w:sz w:val="21"/>
          <w:szCs w:val="21"/>
        </w:rPr>
      </w:pPr>
      <w:bookmarkStart w:id="299" w:name="_Toc468977734"/>
      <w:bookmarkStart w:id="300" w:name="_Toc468977649"/>
      <w:bookmarkStart w:id="301" w:name="_Toc478028243"/>
      <w:bookmarkStart w:id="302" w:name="_Toc29240289"/>
      <w:bookmarkStart w:id="303" w:name="_Toc468977563"/>
      <w:bookmarkStart w:id="304" w:name="_Toc29222792"/>
      <w:r>
        <w:rPr>
          <w:rFonts w:hint="eastAsia" w:ascii="宋体" w:hAnsi="宋体"/>
          <w:sz w:val="21"/>
          <w:szCs w:val="21"/>
        </w:rPr>
        <w:t>28．中标通知书</w:t>
      </w:r>
      <w:bookmarkEnd w:id="298"/>
      <w:bookmarkEnd w:id="299"/>
      <w:bookmarkEnd w:id="300"/>
      <w:bookmarkEnd w:id="301"/>
      <w:bookmarkEnd w:id="302"/>
      <w:bookmarkEnd w:id="303"/>
      <w:bookmarkEnd w:id="304"/>
    </w:p>
    <w:p>
      <w:pPr>
        <w:spacing w:line="360" w:lineRule="auto"/>
        <w:ind w:left="420" w:hanging="420" w:hangingChars="200"/>
        <w:rPr>
          <w:rFonts w:hint="eastAsia" w:ascii="宋体" w:hAnsi="宋体"/>
          <w:szCs w:val="21"/>
        </w:rPr>
      </w:pPr>
      <w:r>
        <w:rPr>
          <w:rFonts w:hint="eastAsia" w:ascii="宋体" w:hAnsi="宋体"/>
          <w:szCs w:val="21"/>
        </w:rPr>
        <w:t>28.1在投标有效期内，中标人确定后，招标人以书面形式向中标人发出中标通知书。</w:t>
      </w:r>
    </w:p>
    <w:p>
      <w:pPr>
        <w:spacing w:line="360" w:lineRule="auto"/>
        <w:ind w:left="420" w:hanging="420" w:hangingChars="200"/>
        <w:rPr>
          <w:rFonts w:hint="eastAsia" w:ascii="宋体" w:hAnsi="宋体"/>
          <w:szCs w:val="21"/>
        </w:rPr>
      </w:pPr>
      <w:r>
        <w:rPr>
          <w:rFonts w:hint="eastAsia" w:ascii="宋体" w:hAnsi="宋体"/>
          <w:szCs w:val="21"/>
        </w:rPr>
        <w:t>28.2中标通知书是合同的组成部分。</w:t>
      </w:r>
    </w:p>
    <w:p>
      <w:pPr>
        <w:pStyle w:val="5"/>
        <w:spacing w:before="0" w:after="0" w:line="360" w:lineRule="auto"/>
        <w:rPr>
          <w:rFonts w:hint="eastAsia" w:ascii="宋体" w:hAnsi="宋体"/>
          <w:sz w:val="21"/>
          <w:szCs w:val="21"/>
        </w:rPr>
      </w:pPr>
      <w:bookmarkStart w:id="305" w:name="_Toc468977735"/>
      <w:bookmarkStart w:id="306" w:name="_Toc29222793"/>
      <w:bookmarkStart w:id="307" w:name="_Toc468977650"/>
      <w:bookmarkStart w:id="308" w:name="_Toc29240290"/>
      <w:bookmarkStart w:id="309" w:name="_Ref467307204"/>
      <w:bookmarkStart w:id="310" w:name="_Ref467307062"/>
      <w:bookmarkStart w:id="311" w:name="_Toc478028244"/>
      <w:bookmarkStart w:id="312" w:name="_Ref467306978"/>
      <w:bookmarkStart w:id="313" w:name="_Ref467306377"/>
      <w:bookmarkStart w:id="314" w:name="_Toc520356175"/>
      <w:bookmarkStart w:id="315" w:name="_Toc468977564"/>
      <w:r>
        <w:rPr>
          <w:rFonts w:hint="eastAsia" w:ascii="宋体" w:hAnsi="宋体"/>
          <w:sz w:val="21"/>
          <w:szCs w:val="21"/>
        </w:rPr>
        <w:t>29.签订合同</w:t>
      </w:r>
      <w:bookmarkEnd w:id="305"/>
      <w:bookmarkEnd w:id="306"/>
      <w:bookmarkEnd w:id="307"/>
      <w:bookmarkEnd w:id="308"/>
      <w:bookmarkEnd w:id="309"/>
      <w:bookmarkEnd w:id="310"/>
      <w:bookmarkEnd w:id="311"/>
      <w:bookmarkEnd w:id="312"/>
      <w:bookmarkEnd w:id="313"/>
      <w:bookmarkEnd w:id="314"/>
      <w:bookmarkEnd w:id="315"/>
    </w:p>
    <w:p>
      <w:pPr>
        <w:spacing w:line="360" w:lineRule="auto"/>
        <w:ind w:left="420" w:hanging="420" w:hangingChars="200"/>
        <w:rPr>
          <w:rFonts w:hint="eastAsia" w:ascii="宋体" w:hAnsi="宋体"/>
          <w:szCs w:val="21"/>
        </w:rPr>
      </w:pPr>
      <w:r>
        <w:rPr>
          <w:rFonts w:hint="eastAsia" w:ascii="宋体" w:hAnsi="宋体"/>
          <w:szCs w:val="21"/>
        </w:rPr>
        <w:t>29.1中标人应当自发出中标通知书尽快与招标人签订合同。</w:t>
      </w:r>
    </w:p>
    <w:p>
      <w:pPr>
        <w:spacing w:line="360" w:lineRule="auto"/>
        <w:ind w:left="420" w:hanging="420" w:hangingChars="200"/>
        <w:rPr>
          <w:rFonts w:hint="eastAsia" w:ascii="宋体" w:hAnsi="宋体"/>
          <w:szCs w:val="21"/>
        </w:rPr>
      </w:pPr>
      <w:r>
        <w:rPr>
          <w:rFonts w:hint="eastAsia" w:ascii="宋体" w:hAnsi="宋体"/>
          <w:szCs w:val="21"/>
        </w:rPr>
        <w:t>29.2</w:t>
      </w:r>
      <w:bookmarkStart w:id="316" w:name="_Ref467307090"/>
      <w:bookmarkStart w:id="317" w:name="_Ref467306425"/>
      <w:bookmarkStart w:id="318" w:name="_Toc520356176"/>
      <w:r>
        <w:rPr>
          <w:rFonts w:hint="eastAsia" w:ascii="宋体" w:hAnsi="宋体"/>
          <w:szCs w:val="21"/>
        </w:rPr>
        <w:t>招标文件、中标人的投标文件及其澄清文件等，均为签订合同的依据。</w:t>
      </w:r>
    </w:p>
    <w:p>
      <w:pPr>
        <w:spacing w:line="360" w:lineRule="auto"/>
        <w:ind w:left="420" w:hanging="420" w:hangingChars="200"/>
        <w:rPr>
          <w:rFonts w:hint="eastAsia" w:ascii="宋体" w:hAnsi="宋体"/>
          <w:szCs w:val="21"/>
        </w:rPr>
      </w:pPr>
      <w:r>
        <w:rPr>
          <w:rFonts w:hint="eastAsia" w:ascii="宋体" w:hAnsi="宋体"/>
          <w:szCs w:val="21"/>
        </w:rPr>
        <w:t>29.3中标人</w:t>
      </w:r>
      <w:r>
        <w:rPr>
          <w:rFonts w:ascii="宋体" w:hAnsi="宋体"/>
          <w:szCs w:val="21"/>
        </w:rPr>
        <w:t>拒绝与招标人签订合同的，招标人可以按照评审报告推荐的中标候选人</w:t>
      </w:r>
      <w:r>
        <w:rPr>
          <w:rFonts w:hint="eastAsia" w:ascii="宋体" w:hAnsi="宋体"/>
          <w:szCs w:val="21"/>
        </w:rPr>
        <w:t>名单</w:t>
      </w:r>
      <w:r>
        <w:rPr>
          <w:rFonts w:ascii="宋体" w:hAnsi="宋体"/>
          <w:szCs w:val="21"/>
        </w:rPr>
        <w:t>排序</w:t>
      </w:r>
      <w:r>
        <w:rPr>
          <w:rFonts w:hint="eastAsia" w:ascii="宋体" w:hAnsi="宋体"/>
          <w:szCs w:val="21"/>
        </w:rPr>
        <w:t>，</w:t>
      </w:r>
      <w:r>
        <w:rPr>
          <w:rFonts w:ascii="宋体" w:hAnsi="宋体"/>
          <w:szCs w:val="21"/>
        </w:rPr>
        <w:t>确定下一</w:t>
      </w:r>
      <w:r>
        <w:rPr>
          <w:rFonts w:hint="eastAsia" w:ascii="宋体" w:hAnsi="宋体"/>
          <w:szCs w:val="21"/>
        </w:rPr>
        <w:t>候选</w:t>
      </w:r>
      <w:r>
        <w:rPr>
          <w:rFonts w:ascii="宋体" w:hAnsi="宋体"/>
          <w:szCs w:val="21"/>
        </w:rPr>
        <w:t>人为中标人，也可以重新开展采购活动。</w:t>
      </w:r>
    </w:p>
    <w:p>
      <w:pPr>
        <w:spacing w:line="360" w:lineRule="auto"/>
        <w:ind w:left="420" w:hanging="420" w:hangingChars="200"/>
        <w:rPr>
          <w:rFonts w:hint="eastAsia" w:ascii="宋体" w:hAnsi="宋体"/>
          <w:szCs w:val="21"/>
        </w:rPr>
      </w:pPr>
      <w:r>
        <w:rPr>
          <w:rFonts w:hint="eastAsia" w:ascii="宋体" w:hAnsi="宋体"/>
          <w:szCs w:val="21"/>
        </w:rPr>
        <w:t>29.4当出现法规规定的中标无效情形时，招标人可与其他中标人或中标候选人签订合同，或依法重新招标。</w:t>
      </w:r>
    </w:p>
    <w:p>
      <w:pPr>
        <w:pStyle w:val="5"/>
        <w:spacing w:before="0" w:after="0" w:line="360" w:lineRule="auto"/>
        <w:rPr>
          <w:rFonts w:hint="eastAsia" w:ascii="宋体" w:hAnsi="宋体"/>
          <w:sz w:val="21"/>
          <w:szCs w:val="21"/>
        </w:rPr>
      </w:pPr>
      <w:bookmarkStart w:id="319" w:name="_Toc29222794"/>
      <w:bookmarkStart w:id="320" w:name="_Toc468977651"/>
      <w:bookmarkStart w:id="321" w:name="_Toc478028245"/>
      <w:bookmarkStart w:id="322" w:name="_Toc468977565"/>
      <w:bookmarkStart w:id="323" w:name="_Toc468977736"/>
      <w:bookmarkStart w:id="324" w:name="_Toc29240291"/>
      <w:r>
        <w:rPr>
          <w:rFonts w:hint="eastAsia" w:ascii="宋体" w:hAnsi="宋体"/>
          <w:sz w:val="21"/>
          <w:szCs w:val="21"/>
        </w:rPr>
        <w:t>30．履约保证金</w:t>
      </w:r>
      <w:bookmarkEnd w:id="316"/>
      <w:bookmarkEnd w:id="317"/>
      <w:bookmarkEnd w:id="318"/>
      <w:bookmarkEnd w:id="319"/>
      <w:bookmarkEnd w:id="320"/>
      <w:bookmarkEnd w:id="321"/>
      <w:bookmarkEnd w:id="322"/>
      <w:bookmarkEnd w:id="323"/>
      <w:bookmarkEnd w:id="324"/>
    </w:p>
    <w:p>
      <w:pPr>
        <w:spacing w:line="360" w:lineRule="auto"/>
        <w:ind w:left="420" w:hanging="420" w:hangingChars="200"/>
        <w:rPr>
          <w:rFonts w:hint="eastAsia" w:ascii="宋体" w:hAnsi="宋体"/>
          <w:szCs w:val="21"/>
        </w:rPr>
      </w:pPr>
      <w:r>
        <w:rPr>
          <w:rFonts w:hint="eastAsia" w:ascii="宋体" w:hAnsi="宋体"/>
          <w:szCs w:val="21"/>
        </w:rPr>
        <w:t>30.1中标人应按照</w:t>
      </w:r>
      <w:r>
        <w:rPr>
          <w:rFonts w:hint="eastAsia" w:ascii="宋体" w:hAnsi="宋体"/>
          <w:szCs w:val="21"/>
          <w:u w:val="single"/>
        </w:rPr>
        <w:t>投标人须知前附表</w:t>
      </w:r>
      <w:r>
        <w:rPr>
          <w:rFonts w:hint="eastAsia" w:ascii="宋体" w:hAnsi="宋体"/>
          <w:szCs w:val="21"/>
        </w:rPr>
        <w:t>规定的金额、形式和时间向招标人缴纳履约保证金。</w:t>
      </w:r>
    </w:p>
    <w:p>
      <w:pPr>
        <w:spacing w:line="360" w:lineRule="auto"/>
        <w:ind w:left="420" w:hanging="420" w:hangingChars="200"/>
        <w:rPr>
          <w:rFonts w:hint="eastAsia" w:ascii="宋体" w:hAnsi="宋体"/>
          <w:szCs w:val="21"/>
        </w:rPr>
      </w:pPr>
      <w:r>
        <w:rPr>
          <w:rFonts w:hint="eastAsia" w:ascii="宋体" w:hAnsi="宋体"/>
          <w:szCs w:val="21"/>
        </w:rPr>
        <w:t>30.2如果中标人没有按照上述第29条或30.1条的规定执行，将视为放弃中标资格，中标人的投标保证金将被没收。在此情况下，招标人可选下一个中标候选人。</w:t>
      </w:r>
    </w:p>
    <w:p>
      <w:pPr>
        <w:pStyle w:val="5"/>
        <w:spacing w:before="0" w:after="0" w:line="360" w:lineRule="auto"/>
        <w:rPr>
          <w:rFonts w:hint="eastAsia" w:ascii="宋体" w:hAnsi="宋体"/>
          <w:sz w:val="21"/>
          <w:szCs w:val="21"/>
        </w:rPr>
      </w:pPr>
      <w:bookmarkStart w:id="325" w:name="_Toc478028247"/>
      <w:bookmarkStart w:id="326" w:name="_Toc468977738"/>
      <w:bookmarkStart w:id="327" w:name="_Toc468977567"/>
      <w:bookmarkStart w:id="328" w:name="_Toc468977653"/>
      <w:bookmarkStart w:id="329" w:name="_Toc29222796"/>
      <w:bookmarkStart w:id="330" w:name="_Toc29240293"/>
      <w:r>
        <w:rPr>
          <w:rFonts w:hint="eastAsia" w:ascii="宋体" w:hAnsi="宋体"/>
          <w:sz w:val="21"/>
          <w:szCs w:val="21"/>
        </w:rPr>
        <w:t>31</w:t>
      </w:r>
      <w:r>
        <w:rPr>
          <w:rFonts w:ascii="宋体" w:hAnsi="宋体"/>
          <w:sz w:val="21"/>
          <w:szCs w:val="21"/>
        </w:rPr>
        <w:t>.</w:t>
      </w:r>
      <w:r>
        <w:rPr>
          <w:rFonts w:hint="eastAsia" w:ascii="宋体" w:hAnsi="宋体"/>
          <w:sz w:val="21"/>
          <w:szCs w:val="21"/>
        </w:rPr>
        <w:t>廉洁自律</w:t>
      </w:r>
      <w:r>
        <w:rPr>
          <w:rFonts w:ascii="宋体" w:hAnsi="宋体"/>
          <w:sz w:val="21"/>
          <w:szCs w:val="21"/>
        </w:rPr>
        <w:t>规定</w:t>
      </w:r>
      <w:bookmarkEnd w:id="325"/>
      <w:bookmarkEnd w:id="326"/>
      <w:bookmarkEnd w:id="327"/>
      <w:bookmarkEnd w:id="328"/>
      <w:bookmarkEnd w:id="329"/>
      <w:bookmarkEnd w:id="330"/>
    </w:p>
    <w:p>
      <w:pPr>
        <w:spacing w:line="360" w:lineRule="auto"/>
        <w:ind w:left="420" w:hanging="420" w:hangingChars="200"/>
        <w:rPr>
          <w:rFonts w:hint="eastAsia" w:ascii="宋体" w:hAnsi="宋体"/>
          <w:szCs w:val="21"/>
        </w:rPr>
      </w:pPr>
      <w:r>
        <w:rPr>
          <w:rFonts w:hint="eastAsia" w:ascii="宋体" w:hAnsi="宋体"/>
          <w:szCs w:val="21"/>
        </w:rPr>
        <w:t>31.1招标</w:t>
      </w:r>
      <w:r>
        <w:rPr>
          <w:rFonts w:ascii="宋体" w:hAnsi="宋体"/>
          <w:szCs w:val="21"/>
        </w:rPr>
        <w:t>工作人员</w:t>
      </w:r>
      <w:r>
        <w:rPr>
          <w:rFonts w:hint="eastAsia" w:ascii="宋体" w:hAnsi="宋体"/>
          <w:szCs w:val="21"/>
        </w:rPr>
        <w:t>不得以不正当手段获取代理业务，不得与招标人、投标人恶意串通操纵采购活动。</w:t>
      </w:r>
    </w:p>
    <w:p>
      <w:pPr>
        <w:spacing w:line="360" w:lineRule="auto"/>
        <w:ind w:left="420" w:hanging="420" w:hangingChars="200"/>
        <w:rPr>
          <w:rFonts w:hint="eastAsia" w:ascii="宋体" w:hAnsi="宋体"/>
          <w:szCs w:val="21"/>
        </w:rPr>
      </w:pPr>
      <w:r>
        <w:rPr>
          <w:rFonts w:ascii="宋体" w:hAnsi="宋体"/>
          <w:szCs w:val="21"/>
        </w:rPr>
        <w:t>3</w:t>
      </w:r>
      <w:r>
        <w:rPr>
          <w:rFonts w:hint="eastAsia" w:ascii="宋体" w:hAnsi="宋体"/>
          <w:szCs w:val="21"/>
        </w:rPr>
        <w:t>1</w:t>
      </w:r>
      <w:r>
        <w:rPr>
          <w:rFonts w:ascii="宋体" w:hAnsi="宋体"/>
          <w:szCs w:val="21"/>
        </w:rPr>
        <w:t>.2</w:t>
      </w:r>
      <w:r>
        <w:rPr>
          <w:rFonts w:hint="eastAsia" w:ascii="宋体" w:hAnsi="宋体"/>
          <w:szCs w:val="21"/>
        </w:rPr>
        <w:t>招标工作人员不得接受招标人或者投标人组织的宴请、旅游、娱乐，不得收受礼品、现金、有价证券等，不得向招标人或者投标人报销应当由个人承担的费用。</w:t>
      </w:r>
    </w:p>
    <w:p>
      <w:pPr>
        <w:pStyle w:val="5"/>
        <w:spacing w:before="0" w:after="0" w:line="360" w:lineRule="auto"/>
        <w:rPr>
          <w:rFonts w:hint="eastAsia" w:ascii="宋体" w:hAnsi="宋体"/>
          <w:sz w:val="21"/>
          <w:szCs w:val="21"/>
        </w:rPr>
      </w:pPr>
      <w:bookmarkStart w:id="331" w:name="_Toc468977568"/>
      <w:bookmarkStart w:id="332" w:name="_Toc29222797"/>
      <w:bookmarkStart w:id="333" w:name="_Toc468977654"/>
      <w:bookmarkStart w:id="334" w:name="_Toc29240294"/>
      <w:bookmarkStart w:id="335" w:name="_Toc468977739"/>
      <w:bookmarkStart w:id="336" w:name="_Toc478028248"/>
      <w:r>
        <w:rPr>
          <w:rFonts w:hint="eastAsia" w:ascii="宋体" w:hAnsi="宋体"/>
          <w:sz w:val="21"/>
          <w:szCs w:val="21"/>
        </w:rPr>
        <w:t>32.人员回避</w:t>
      </w:r>
      <w:bookmarkEnd w:id="331"/>
      <w:bookmarkEnd w:id="332"/>
      <w:bookmarkEnd w:id="333"/>
      <w:bookmarkEnd w:id="334"/>
      <w:bookmarkEnd w:id="335"/>
      <w:bookmarkEnd w:id="336"/>
    </w:p>
    <w:p>
      <w:pPr>
        <w:spacing w:line="360" w:lineRule="auto"/>
        <w:ind w:firstLine="420" w:firstLineChars="200"/>
        <w:jc w:val="left"/>
        <w:rPr>
          <w:rFonts w:hint="eastAsia" w:ascii="宋体" w:hAnsi="宋体"/>
          <w:szCs w:val="21"/>
        </w:rPr>
      </w:pPr>
      <w:r>
        <w:rPr>
          <w:rFonts w:hint="eastAsia" w:ascii="宋体" w:hAnsi="宋体"/>
          <w:szCs w:val="21"/>
        </w:rPr>
        <w:t>投标人</w:t>
      </w:r>
      <w:r>
        <w:rPr>
          <w:rFonts w:ascii="宋体" w:hAnsi="宋体"/>
          <w:szCs w:val="21"/>
        </w:rPr>
        <w:t>认为招标人员</w:t>
      </w:r>
      <w:r>
        <w:rPr>
          <w:rFonts w:hint="eastAsia" w:ascii="宋体" w:hAnsi="宋体"/>
          <w:szCs w:val="21"/>
        </w:rPr>
        <w:t>及其</w:t>
      </w:r>
      <w:r>
        <w:rPr>
          <w:rFonts w:ascii="宋体" w:hAnsi="宋体"/>
          <w:szCs w:val="21"/>
        </w:rPr>
        <w:t>相关人员有</w:t>
      </w:r>
      <w:r>
        <w:rPr>
          <w:rFonts w:hint="eastAsia" w:ascii="宋体" w:hAnsi="宋体"/>
          <w:szCs w:val="21"/>
        </w:rPr>
        <w:t>法律</w:t>
      </w:r>
      <w:r>
        <w:rPr>
          <w:rFonts w:ascii="宋体" w:hAnsi="宋体"/>
          <w:szCs w:val="21"/>
        </w:rPr>
        <w:t>法规所列与其他投标人</w:t>
      </w:r>
      <w:r>
        <w:rPr>
          <w:rFonts w:hint="eastAsia" w:ascii="宋体" w:hAnsi="宋体"/>
          <w:szCs w:val="21"/>
        </w:rPr>
        <w:t>有</w:t>
      </w:r>
      <w:r>
        <w:rPr>
          <w:rFonts w:ascii="宋体" w:hAnsi="宋体"/>
          <w:szCs w:val="21"/>
        </w:rPr>
        <w:t>利害关系的，可以向招标</w:t>
      </w:r>
      <w:r>
        <w:rPr>
          <w:rFonts w:hint="eastAsia" w:ascii="宋体" w:hAnsi="宋体"/>
          <w:szCs w:val="21"/>
        </w:rPr>
        <w:t>人</w:t>
      </w:r>
      <w:r>
        <w:rPr>
          <w:rFonts w:ascii="宋体" w:hAnsi="宋体"/>
          <w:szCs w:val="21"/>
        </w:rPr>
        <w:t>书面提出回避申请，并说明理由。</w:t>
      </w:r>
    </w:p>
    <w:bookmarkEnd w:id="51"/>
    <w:bookmarkEnd w:id="52"/>
    <w:bookmarkEnd w:id="53"/>
    <w:bookmarkEnd w:id="54"/>
    <w:bookmarkEnd w:id="55"/>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337" w:name="_Toc3414"/>
      <w:bookmarkStart w:id="338" w:name="_Toc77629027"/>
      <w:bookmarkStart w:id="339" w:name="_Toc77628613"/>
      <w:bookmarkStart w:id="340" w:name="_Toc77628947"/>
      <w:bookmarkStart w:id="341" w:name="_Toc29240295"/>
      <w:r>
        <w:rPr>
          <w:rFonts w:hint="eastAsia" w:ascii="宋体" w:hAnsi="宋体"/>
          <w:b/>
          <w:bCs/>
          <w:sz w:val="24"/>
        </w:rPr>
        <w:t>第三章 合同条款</w:t>
      </w:r>
      <w:bookmarkEnd w:id="337"/>
      <w:bookmarkEnd w:id="338"/>
      <w:bookmarkEnd w:id="339"/>
      <w:bookmarkEnd w:id="340"/>
      <w:bookmarkEnd w:id="341"/>
    </w:p>
    <w:p>
      <w:pPr>
        <w:jc w:val="center"/>
        <w:rPr>
          <w:rFonts w:hint="eastAsia" w:ascii="仿宋" w:hAnsi="仿宋" w:eastAsia="仿宋" w:cs="仿宋"/>
          <w:sz w:val="32"/>
          <w:szCs w:val="32"/>
        </w:rPr>
      </w:pPr>
      <w:bookmarkStart w:id="342" w:name="_Toc415222523"/>
      <w:bookmarkStart w:id="343" w:name="_Toc77628617"/>
      <w:bookmarkStart w:id="344" w:name="_Toc29240296"/>
      <w:bookmarkStart w:id="345" w:name="_Toc77628777"/>
      <w:bookmarkStart w:id="346" w:name="_Toc77628951"/>
      <w:bookmarkStart w:id="347" w:name="_Toc77629031"/>
      <w:r>
        <w:rPr>
          <w:rFonts w:hint="eastAsia" w:ascii="仿宋" w:hAnsi="仿宋" w:eastAsia="仿宋" w:cs="仿宋"/>
          <w:b/>
          <w:sz w:val="32"/>
          <w:szCs w:val="32"/>
        </w:rPr>
        <w:t xml:space="preserve"> 合 同 模 板</w:t>
      </w:r>
    </w:p>
    <w:p>
      <w:pPr>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编号：                                            合同订立时间：</w:t>
      </w:r>
    </w:p>
    <w:p>
      <w:pPr>
        <w:spacing w:line="440" w:lineRule="exact"/>
        <w:jc w:val="center"/>
        <w:rPr>
          <w:rFonts w:hint="eastAsia" w:asciiTheme="minorEastAsia" w:hAnsiTheme="minorEastAsia" w:eastAsiaTheme="minorEastAsia" w:cstheme="minorEastAsia"/>
          <w:szCs w:val="21"/>
        </w:rPr>
      </w:pPr>
    </w:p>
    <w:p>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甲方：</w:t>
      </w:r>
      <w:r>
        <w:rPr>
          <w:rFonts w:hint="eastAsia" w:asciiTheme="minorEastAsia" w:hAnsiTheme="minorEastAsia" w:eastAsiaTheme="minorEastAsia" w:cstheme="minorEastAsia"/>
          <w:bCs/>
          <w:szCs w:val="21"/>
        </w:rPr>
        <w:t xml:space="preserve">        </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440" w:lineRule="exact"/>
        <w:rPr>
          <w:rFonts w:hint="eastAsia" w:asciiTheme="minorEastAsia" w:hAnsiTheme="minorEastAsia" w:eastAsiaTheme="minorEastAsia" w:cstheme="minorEastAsia"/>
          <w:szCs w:val="21"/>
        </w:rPr>
      </w:pP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经甲乙双方友好协商，由乙方承揽甲方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highlight w:val="yellow"/>
          <w:u w:val="single"/>
        </w:rPr>
        <w:t>年度螺杆式水冷机组维修保养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工作，双方本着平等互利、真诚合作原则，结合本工程具体情况，依据《民法典》等有关规定，签订本合同，具体条款如下：</w:t>
      </w:r>
    </w:p>
    <w:p>
      <w:pPr>
        <w:spacing w:line="360" w:lineRule="auto"/>
        <w:ind w:left="54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第1条 工程概况</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1.1工程名称：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1.2工程范围：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1.3工    期：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1.4质量标准：达到按国家相关专业规定的专业质量检验评定标准。</w:t>
      </w:r>
    </w:p>
    <w:p>
      <w:pPr>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1.5合同价款：合同总价为           （￥    ）。因设计变更或甲方根据需要要求进行变更，合同价款可作相应的调整，变更按实际增减工程量双方协商解决，另行订立补充合同。</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1.6付款方式：该年度项目维保完毕经双方验收合格且开具全额发票后，支付工程款总额的95%，余款壹年后结清.</w:t>
      </w:r>
    </w:p>
    <w:p>
      <w:pPr>
        <w:spacing w:line="360" w:lineRule="auto"/>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第2条 甲方权利义务</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2.1甲方在协议设备出现故障后，应及时通知乙方。</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2.2甲方不能使用未经乙方认可的零配件、消耗品，否则产生的设备故障，乙方不承担责任。</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2.3未经乙方认可，甲方不得邀请第三方单位对合同设备进行维修保养服务，否则乙方不承担由此产生的后果和责任。</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2.4甲方不得对合同设备进行私自拆卸，否则由甲方承担所造成的全部损失；</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2.5协议设备发生转移或转让时，甲方应及时通知乙方；</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2.6甲方对乙方提供的临时备用设备有监管义务，如甲方在使用过程中有人为损坏、丢失等情况发生，给其乙方造成的一切损失由甲方承担。</w:t>
      </w:r>
    </w:p>
    <w:p>
      <w:pPr>
        <w:spacing w:line="360" w:lineRule="auto"/>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第3条 乙方权利义务</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3.1负责工程项目正式开工前的一切准备工作</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3.2乙方应按照现场文明施工及环保有关条例进行施工，遵守当地政府、有关部门及甲方对施工现场的一切规定和要求，承担因自身原因违反有关规定造成的损失和罚款。</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 乙方在履行本合同期间，应当严格遵守甲方厂规厂纪和相关要求，作到安全、文明工作。否则，乙方承诺：按甲方厂规厂纪有权要求乙方承担违约金，造成损失的由乙方负责赔偿。</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本合同项下的设备出现故障，乙方接到通知（电话或书面通知），必须在20分钟内到场维修，并应在1小时之内排除故障。若乙方未按上述约定到场维修或排除故障，甲方有权要求乙方每次承担违约金200元，若有三次超时到场的，甲方有权单方解除合同，乙方无条件接受，并赔偿甲方的一切损失。</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 甲方认为须提供维修记录的，甲方在项目验收合格后向乙方发出书面要求，在项目验收合格之日后5日内，乙方无偿向甲方提供维修记录2份。</w:t>
      </w:r>
    </w:p>
    <w:p>
      <w:pPr>
        <w:spacing w:line="360" w:lineRule="auto"/>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第4条 工程质量、安全及文明、环保施工</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乙方应按国家及行业规范要求进行施工。制订质量管理目标，落实质量责任制，确保实现施工合同和甲方要求的质量目标。隐蔽工程必须经甲方验收合格后方可进行下道工序施工，并保存相关影像或其他证明材料。</w:t>
      </w:r>
    </w:p>
    <w:p>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4.2工作期间，乙方对工作区域的安全、保卫、环保、文明工作等全面负责， 并应遵守甲方的规定。对违反本款规定的，甲方根据实际情况，有权要求乙方支付1000元至10000元的违约赔偿金。</w:t>
      </w:r>
    </w:p>
    <w:p>
      <w:pPr>
        <w:spacing w:line="360" w:lineRule="auto"/>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第5条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质量验收</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5.1本工程以国家制订的施工以及验收规范和甲方验收约定文件与设计要求为质量评定验收标准。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5.2 保修期内发生的质量问题，由乙方无偿返修，确须更换零件的，乙方负责无偿更换，并赔偿甲方的全部损失。</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5.3由乙方原因造成的工期延期，超出部分每天按合同总价的0.5%作为罚金，在最终结算时从结算价中扣除。</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5.4设备维保结束后，乙方应通知甲方验收，甲方自接到验收通知30日内组织验收，并办理验收、交接手续。如甲方在规定时间内未能组织验收，需及时通知乙方，另定验收日期。但甲方应承认竣工日期。</w:t>
      </w:r>
    </w:p>
    <w:p>
      <w:pPr>
        <w:spacing w:line="360" w:lineRule="auto"/>
        <w:ind w:firstLine="413" w:firstLineChars="196"/>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第6条 争议解决</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甲乙双方不能按合同约定履行自己的各项义务应承担各自的违约责任按国家有关规定办理。本合同在履行过程中发生争议，双方应及时协商，协商不成时，双方均可向扬州市仲裁委员会提起仲裁。</w:t>
      </w:r>
    </w:p>
    <w:p>
      <w:pPr>
        <w:numPr>
          <w:ilvl w:val="0"/>
          <w:numId w:val="8"/>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附则</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7.1本工程所有未尽事宜，双方应另订协议</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7.2本合同经双方代表签字、盖章后生效。本合同一式贰份，双方各壹份。</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甲方及乙方情况：</w:t>
      </w:r>
    </w:p>
    <w:tbl>
      <w:tblPr>
        <w:tblStyle w:val="41"/>
        <w:tblW w:w="8486" w:type="dxa"/>
        <w:tblInd w:w="42" w:type="dxa"/>
        <w:tblLayout w:type="fixed"/>
        <w:tblCellMar>
          <w:top w:w="0" w:type="dxa"/>
          <w:left w:w="108" w:type="dxa"/>
          <w:bottom w:w="0" w:type="dxa"/>
          <w:right w:w="108" w:type="dxa"/>
        </w:tblCellMar>
      </w:tblPr>
      <w:tblGrid>
        <w:gridCol w:w="2774"/>
        <w:gridCol w:w="5712"/>
      </w:tblGrid>
      <w:tr>
        <w:tblPrEx>
          <w:tblCellMar>
            <w:top w:w="0" w:type="dxa"/>
            <w:left w:w="108" w:type="dxa"/>
            <w:bottom w:w="0" w:type="dxa"/>
            <w:right w:w="108" w:type="dxa"/>
          </w:tblCellMar>
        </w:tblPrEx>
        <w:trPr>
          <w:trHeight w:val="340" w:hRule="atLeast"/>
        </w:trPr>
        <w:tc>
          <w:tcPr>
            <w:tcW w:w="2774"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甲方：（公章）</w:t>
            </w:r>
          </w:p>
        </w:tc>
        <w:tc>
          <w:tcPr>
            <w:tcW w:w="5712" w:type="dxa"/>
            <w:vAlign w:val="center"/>
          </w:tcPr>
          <w:p>
            <w:pPr>
              <w:jc w:val="left"/>
              <w:rPr>
                <w:rFonts w:hint="eastAsia"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帐号：</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开户名称：</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纳税人识别号：</w:t>
            </w:r>
          </w:p>
        </w:tc>
        <w:tc>
          <w:tcPr>
            <w:tcW w:w="5712" w:type="dxa"/>
          </w:tcPr>
          <w:p>
            <w:pPr>
              <w:spacing w:line="360" w:lineRule="auto"/>
              <w:ind w:firstLine="480"/>
              <w:jc w:val="left"/>
              <w:rPr>
                <w:rFonts w:hint="eastAsia"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行号：</w:t>
            </w:r>
          </w:p>
        </w:tc>
        <w:tc>
          <w:tcPr>
            <w:tcW w:w="5712" w:type="dxa"/>
          </w:tcPr>
          <w:p>
            <w:pPr>
              <w:spacing w:line="360" w:lineRule="auto"/>
              <w:ind w:firstLine="480"/>
              <w:jc w:val="left"/>
              <w:rPr>
                <w:rFonts w:hint="eastAsia"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p>
        </w:tc>
        <w:tc>
          <w:tcPr>
            <w:tcW w:w="5712" w:type="dxa"/>
          </w:tcPr>
          <w:p>
            <w:pPr>
              <w:spacing w:line="360" w:lineRule="auto"/>
              <w:ind w:firstLine="480"/>
              <w:rPr>
                <w:rFonts w:hint="eastAsia"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乙方：（公章）</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账号：      </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bl>
    <w:p>
      <w:r>
        <w:rPr>
          <w:rFonts w:hint="eastAsia"/>
        </w:rPr>
        <w:br w:type="page"/>
      </w:r>
    </w:p>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348" w:name="_Toc16612"/>
      <w:r>
        <w:rPr>
          <w:rFonts w:hint="eastAsia" w:ascii="宋体" w:hAnsi="宋体"/>
          <w:b/>
          <w:bCs/>
          <w:sz w:val="24"/>
        </w:rPr>
        <w:t>第四章 投标文件格式</w:t>
      </w:r>
      <w:bookmarkEnd w:id="342"/>
      <w:bookmarkEnd w:id="343"/>
      <w:bookmarkEnd w:id="344"/>
      <w:bookmarkEnd w:id="345"/>
      <w:bookmarkEnd w:id="346"/>
      <w:bookmarkEnd w:id="347"/>
      <w:bookmarkEnd w:id="348"/>
    </w:p>
    <w:p>
      <w:pPr>
        <w:tabs>
          <w:tab w:val="left" w:pos="5580"/>
        </w:tabs>
        <w:spacing w:line="360" w:lineRule="auto"/>
        <w:ind w:firstLine="420" w:firstLineChars="200"/>
        <w:rPr>
          <w:rFonts w:hint="eastAsia"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附件6——资格证明文件</w:t>
      </w:r>
    </w:p>
    <w:p>
      <w:pPr>
        <w:tabs>
          <w:tab w:val="left" w:pos="900"/>
          <w:tab w:val="left" w:pos="5580"/>
        </w:tabs>
        <w:spacing w:line="360" w:lineRule="auto"/>
        <w:ind w:firstLine="422" w:firstLineChars="200"/>
        <w:rPr>
          <w:rFonts w:hint="eastAsia" w:ascii="宋体" w:hAnsi="宋体"/>
          <w:szCs w:val="21"/>
        </w:rPr>
      </w:pPr>
      <w:r>
        <w:rPr>
          <w:rFonts w:hint="eastAsia" w:ascii="宋体" w:hAnsi="宋体"/>
          <w:b/>
          <w:bCs/>
          <w:szCs w:val="21"/>
        </w:rPr>
        <w:t>包括但不限于</w:t>
      </w:r>
      <w:r>
        <w:rPr>
          <w:rFonts w:hint="eastAsia" w:ascii="宋体" w:hAnsi="宋体"/>
          <w:szCs w:val="21"/>
        </w:rPr>
        <w:t>：</w:t>
      </w:r>
    </w:p>
    <w:p>
      <w:pPr>
        <w:tabs>
          <w:tab w:val="left" w:pos="5580"/>
        </w:tabs>
        <w:spacing w:line="360" w:lineRule="auto"/>
        <w:ind w:firstLine="420" w:firstLineChars="200"/>
        <w:rPr>
          <w:rFonts w:hint="eastAsia"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hint="eastAsia"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6-4投标人开户银行在投标截止日前三个月内开具的资信证明（原件或复印件加盖公章）或上一年度财务审计报告复印件</w:t>
      </w:r>
    </w:p>
    <w:p>
      <w:pPr>
        <w:tabs>
          <w:tab w:val="left" w:pos="5580"/>
        </w:tabs>
        <w:spacing w:line="360" w:lineRule="auto"/>
        <w:ind w:firstLine="420" w:firstLineChars="200"/>
        <w:rPr>
          <w:rFonts w:hint="eastAsia" w:ascii="宋体" w:hAnsi="宋体"/>
          <w:szCs w:val="21"/>
        </w:rPr>
      </w:pPr>
      <w:r>
        <w:rPr>
          <w:rFonts w:hint="eastAsia" w:ascii="宋体" w:hAnsi="宋体"/>
          <w:szCs w:val="21"/>
        </w:rPr>
        <w:t>6-5投标人参加本项目活动前三年内，在经营活动中没有重大违法记录的声明</w:t>
      </w:r>
    </w:p>
    <w:p>
      <w:pPr>
        <w:tabs>
          <w:tab w:val="left" w:pos="5580"/>
        </w:tabs>
        <w:spacing w:line="360" w:lineRule="auto"/>
        <w:ind w:firstLine="420" w:firstLineChars="200"/>
        <w:rPr>
          <w:rFonts w:hint="eastAsia" w:ascii="宋体" w:hAnsi="宋体"/>
          <w:szCs w:val="21"/>
        </w:rPr>
      </w:pPr>
      <w:r>
        <w:rPr>
          <w:rFonts w:hint="eastAsia" w:ascii="宋体" w:hAnsi="宋体"/>
          <w:szCs w:val="21"/>
        </w:rPr>
        <w:t>6-6近三年类似项目业绩一览表</w:t>
      </w:r>
    </w:p>
    <w:p>
      <w:pPr>
        <w:tabs>
          <w:tab w:val="left" w:pos="5580"/>
        </w:tabs>
        <w:spacing w:line="360" w:lineRule="auto"/>
        <w:ind w:firstLine="420" w:firstLineChars="200"/>
        <w:rPr>
          <w:rFonts w:hint="eastAsia" w:ascii="宋体" w:hAnsi="宋体"/>
          <w:szCs w:val="21"/>
        </w:rPr>
      </w:pPr>
      <w:r>
        <w:rPr>
          <w:rFonts w:hint="eastAsia" w:ascii="宋体" w:hAnsi="宋体"/>
          <w:szCs w:val="21"/>
        </w:rPr>
        <w:t>6-7符合投标人须知前附表和招标文件中要求的其它证明文件</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附件7——反商业贿赂承诺书（格式）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附件8——投标人控股及管理关系情况表</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附件9——详细的实施方案</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附件10——售后服务方案及承诺</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附件11——投标人认为需要提供的其它材料</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49" w:name="_Hlt520356241"/>
      <w:bookmarkEnd w:id="349"/>
      <w:bookmarkStart w:id="350" w:name="_Ref467988698"/>
      <w:bookmarkStart w:id="351" w:name="_Toc480942349"/>
      <w:bookmarkStart w:id="352" w:name="_Toc77628952"/>
      <w:bookmarkStart w:id="353" w:name="_Toc520356217"/>
      <w:bookmarkStart w:id="354" w:name="_Toc77628618"/>
      <w:bookmarkStart w:id="355" w:name="_Toc30068"/>
      <w:bookmarkStart w:id="356" w:name="_Toc29240297"/>
      <w:bookmarkStart w:id="357" w:name="_Toc415222524"/>
      <w:bookmarkStart w:id="358" w:name="_Toc216582813"/>
      <w:bookmarkStart w:id="359" w:name="_Toc77629032"/>
      <w:r>
        <w:rPr>
          <w:rFonts w:hint="eastAsia" w:ascii="宋体" w:hAnsi="宋体" w:eastAsia="宋体"/>
          <w:sz w:val="21"/>
          <w:szCs w:val="21"/>
        </w:rPr>
        <w:t>附件1</w:t>
      </w:r>
      <w:bookmarkStart w:id="360" w:name="_Hlt520355504"/>
      <w:bookmarkEnd w:id="360"/>
      <w:r>
        <w:rPr>
          <w:rFonts w:hint="eastAsia" w:ascii="宋体" w:hAnsi="宋体" w:eastAsia="宋体"/>
          <w:sz w:val="21"/>
          <w:szCs w:val="21"/>
        </w:rPr>
        <w:t xml:space="preserve"> 投标</w:t>
      </w:r>
      <w:bookmarkEnd w:id="350"/>
      <w:bookmarkEnd w:id="351"/>
      <w:r>
        <w:rPr>
          <w:rFonts w:hint="eastAsia" w:ascii="宋体" w:hAnsi="宋体" w:eastAsia="宋体"/>
          <w:sz w:val="21"/>
          <w:szCs w:val="21"/>
        </w:rPr>
        <w:t>书</w:t>
      </w:r>
      <w:bookmarkEnd w:id="352"/>
      <w:bookmarkEnd w:id="353"/>
      <w:bookmarkEnd w:id="354"/>
      <w:bookmarkEnd w:id="355"/>
      <w:bookmarkEnd w:id="356"/>
      <w:bookmarkEnd w:id="357"/>
      <w:bookmarkEnd w:id="358"/>
      <w:bookmarkEnd w:id="359"/>
    </w:p>
    <w:p>
      <w:pPr>
        <w:tabs>
          <w:tab w:val="left" w:pos="5580"/>
        </w:tabs>
        <w:spacing w:line="360" w:lineRule="auto"/>
        <w:ind w:left="1080" w:hanging="1080"/>
        <w:rPr>
          <w:rFonts w:hint="eastAsia" w:ascii="宋体" w:hAnsi="宋体"/>
          <w:szCs w:val="21"/>
          <w:u w:val="single"/>
        </w:rPr>
      </w:pPr>
      <w:r>
        <w:rPr>
          <w:rFonts w:hint="eastAsia" w:ascii="宋体" w:hAnsi="宋体"/>
          <w:szCs w:val="21"/>
        </w:rPr>
        <w:t>致：</w:t>
      </w:r>
      <w:r>
        <w:rPr>
          <w:rFonts w:hint="eastAsia" w:ascii="宋体" w:hAnsi="宋体"/>
          <w:szCs w:val="21"/>
          <w:u w:val="single"/>
        </w:rPr>
        <w:t>国药集团扬州威克生物工程有限公司</w:t>
      </w:r>
    </w:p>
    <w:p>
      <w:pPr>
        <w:tabs>
          <w:tab w:val="left" w:pos="5580"/>
        </w:tabs>
        <w:spacing w:line="360" w:lineRule="auto"/>
        <w:ind w:left="1080" w:hanging="1080"/>
        <w:rPr>
          <w:rFonts w:hint="eastAsia" w:ascii="宋体" w:hAnsi="宋体"/>
          <w:szCs w:val="21"/>
        </w:rPr>
      </w:pPr>
    </w:p>
    <w:p>
      <w:pPr>
        <w:pStyle w:val="20"/>
        <w:tabs>
          <w:tab w:val="left" w:pos="5580"/>
        </w:tabs>
        <w:spacing w:line="360" w:lineRule="auto"/>
        <w:ind w:left="2" w:leftChars="1" w:firstLine="420" w:firstLineChars="200"/>
        <w:rPr>
          <w:rFonts w:hint="eastAsia" w:hAnsi="宋体"/>
          <w:szCs w:val="21"/>
        </w:rPr>
      </w:pPr>
      <w:r>
        <w:rPr>
          <w:rFonts w:hint="eastAsia" w:hAnsi="宋体"/>
          <w:szCs w:val="21"/>
        </w:rPr>
        <w:t>根据贵方为</w:t>
      </w:r>
      <w:r>
        <w:rPr>
          <w:rFonts w:hint="eastAsia" w:hAnsi="宋体"/>
          <w:szCs w:val="21"/>
          <w:u w:val="single"/>
        </w:rPr>
        <w:t xml:space="preserve"> （</w:t>
      </w:r>
      <w:r>
        <w:rPr>
          <w:rFonts w:hint="eastAsia" w:hAnsi="宋体"/>
          <w:i/>
          <w:szCs w:val="21"/>
          <w:u w:val="single"/>
        </w:rPr>
        <w:t>项目名称</w:t>
      </w:r>
      <w:r>
        <w:rPr>
          <w:rFonts w:hint="eastAsia" w:hAnsi="宋体"/>
          <w:szCs w:val="21"/>
          <w:u w:val="single"/>
        </w:rPr>
        <w:t>）</w:t>
      </w:r>
      <w:r>
        <w:rPr>
          <w:rFonts w:hAnsi="宋体"/>
          <w:szCs w:val="21"/>
        </w:rPr>
        <w:t xml:space="preserve"> </w:t>
      </w:r>
      <w:r>
        <w:rPr>
          <w:rFonts w:hint="eastAsia" w:hAnsi="宋体"/>
          <w:szCs w:val="21"/>
        </w:rPr>
        <w:t>项目招标采购产品及服务的投标邀请,签字代表</w:t>
      </w:r>
      <w:r>
        <w:rPr>
          <w:rFonts w:hint="eastAsia" w:hAnsi="宋体"/>
          <w:szCs w:val="21"/>
          <w:u w:val="single"/>
        </w:rPr>
        <w:t xml:space="preserve"> （</w:t>
      </w:r>
      <w:r>
        <w:rPr>
          <w:rFonts w:hint="eastAsia" w:hAnsi="宋体"/>
          <w:i/>
          <w:szCs w:val="21"/>
          <w:u w:val="single"/>
        </w:rPr>
        <w:t>姓名、职务</w:t>
      </w:r>
      <w:r>
        <w:rPr>
          <w:rFonts w:hint="eastAsia" w:hAnsi="宋体"/>
          <w:szCs w:val="21"/>
          <w:u w:val="single"/>
        </w:rPr>
        <w:t xml:space="preserve">） </w:t>
      </w:r>
      <w:r>
        <w:rPr>
          <w:rFonts w:hint="eastAsia" w:hAnsi="宋体"/>
          <w:szCs w:val="21"/>
        </w:rPr>
        <w:t>经正式授权并代表投标人</w:t>
      </w:r>
      <w:r>
        <w:rPr>
          <w:rFonts w:hint="eastAsia" w:hAnsi="宋体"/>
          <w:szCs w:val="21"/>
          <w:u w:val="single"/>
        </w:rPr>
        <w:t xml:space="preserve"> （</w:t>
      </w:r>
      <w:r>
        <w:rPr>
          <w:rFonts w:hint="eastAsia" w:hAnsi="宋体"/>
          <w:i/>
          <w:szCs w:val="21"/>
          <w:u w:val="single"/>
        </w:rPr>
        <w:t>投标人名称、地址</w:t>
      </w:r>
      <w:r>
        <w:rPr>
          <w:rFonts w:hint="eastAsia" w:hAnsi="宋体"/>
          <w:szCs w:val="21"/>
          <w:u w:val="single"/>
        </w:rPr>
        <w:t xml:space="preserve">） </w:t>
      </w:r>
      <w:r>
        <w:rPr>
          <w:rFonts w:hint="eastAsia" w:hAnsi="宋体"/>
          <w:szCs w:val="21"/>
        </w:rPr>
        <w:t>提交下述文件正本</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份、副本</w:t>
      </w:r>
      <w:r>
        <w:rPr>
          <w:rFonts w:hint="eastAsia" w:hAnsi="宋体"/>
          <w:szCs w:val="21"/>
          <w:u w:val="single"/>
        </w:rPr>
        <w:t xml:space="preserve">     </w:t>
      </w:r>
      <w:r>
        <w:rPr>
          <w:rFonts w:hint="eastAsia" w:hAnsi="宋体"/>
          <w:szCs w:val="21"/>
        </w:rPr>
        <w:t>份及电子文档</w:t>
      </w:r>
      <w:r>
        <w:rPr>
          <w:rFonts w:hint="eastAsia" w:hAnsi="宋体"/>
          <w:szCs w:val="21"/>
          <w:u w:val="single"/>
        </w:rPr>
        <w:t xml:space="preserve">     </w:t>
      </w:r>
      <w:r>
        <w:rPr>
          <w:rFonts w:hint="eastAsia" w:hAnsi="宋体"/>
          <w:szCs w:val="21"/>
        </w:rPr>
        <w:t>份：</w:t>
      </w:r>
    </w:p>
    <w:p>
      <w:pPr>
        <w:pStyle w:val="20"/>
        <w:tabs>
          <w:tab w:val="left" w:pos="1080"/>
        </w:tabs>
        <w:spacing w:line="360" w:lineRule="auto"/>
        <w:ind w:left="420" w:leftChars="200"/>
        <w:rPr>
          <w:rFonts w:hint="eastAsia" w:hAnsi="宋体"/>
          <w:szCs w:val="21"/>
        </w:rPr>
      </w:pPr>
      <w:r>
        <w:rPr>
          <w:rFonts w:hint="eastAsia" w:hAnsi="宋体"/>
          <w:szCs w:val="21"/>
        </w:rPr>
        <w:t>（1）开标一览表；</w:t>
      </w:r>
    </w:p>
    <w:p>
      <w:pPr>
        <w:pStyle w:val="20"/>
        <w:tabs>
          <w:tab w:val="left" w:pos="1080"/>
        </w:tabs>
        <w:spacing w:line="360" w:lineRule="auto"/>
        <w:ind w:left="420" w:leftChars="200"/>
        <w:rPr>
          <w:rFonts w:hint="eastAsia" w:hAnsi="宋体"/>
          <w:szCs w:val="21"/>
        </w:rPr>
      </w:pPr>
      <w:r>
        <w:rPr>
          <w:rFonts w:hint="eastAsia" w:hAnsi="宋体"/>
          <w:szCs w:val="21"/>
        </w:rPr>
        <w:t>（2）商务条款偏离表；</w:t>
      </w:r>
    </w:p>
    <w:p>
      <w:pPr>
        <w:pStyle w:val="20"/>
        <w:tabs>
          <w:tab w:val="left" w:pos="1080"/>
        </w:tabs>
        <w:spacing w:line="360" w:lineRule="auto"/>
        <w:ind w:left="420" w:leftChars="200"/>
        <w:rPr>
          <w:rFonts w:hint="eastAsia" w:hAnsi="宋体"/>
          <w:szCs w:val="21"/>
        </w:rPr>
      </w:pPr>
      <w:r>
        <w:rPr>
          <w:rFonts w:hint="eastAsia" w:hAnsi="宋体"/>
          <w:szCs w:val="21"/>
        </w:rPr>
        <w:t>（3）技术规格偏离表；</w:t>
      </w:r>
    </w:p>
    <w:p>
      <w:pPr>
        <w:pStyle w:val="20"/>
        <w:tabs>
          <w:tab w:val="left" w:pos="1080"/>
        </w:tabs>
        <w:spacing w:line="360" w:lineRule="auto"/>
        <w:ind w:left="420" w:leftChars="200"/>
        <w:rPr>
          <w:rFonts w:hint="eastAsia" w:hAnsi="宋体"/>
          <w:szCs w:val="21"/>
        </w:rPr>
      </w:pPr>
      <w:r>
        <w:rPr>
          <w:rFonts w:hint="eastAsia" w:hAnsi="宋体"/>
          <w:szCs w:val="21"/>
        </w:rPr>
        <w:t>（4）资格证明文件；</w:t>
      </w:r>
    </w:p>
    <w:p>
      <w:pPr>
        <w:pStyle w:val="20"/>
        <w:tabs>
          <w:tab w:val="left" w:pos="1080"/>
        </w:tabs>
        <w:spacing w:line="360" w:lineRule="auto"/>
        <w:ind w:left="420" w:leftChars="200"/>
        <w:rPr>
          <w:rFonts w:hint="eastAsia" w:hAnsi="宋体"/>
          <w:szCs w:val="21"/>
        </w:rPr>
      </w:pPr>
      <w:r>
        <w:rPr>
          <w:rFonts w:hint="eastAsia" w:hAnsi="宋体"/>
          <w:szCs w:val="21"/>
        </w:rPr>
        <w:t>（7）遵守国家有关法律、法规和规章，按招标文件中投标人须知和技术规格要求提供的有关文件；</w:t>
      </w:r>
    </w:p>
    <w:p>
      <w:pPr>
        <w:pStyle w:val="20"/>
        <w:tabs>
          <w:tab w:val="left" w:pos="900"/>
          <w:tab w:val="left" w:pos="5580"/>
        </w:tabs>
        <w:spacing w:line="360" w:lineRule="auto"/>
        <w:ind w:left="420" w:leftChars="200"/>
        <w:rPr>
          <w:rFonts w:hint="eastAsia" w:hAnsi="宋体"/>
          <w:szCs w:val="21"/>
        </w:rPr>
      </w:pPr>
      <w:r>
        <w:rPr>
          <w:rFonts w:hint="eastAsia" w:hAnsi="宋体"/>
          <w:szCs w:val="21"/>
        </w:rPr>
        <w:t>（8）以</w:t>
      </w:r>
      <w:r>
        <w:rPr>
          <w:rFonts w:hint="eastAsia" w:hAnsi="宋体"/>
          <w:szCs w:val="21"/>
          <w:u w:val="single"/>
        </w:rPr>
        <w:t xml:space="preserve">         </w:t>
      </w:r>
      <w:r>
        <w:rPr>
          <w:rFonts w:hint="eastAsia" w:hAnsi="宋体"/>
          <w:szCs w:val="21"/>
        </w:rPr>
        <w:t>形式出具的金额为人民币</w:t>
      </w:r>
      <w:r>
        <w:rPr>
          <w:rFonts w:hint="eastAsia" w:hAnsi="宋体"/>
          <w:szCs w:val="21"/>
          <w:u w:val="single"/>
        </w:rPr>
        <w:t xml:space="preserve"> </w:t>
      </w:r>
      <w:r>
        <w:rPr>
          <w:rFonts w:hAnsi="宋体"/>
          <w:szCs w:val="21"/>
          <w:u w:val="single"/>
        </w:rPr>
        <w:t xml:space="preserve">       </w:t>
      </w:r>
      <w:r>
        <w:rPr>
          <w:rFonts w:hint="eastAsia" w:hAnsi="宋体"/>
          <w:szCs w:val="21"/>
        </w:rPr>
        <w:t>元的投标保证金。</w:t>
      </w:r>
    </w:p>
    <w:p>
      <w:pPr>
        <w:pStyle w:val="20"/>
        <w:tabs>
          <w:tab w:val="left" w:pos="5580"/>
        </w:tabs>
        <w:spacing w:line="360" w:lineRule="auto"/>
        <w:ind w:left="1080" w:leftChars="257" w:hanging="540"/>
        <w:rPr>
          <w:rFonts w:hint="eastAsia" w:hAnsi="宋体"/>
          <w:szCs w:val="21"/>
        </w:rPr>
      </w:pPr>
      <w:r>
        <w:rPr>
          <w:rFonts w:hint="eastAsia" w:hAnsi="宋体"/>
          <w:szCs w:val="21"/>
        </w:rPr>
        <w:t>据此，签字代表宣布同意如下：</w:t>
      </w:r>
    </w:p>
    <w:p>
      <w:pPr>
        <w:pStyle w:val="20"/>
        <w:numPr>
          <w:ilvl w:val="0"/>
          <w:numId w:val="9"/>
        </w:numPr>
        <w:tabs>
          <w:tab w:val="left" w:pos="720"/>
          <w:tab w:val="left" w:pos="900"/>
        </w:tabs>
        <w:spacing w:line="360" w:lineRule="auto"/>
        <w:ind w:left="907" w:firstLine="0"/>
        <w:rPr>
          <w:rFonts w:hint="eastAsia" w:hAnsi="宋体"/>
          <w:szCs w:val="21"/>
          <w:u w:val="single"/>
        </w:rPr>
      </w:pPr>
      <w:r>
        <w:rPr>
          <w:rFonts w:hint="eastAsia" w:hAnsi="宋体"/>
          <w:szCs w:val="21"/>
        </w:rPr>
        <w:t>附投标价格表中规定的应提交和交付的产品投标报价为</w:t>
      </w:r>
      <w:r>
        <w:rPr>
          <w:rFonts w:hint="eastAsia" w:hAnsi="宋体"/>
          <w:szCs w:val="21"/>
          <w:u w:val="single"/>
        </w:rPr>
        <w:t xml:space="preserve">人民币 大写：    小写： </w:t>
      </w:r>
      <w:r>
        <w:rPr>
          <w:rFonts w:hAnsi="宋体"/>
          <w:szCs w:val="21"/>
          <w:u w:val="single"/>
        </w:rPr>
        <w:t xml:space="preserve">   </w:t>
      </w:r>
      <w:r>
        <w:rPr>
          <w:rFonts w:hint="eastAsia" w:hAnsi="宋体"/>
          <w:szCs w:val="21"/>
          <w:u w:val="single"/>
        </w:rPr>
        <w:t>（用文字和数字表示的投标报价）元</w:t>
      </w:r>
      <w:r>
        <w:rPr>
          <w:rFonts w:hint="eastAsia" w:hAnsi="宋体"/>
          <w:szCs w:val="21"/>
        </w:rPr>
        <w:t>。</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投标人将按招标文件的规定履行合同责任和义务。</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投标人已详细审查全部招标文件，包括所有补充通知（如果有的话）。我们完全理解并同意放弃对这方面有不明、误解和质疑的权力。</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本投标有效期为自开标日起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个日历日。</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在规定的开标时间后，投标人保证遵守招标文件中有关保证金的规定。</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根据投标人须知第1条规定，我方承诺，我方不是</w:t>
      </w:r>
      <w:r>
        <w:rPr>
          <w:rFonts w:hAnsi="宋体"/>
          <w:szCs w:val="21"/>
        </w:rPr>
        <w:t>为</w:t>
      </w:r>
      <w:r>
        <w:rPr>
          <w:rFonts w:hint="eastAsia" w:hAnsi="宋体"/>
          <w:szCs w:val="21"/>
        </w:rPr>
        <w:t>本</w:t>
      </w:r>
      <w:r>
        <w:rPr>
          <w:rFonts w:hAnsi="宋体"/>
          <w:szCs w:val="21"/>
        </w:rPr>
        <w:t>项目提供整体</w:t>
      </w:r>
      <w:r>
        <w:rPr>
          <w:rFonts w:hint="eastAsia" w:hAnsi="宋体"/>
          <w:szCs w:val="21"/>
        </w:rPr>
        <w:t>设计</w:t>
      </w:r>
      <w:r>
        <w:rPr>
          <w:rFonts w:hAnsi="宋体"/>
          <w:szCs w:val="21"/>
        </w:rPr>
        <w:t>、规范编制或者项目管理、监理、检测等服务的投标人</w:t>
      </w:r>
      <w:r>
        <w:rPr>
          <w:rFonts w:hint="eastAsia" w:hAnsi="宋体"/>
          <w:szCs w:val="21"/>
        </w:rPr>
        <w:t>，我方不是招标人的附属机构。</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投标人同意提供按照贵方可能要求的与其投标有关的一切数据或资料，完全理解贵方不一定接受最低价的投标或收到的任何投标。</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与本投标有关的一切正式往来信函请寄：</w:t>
      </w:r>
    </w:p>
    <w:p>
      <w:pPr>
        <w:pStyle w:val="20"/>
        <w:tabs>
          <w:tab w:val="left" w:pos="5580"/>
        </w:tabs>
        <w:spacing w:line="360" w:lineRule="auto"/>
        <w:ind w:left="1080" w:leftChars="257" w:hanging="540"/>
        <w:rPr>
          <w:rFonts w:hint="eastAsia" w:hAnsi="宋体"/>
          <w:szCs w:val="21"/>
        </w:rPr>
      </w:pPr>
      <w:r>
        <w:rPr>
          <w:rFonts w:hint="eastAsia" w:hAnsi="宋体"/>
          <w:szCs w:val="21"/>
        </w:rPr>
        <w:t>地址：</w:t>
      </w:r>
      <w:r>
        <w:rPr>
          <w:rFonts w:hint="eastAsia" w:hAnsi="宋体"/>
          <w:szCs w:val="21"/>
          <w:u w:val="single"/>
        </w:rPr>
        <w:t xml:space="preserve">                         </w:t>
      </w:r>
      <w:r>
        <w:rPr>
          <w:rFonts w:hint="eastAsia" w:hAnsi="宋体"/>
          <w:szCs w:val="21"/>
        </w:rPr>
        <w:t xml:space="preserve">     传真：</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b/>
          <w:szCs w:val="21"/>
        </w:rPr>
      </w:pPr>
      <w:r>
        <w:rPr>
          <w:rFonts w:hint="eastAsia" w:hAnsi="宋体"/>
          <w:szCs w:val="21"/>
        </w:rPr>
        <w:t>电话：</w:t>
      </w:r>
      <w:r>
        <w:rPr>
          <w:rFonts w:hint="eastAsia" w:hAnsi="宋体"/>
          <w:szCs w:val="21"/>
          <w:u w:val="single"/>
        </w:rPr>
        <w:t xml:space="preserve">                         </w:t>
      </w:r>
      <w:r>
        <w:rPr>
          <w:rFonts w:hint="eastAsia" w:hAnsi="宋体"/>
          <w:szCs w:val="21"/>
        </w:rPr>
        <w:t xml:space="preserve">     电子邮件：</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r>
        <w:rPr>
          <w:rFonts w:hint="eastAsia" w:hAnsi="宋体"/>
          <w:szCs w:val="21"/>
        </w:rPr>
        <w:t>投标人授权代表签字：</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投标人名称（全称）：</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投标人开户银行（全称）：</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投标人银行帐号：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投标人公章：</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日期：</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61" w:name="_Hlt520355938"/>
      <w:bookmarkEnd w:id="361"/>
      <w:bookmarkStart w:id="362" w:name="_Hlt520356243"/>
      <w:bookmarkEnd w:id="362"/>
      <w:bookmarkStart w:id="363" w:name="_Toc216582814"/>
      <w:bookmarkStart w:id="364" w:name="_Toc17672"/>
      <w:bookmarkStart w:id="365" w:name="_Toc520356218"/>
      <w:bookmarkStart w:id="366" w:name="_Ref467988705"/>
      <w:bookmarkStart w:id="367" w:name="_Toc415222525"/>
      <w:bookmarkStart w:id="368" w:name="_Toc77628953"/>
      <w:bookmarkStart w:id="369" w:name="_Toc77629033"/>
      <w:bookmarkStart w:id="370" w:name="_Toc29240298"/>
      <w:bookmarkStart w:id="371" w:name="_Toc480942350"/>
      <w:bookmarkStart w:id="372" w:name="_Toc77628619"/>
      <w:r>
        <w:rPr>
          <w:rFonts w:hint="eastAsia" w:ascii="宋体" w:hAnsi="宋体" w:eastAsia="宋体"/>
          <w:sz w:val="21"/>
          <w:szCs w:val="21"/>
        </w:rPr>
        <w:t>附件2 开标一览表</w:t>
      </w:r>
      <w:bookmarkEnd w:id="363"/>
      <w:bookmarkEnd w:id="364"/>
      <w:bookmarkEnd w:id="365"/>
      <w:bookmarkEnd w:id="366"/>
      <w:bookmarkEnd w:id="367"/>
      <w:bookmarkEnd w:id="368"/>
      <w:bookmarkEnd w:id="369"/>
      <w:bookmarkEnd w:id="370"/>
      <w:bookmarkEnd w:id="371"/>
      <w:bookmarkEnd w:id="372"/>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p>
      <w:pPr>
        <w:tabs>
          <w:tab w:val="left" w:pos="1800"/>
          <w:tab w:val="left" w:pos="5580"/>
        </w:tabs>
        <w:spacing w:line="360" w:lineRule="auto"/>
        <w:rPr>
          <w:rFonts w:hint="eastAsia" w:ascii="宋体" w:hAnsi="宋体"/>
          <w:szCs w:val="21"/>
        </w:rPr>
      </w:pPr>
      <w:r>
        <w:rPr>
          <w:rFonts w:hint="eastAsia" w:ascii="宋体" w:hAnsi="宋体"/>
          <w:szCs w:val="21"/>
        </w:rPr>
        <w:t>包名称（如有）：</w:t>
      </w:r>
      <w:r>
        <w:rPr>
          <w:rFonts w:hint="eastAsia" w:hAnsi="宋体"/>
          <w:szCs w:val="21"/>
          <w:u w:val="single"/>
        </w:rPr>
        <w:t xml:space="preserve">                   </w:t>
      </w:r>
      <w:r>
        <w:rPr>
          <w:rFonts w:hint="eastAsia" w:hAnsi="宋体"/>
          <w:szCs w:val="21"/>
        </w:rPr>
        <w:t xml:space="preserve">  </w:t>
      </w:r>
      <w:r>
        <w:rPr>
          <w:rFonts w:hAnsi="宋体"/>
          <w:szCs w:val="21"/>
        </w:rPr>
        <w:t xml:space="preserve">  </w:t>
      </w:r>
      <w:r>
        <w:rPr>
          <w:rFonts w:hint="eastAsia" w:ascii="宋体" w:hAnsi="宋体"/>
          <w:szCs w:val="21"/>
        </w:rPr>
        <w:t>报价单位：人民币元</w:t>
      </w:r>
    </w:p>
    <w:tbl>
      <w:tblPr>
        <w:tblStyle w:val="41"/>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936"/>
        <w:gridCol w:w="2391"/>
        <w:gridCol w:w="138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726" w:type="dxa"/>
            <w:vAlign w:val="center"/>
          </w:tcPr>
          <w:p>
            <w:pPr>
              <w:spacing w:line="380" w:lineRule="exact"/>
              <w:jc w:val="center"/>
              <w:rPr>
                <w:rFonts w:hint="eastAsia" w:ascii="仿宋" w:hAnsi="仿宋" w:eastAsia="仿宋" w:cs="仿宋"/>
                <w:sz w:val="24"/>
                <w:highlight w:val="yellow"/>
              </w:rPr>
            </w:pPr>
            <w:r>
              <w:rPr>
                <w:rFonts w:hint="eastAsia" w:ascii="仿宋" w:hAnsi="仿宋" w:eastAsia="仿宋" w:cs="仿宋"/>
                <w:sz w:val="24"/>
                <w:highlight w:val="yellow"/>
              </w:rPr>
              <w:t>价格（元/年）</w:t>
            </w:r>
          </w:p>
        </w:tc>
        <w:tc>
          <w:tcPr>
            <w:tcW w:w="1936" w:type="dxa"/>
            <w:vAlign w:val="center"/>
          </w:tcPr>
          <w:p>
            <w:pPr>
              <w:spacing w:line="380" w:lineRule="exact"/>
              <w:jc w:val="center"/>
              <w:rPr>
                <w:rFonts w:hint="eastAsia" w:ascii="仿宋" w:hAnsi="仿宋" w:eastAsia="仿宋" w:cs="仿宋"/>
                <w:sz w:val="24"/>
                <w:highlight w:val="yellow"/>
              </w:rPr>
            </w:pPr>
            <w:r>
              <w:rPr>
                <w:rFonts w:hint="eastAsia" w:ascii="仿宋" w:hAnsi="仿宋" w:eastAsia="仿宋" w:cs="仿宋"/>
                <w:sz w:val="24"/>
                <w:highlight w:val="yellow"/>
              </w:rPr>
              <w:t>品牌</w:t>
            </w:r>
          </w:p>
        </w:tc>
        <w:tc>
          <w:tcPr>
            <w:tcW w:w="2391" w:type="dxa"/>
            <w:vAlign w:val="center"/>
          </w:tcPr>
          <w:p>
            <w:pPr>
              <w:spacing w:line="380" w:lineRule="exact"/>
              <w:jc w:val="center"/>
              <w:rPr>
                <w:rFonts w:hint="eastAsia" w:ascii="仿宋" w:hAnsi="仿宋" w:eastAsia="仿宋" w:cs="仿宋"/>
                <w:sz w:val="24"/>
                <w:highlight w:val="yellow"/>
              </w:rPr>
            </w:pPr>
            <w:r>
              <w:rPr>
                <w:rFonts w:hint="eastAsia" w:ascii="仿宋" w:hAnsi="仿宋" w:eastAsia="仿宋" w:cs="仿宋"/>
                <w:sz w:val="24"/>
                <w:highlight w:val="yellow"/>
              </w:rPr>
              <w:t>付款方式</w:t>
            </w:r>
          </w:p>
        </w:tc>
        <w:tc>
          <w:tcPr>
            <w:tcW w:w="1388" w:type="dxa"/>
            <w:vAlign w:val="center"/>
          </w:tcPr>
          <w:p>
            <w:pPr>
              <w:spacing w:line="380" w:lineRule="exact"/>
              <w:jc w:val="center"/>
              <w:rPr>
                <w:rFonts w:hint="eastAsia" w:ascii="仿宋" w:hAnsi="仿宋" w:eastAsia="仿宋" w:cs="仿宋"/>
                <w:sz w:val="24"/>
                <w:highlight w:val="yellow"/>
              </w:rPr>
            </w:pPr>
            <w:r>
              <w:rPr>
                <w:rFonts w:hint="eastAsia" w:ascii="仿宋" w:hAnsi="仿宋" w:eastAsia="仿宋" w:cs="仿宋"/>
                <w:sz w:val="24"/>
                <w:highlight w:val="yellow"/>
              </w:rPr>
              <w:t>周期</w:t>
            </w:r>
          </w:p>
        </w:tc>
        <w:tc>
          <w:tcPr>
            <w:tcW w:w="2222" w:type="dxa"/>
            <w:vAlign w:val="center"/>
          </w:tcPr>
          <w:p>
            <w:pPr>
              <w:spacing w:line="380" w:lineRule="exact"/>
              <w:jc w:val="center"/>
              <w:rPr>
                <w:rFonts w:hint="eastAsia" w:ascii="仿宋" w:hAnsi="仿宋" w:eastAsia="仿宋" w:cs="仿宋"/>
                <w:sz w:val="24"/>
                <w:highlight w:val="yellow"/>
              </w:rPr>
            </w:pPr>
            <w:r>
              <w:rPr>
                <w:rFonts w:hint="eastAsia" w:ascii="仿宋" w:hAnsi="仿宋" w:eastAsia="仿宋" w:cs="仿宋"/>
                <w:sz w:val="24"/>
                <w:highlight w:val="yello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726" w:type="dxa"/>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red"/>
              </w:rPr>
            </w:pPr>
          </w:p>
        </w:tc>
        <w:tc>
          <w:tcPr>
            <w:tcW w:w="1936"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2391" w:type="dxa"/>
            <w:tcBorders>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
            </w:pPr>
          </w:p>
        </w:tc>
        <w:tc>
          <w:tcPr>
            <w:tcW w:w="1388" w:type="dxa"/>
            <w:tcBorders>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24"/>
              </w:rPr>
            </w:pPr>
          </w:p>
        </w:tc>
        <w:tc>
          <w:tcPr>
            <w:tcW w:w="2222" w:type="dxa"/>
            <w:tcBorders>
              <w:left w:val="single" w:color="auto" w:sz="4" w:space="0"/>
              <w:bottom w:val="single" w:color="auto" w:sz="4" w:space="0"/>
            </w:tcBorders>
            <w:vAlign w:val="center"/>
          </w:tcPr>
          <w:p>
            <w:pPr>
              <w:spacing w:line="38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spacing w:line="380" w:lineRule="exact"/>
              <w:jc w:val="left"/>
            </w:pPr>
            <w:r>
              <w:rPr>
                <w:rFonts w:hint="eastAsia"/>
              </w:rPr>
              <w:t>服务期限：合同签订之日起    年。</w:t>
            </w:r>
          </w:p>
          <w:p>
            <w:pPr>
              <w:pStyle w:val="2"/>
              <w:rPr>
                <w:rFonts w:hint="eastAsia" w:ascii="宋体" w:hAnsi="宋体"/>
                <w:szCs w:val="21"/>
              </w:rPr>
            </w:pPr>
            <w:r>
              <w:rPr>
                <w:rFonts w:hint="eastAsia" w:ascii="宋体" w:hAnsi="宋体"/>
                <w:szCs w:val="21"/>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pStyle w:val="20"/>
              <w:tabs>
                <w:tab w:val="left" w:pos="5580"/>
              </w:tabs>
              <w:spacing w:line="360" w:lineRule="auto"/>
              <w:jc w:val="left"/>
              <w:rPr>
                <w:rFonts w:hint="eastAsia" w:hAnsi="宋体"/>
                <w:b/>
                <w:bCs/>
                <w:szCs w:val="21"/>
              </w:rPr>
            </w:pPr>
            <w:r>
              <w:rPr>
                <w:rFonts w:hint="eastAsia" w:hAnsi="宋体"/>
                <w:szCs w:val="21"/>
              </w:rPr>
              <w:t>备注：</w:t>
            </w:r>
            <w:r>
              <w:rPr>
                <w:rFonts w:hint="eastAsia" w:hAnsi="宋体"/>
                <w:b/>
                <w:bCs/>
                <w:szCs w:val="21"/>
              </w:rPr>
              <w:t>本次报价包含完成本项目的所有运输、</w:t>
            </w:r>
            <w:r>
              <w:rPr>
                <w:rFonts w:hint="eastAsia" w:ascii="Times New Roman" w:hAnsi="宋体"/>
                <w:b/>
                <w:bCs/>
                <w:szCs w:val="21"/>
              </w:rPr>
              <w:t>现场的卸车、</w:t>
            </w:r>
            <w:r>
              <w:rPr>
                <w:rFonts w:hint="eastAsia" w:hAnsi="宋体"/>
                <w:b/>
                <w:bCs/>
                <w:szCs w:val="21"/>
              </w:rPr>
              <w:t>损耗等一切费用；</w:t>
            </w:r>
          </w:p>
          <w:p>
            <w:pPr>
              <w:pStyle w:val="20"/>
              <w:tabs>
                <w:tab w:val="left" w:pos="5580"/>
              </w:tabs>
              <w:spacing w:line="360" w:lineRule="auto"/>
              <w:ind w:firstLine="632" w:firstLineChars="300"/>
              <w:jc w:val="left"/>
              <w:rPr>
                <w:rFonts w:hint="eastAsia" w:hAnsi="宋体"/>
                <w:b/>
                <w:bCs/>
                <w:szCs w:val="21"/>
              </w:rPr>
            </w:pPr>
            <w:r>
              <w:rPr>
                <w:rFonts w:hint="eastAsia" w:hAnsi="宋体"/>
                <w:b/>
                <w:bCs/>
                <w:szCs w:val="21"/>
              </w:rPr>
              <w:t>此表装在单独的信封内密封，用于唱标。</w:t>
            </w:r>
          </w:p>
          <w:p>
            <w:pPr>
              <w:pStyle w:val="20"/>
              <w:tabs>
                <w:tab w:val="left" w:pos="5580"/>
              </w:tabs>
              <w:spacing w:line="360" w:lineRule="auto"/>
              <w:ind w:firstLine="632" w:firstLineChars="300"/>
              <w:jc w:val="left"/>
              <w:rPr>
                <w:rFonts w:hint="eastAsia" w:hAnsi="宋体"/>
                <w:b/>
                <w:bCs/>
                <w:szCs w:val="21"/>
              </w:rPr>
            </w:pPr>
            <w:r>
              <w:rPr>
                <w:rFonts w:hint="eastAsia" w:hAnsi="宋体"/>
                <w:b/>
                <w:bCs/>
                <w:szCs w:val="21"/>
              </w:rPr>
              <w:t>供货期是指订单下达到商品运送指定地点的日期</w:t>
            </w:r>
          </w:p>
        </w:tc>
      </w:tr>
    </w:tbl>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r>
        <w:rPr>
          <w:rFonts w:hint="eastAsia" w:hAnsi="宋体"/>
          <w:szCs w:val="21"/>
        </w:rPr>
        <w:t>投标人名称（全称、盖章）：</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u w:val="single"/>
        </w:rPr>
      </w:pPr>
      <w:r>
        <w:rPr>
          <w:rFonts w:hint="eastAsia" w:hAnsi="宋体"/>
          <w:szCs w:val="21"/>
        </w:rPr>
        <w:t>法定代表人或其委托代理人（签字或签章）：</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jc w:val="left"/>
        <w:rPr>
          <w:rFonts w:hint="eastAsia" w:hAnsi="宋体"/>
          <w:b/>
          <w:bCs/>
          <w:szCs w:val="21"/>
        </w:rPr>
      </w:pPr>
      <w:r>
        <w:rPr>
          <w:rFonts w:hint="eastAsia" w:hAnsi="宋体"/>
          <w:b/>
          <w:bCs/>
          <w:szCs w:val="21"/>
        </w:rPr>
        <w:t>注：</w:t>
      </w:r>
    </w:p>
    <w:p>
      <w:pPr>
        <w:pStyle w:val="20"/>
        <w:tabs>
          <w:tab w:val="left" w:pos="5580"/>
        </w:tabs>
        <w:spacing w:line="360" w:lineRule="auto"/>
        <w:jc w:val="left"/>
        <w:rPr>
          <w:rFonts w:hint="eastAsia" w:hAnsi="宋体"/>
          <w:b/>
          <w:bCs/>
          <w:szCs w:val="21"/>
        </w:rPr>
      </w:pPr>
      <w:r>
        <w:rPr>
          <w:rFonts w:hint="eastAsia" w:hAnsi="宋体"/>
          <w:b/>
          <w:bCs/>
          <w:szCs w:val="21"/>
        </w:rPr>
        <w:t>1、本次报价包含包装费用、运输、</w:t>
      </w:r>
      <w:r>
        <w:rPr>
          <w:rFonts w:hint="eastAsia" w:ascii="Times New Roman" w:hAnsi="宋体"/>
          <w:b/>
          <w:bCs/>
          <w:szCs w:val="21"/>
        </w:rPr>
        <w:t>现场的卸车、</w:t>
      </w:r>
      <w:r>
        <w:rPr>
          <w:rFonts w:hint="eastAsia" w:hAnsi="宋体"/>
          <w:b/>
          <w:bCs/>
          <w:szCs w:val="21"/>
        </w:rPr>
        <w:t>损耗等一切费用；</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73" w:name="_Toc29240299"/>
      <w:bookmarkStart w:id="374" w:name="_Toc15798"/>
      <w:bookmarkStart w:id="375" w:name="_Toc77628620"/>
      <w:bookmarkStart w:id="376" w:name="_Toc77629034"/>
      <w:bookmarkStart w:id="377" w:name="_Toc77628954"/>
      <w:r>
        <w:rPr>
          <w:rFonts w:hint="eastAsia" w:ascii="宋体" w:hAnsi="宋体" w:eastAsia="宋体"/>
          <w:sz w:val="21"/>
          <w:szCs w:val="21"/>
        </w:rPr>
        <w:t>附件3 投标保证金</w:t>
      </w:r>
      <w:bookmarkEnd w:id="373"/>
      <w:bookmarkEnd w:id="374"/>
      <w:bookmarkEnd w:id="375"/>
      <w:bookmarkEnd w:id="376"/>
      <w:bookmarkEnd w:id="377"/>
    </w:p>
    <w:p>
      <w:pPr>
        <w:widowControl/>
        <w:snapToGrid w:val="0"/>
        <w:spacing w:before="240" w:beforeLines="100" w:after="240" w:afterLines="100" w:line="360" w:lineRule="auto"/>
        <w:jc w:val="center"/>
        <w:rPr>
          <w:rFonts w:hint="eastAsia" w:ascii="宋体" w:hAnsi="宋体" w:cs="宋体"/>
          <w:b/>
          <w:szCs w:val="21"/>
          <w:lang w:val="zh-TW"/>
        </w:rPr>
      </w:pPr>
      <w:r>
        <w:rPr>
          <w:rFonts w:ascii="宋体" w:hAnsi="宋体" w:cs="宋体"/>
          <w:b/>
          <w:szCs w:val="21"/>
          <w:lang w:val="zh-TW"/>
        </w:rPr>
        <w:t>（一）投标保证金承诺函</w:t>
      </w:r>
    </w:p>
    <w:p>
      <w:pPr>
        <w:spacing w:after="120" w:afterLines="50" w:line="360" w:lineRule="auto"/>
        <w:jc w:val="left"/>
        <w:rPr>
          <w:rFonts w:cs="Arial"/>
          <w:b/>
          <w:szCs w:val="21"/>
        </w:rPr>
      </w:pPr>
      <w:bookmarkStart w:id="378" w:name="_Toc269106629"/>
      <w:bookmarkStart w:id="379" w:name="_Toc273346625"/>
      <w:r>
        <w:rPr>
          <w:rFonts w:hAnsi="宋体" w:cs="Arial"/>
          <w:b/>
          <w:szCs w:val="21"/>
          <w:u w:val="single"/>
        </w:rPr>
        <w:t>（项目单位名称）</w:t>
      </w:r>
      <w:r>
        <w:rPr>
          <w:rFonts w:hAnsi="宋体" w:cs="Arial"/>
          <w:b/>
          <w:szCs w:val="21"/>
        </w:rPr>
        <w:t>：</w:t>
      </w:r>
    </w:p>
    <w:p>
      <w:pPr>
        <w:spacing w:line="360" w:lineRule="auto"/>
        <w:ind w:firstLine="420" w:firstLineChars="200"/>
        <w:rPr>
          <w:rFonts w:hint="eastAsia" w:ascii="宋体" w:hAnsi="宋体"/>
          <w:szCs w:val="21"/>
        </w:rPr>
      </w:pPr>
      <w:r>
        <w:rPr>
          <w:rFonts w:ascii="宋体" w:hAnsi="宋体"/>
          <w:szCs w:val="21"/>
        </w:rPr>
        <w:t>鉴于我方</w:t>
      </w:r>
      <w:r>
        <w:rPr>
          <w:rFonts w:ascii="宋体" w:hAnsi="宋体"/>
          <w:szCs w:val="21"/>
          <w:u w:val="single"/>
        </w:rPr>
        <w:t xml:space="preserve">  （投标人全称）  </w:t>
      </w:r>
      <w:r>
        <w:rPr>
          <w:rFonts w:ascii="宋体" w:hAnsi="宋体"/>
          <w:szCs w:val="21"/>
        </w:rPr>
        <w:t>参加你方招标的</w:t>
      </w:r>
      <w:r>
        <w:rPr>
          <w:rFonts w:ascii="宋体" w:hAnsi="宋体"/>
          <w:szCs w:val="21"/>
          <w:u w:val="single"/>
        </w:rPr>
        <w:t>（项目名称全称）</w:t>
      </w:r>
      <w:r>
        <w:rPr>
          <w:rFonts w:ascii="宋体" w:hAnsi="宋体"/>
          <w:szCs w:val="21"/>
        </w:rPr>
        <w:t>招标</w:t>
      </w:r>
      <w:r>
        <w:rPr>
          <w:rFonts w:ascii="宋体" w:hAnsi="宋体"/>
          <w:szCs w:val="21"/>
          <w:u w:val="single"/>
        </w:rPr>
        <w:t xml:space="preserve">（招标编号：             </w:t>
      </w:r>
      <w:r>
        <w:rPr>
          <w:rFonts w:ascii="宋体" w:hAnsi="宋体"/>
          <w:szCs w:val="21"/>
        </w:rPr>
        <w:t>）的投标，按招标文件的规定，我方已向你方指定账户电汇或银行转账人民币小写：</w:t>
      </w:r>
      <w:r>
        <w:rPr>
          <w:rFonts w:ascii="宋体" w:hAnsi="宋体"/>
          <w:szCs w:val="21"/>
          <w:u w:val="single"/>
        </w:rPr>
        <w:t xml:space="preserve">     </w:t>
      </w:r>
      <w:r>
        <w:rPr>
          <w:rFonts w:ascii="宋体" w:hAnsi="宋体"/>
          <w:szCs w:val="21"/>
        </w:rPr>
        <w:t>元（人民币大写：</w:t>
      </w:r>
      <w:r>
        <w:rPr>
          <w:rFonts w:ascii="宋体" w:hAnsi="宋体"/>
          <w:szCs w:val="21"/>
          <w:u w:val="single"/>
        </w:rPr>
        <w:t xml:space="preserve">     </w:t>
      </w:r>
      <w:r>
        <w:rPr>
          <w:rFonts w:ascii="宋体" w:hAnsi="宋体"/>
          <w:szCs w:val="21"/>
        </w:rPr>
        <w:t>元）作为我方的投标保证金，并随本承诺函提供银行电汇或银行转账凭证复印件。</w:t>
      </w:r>
      <w:bookmarkEnd w:id="378"/>
      <w:bookmarkEnd w:id="379"/>
    </w:p>
    <w:p>
      <w:pPr>
        <w:spacing w:line="360" w:lineRule="auto"/>
        <w:ind w:firstLine="420" w:firstLineChars="200"/>
        <w:rPr>
          <w:rFonts w:hint="eastAsia" w:ascii="宋体" w:hAnsi="宋体"/>
          <w:szCs w:val="21"/>
        </w:rPr>
      </w:pPr>
      <w:bookmarkStart w:id="380" w:name="_Toc269106630"/>
      <w:bookmarkStart w:id="381" w:name="_Toc273346626"/>
      <w:r>
        <w:rPr>
          <w:rFonts w:ascii="宋体" w:hAnsi="宋体"/>
          <w:szCs w:val="21"/>
        </w:rPr>
        <w:t>我方在此无条件地、不可撤销地承诺：</w:t>
      </w:r>
      <w:bookmarkEnd w:id="380"/>
      <w:bookmarkEnd w:id="381"/>
    </w:p>
    <w:p>
      <w:pPr>
        <w:spacing w:line="360" w:lineRule="auto"/>
        <w:ind w:firstLine="420" w:firstLineChars="200"/>
        <w:rPr>
          <w:rFonts w:hint="eastAsia" w:ascii="宋体" w:hAnsi="宋体"/>
          <w:szCs w:val="21"/>
        </w:rPr>
      </w:pPr>
      <w:r>
        <w:rPr>
          <w:rFonts w:ascii="宋体" w:hAnsi="宋体"/>
          <w:szCs w:val="21"/>
        </w:rPr>
        <w:t>在本承诺函有效期内，如我方有下列任何一种违反招标文件规定的事实，在收到你方的书面通知后，上述投标保证金全部归你方所有。</w:t>
      </w:r>
    </w:p>
    <w:p>
      <w:pPr>
        <w:spacing w:line="360" w:lineRule="auto"/>
        <w:ind w:firstLine="420" w:firstLineChars="200"/>
        <w:rPr>
          <w:rFonts w:hint="eastAsia" w:ascii="宋体" w:hAnsi="宋体"/>
          <w:szCs w:val="21"/>
        </w:rPr>
      </w:pPr>
      <w:r>
        <w:rPr>
          <w:rFonts w:ascii="宋体" w:hAnsi="宋体"/>
          <w:szCs w:val="21"/>
        </w:rPr>
        <w:t>1．我方在招标文件投标人须知规定的投标有效期内修改或撤回其投标文件；</w:t>
      </w:r>
    </w:p>
    <w:p>
      <w:pPr>
        <w:spacing w:line="360" w:lineRule="auto"/>
        <w:ind w:firstLine="420" w:firstLineChars="200"/>
        <w:rPr>
          <w:rFonts w:hint="eastAsia" w:ascii="宋体" w:hAnsi="宋体"/>
          <w:szCs w:val="21"/>
        </w:rPr>
      </w:pPr>
      <w:r>
        <w:rPr>
          <w:rFonts w:ascii="宋体" w:hAnsi="宋体"/>
          <w:szCs w:val="21"/>
        </w:rPr>
        <w:t>2．在你方发出中标通知书之日起30天内，由于我方的原因未能与你方签订合同；</w:t>
      </w:r>
    </w:p>
    <w:p>
      <w:pPr>
        <w:spacing w:line="360" w:lineRule="auto"/>
        <w:ind w:firstLine="420" w:firstLineChars="200"/>
        <w:rPr>
          <w:rFonts w:hint="eastAsia" w:ascii="宋体" w:hAnsi="宋体"/>
          <w:szCs w:val="21"/>
        </w:rPr>
      </w:pPr>
      <w:r>
        <w:rPr>
          <w:rFonts w:ascii="宋体" w:hAnsi="宋体"/>
          <w:szCs w:val="21"/>
        </w:rPr>
        <w:t>3．我方在签订合同时未能提供合格的履约担保；</w:t>
      </w:r>
    </w:p>
    <w:p>
      <w:pPr>
        <w:spacing w:line="360" w:lineRule="auto"/>
        <w:ind w:firstLine="420" w:firstLineChars="200"/>
        <w:rPr>
          <w:rFonts w:hint="eastAsia" w:ascii="宋体" w:hAnsi="宋体"/>
          <w:szCs w:val="21"/>
        </w:rPr>
      </w:pPr>
      <w:r>
        <w:rPr>
          <w:rFonts w:ascii="宋体" w:hAnsi="宋体"/>
          <w:szCs w:val="21"/>
        </w:rPr>
        <w:t>4．我方发生招标文件投标人须知所述的情况。</w:t>
      </w:r>
    </w:p>
    <w:p>
      <w:pPr>
        <w:spacing w:line="360" w:lineRule="auto"/>
        <w:ind w:firstLine="420" w:firstLineChars="200"/>
        <w:rPr>
          <w:rFonts w:hint="eastAsia" w:ascii="宋体" w:hAnsi="宋体"/>
          <w:szCs w:val="21"/>
        </w:rPr>
      </w:pPr>
      <w:r>
        <w:rPr>
          <w:rFonts w:ascii="宋体" w:hAnsi="宋体"/>
          <w:szCs w:val="21"/>
        </w:rPr>
        <w:t>本承诺函在特别有效期内一直有效。若你方要求延长投标有效期，经我方同意后，本承诺函的有效期自动相应延长。</w:t>
      </w:r>
    </w:p>
    <w:p>
      <w:pPr>
        <w:spacing w:line="360" w:lineRule="auto"/>
        <w:ind w:firstLine="480"/>
        <w:rPr>
          <w:rFonts w:hint="eastAsia" w:ascii="宋体" w:hAnsi="宋体"/>
          <w:szCs w:val="21"/>
        </w:rPr>
      </w:pPr>
    </w:p>
    <w:p>
      <w:pPr>
        <w:spacing w:line="360" w:lineRule="auto"/>
        <w:ind w:firstLine="480"/>
        <w:rPr>
          <w:rFonts w:cs="Arial"/>
          <w:sz w:val="24"/>
        </w:rPr>
      </w:pPr>
    </w:p>
    <w:p>
      <w:pPr>
        <w:spacing w:line="360" w:lineRule="auto"/>
        <w:ind w:firstLine="480"/>
        <w:rPr>
          <w:rFonts w:cs="Arial"/>
          <w:sz w:val="24"/>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wordWrap w:val="0"/>
        <w:spacing w:line="360" w:lineRule="auto"/>
        <w:ind w:firstLine="3360" w:firstLineChars="1600"/>
        <w:jc w:val="right"/>
        <w:rPr>
          <w:rFonts w:cs="Arial"/>
          <w:szCs w:val="21"/>
        </w:rPr>
      </w:pPr>
      <w:bookmarkStart w:id="382" w:name="_Toc269106631"/>
      <w:bookmarkStart w:id="383" w:name="_Toc273346627"/>
      <w:r>
        <w:rPr>
          <w:rFonts w:hAnsi="宋体" w:cs="Arial"/>
          <w:szCs w:val="21"/>
        </w:rPr>
        <w:t>法定代表人或</w:t>
      </w:r>
      <w:bookmarkEnd w:id="382"/>
      <w:bookmarkEnd w:id="383"/>
      <w:bookmarkStart w:id="384" w:name="_Toc269106632"/>
      <w:bookmarkStart w:id="385" w:name="_Toc273346628"/>
      <w:r>
        <w:rPr>
          <w:rFonts w:hAnsi="宋体" w:cs="Arial"/>
          <w:szCs w:val="21"/>
        </w:rPr>
        <w:t>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bookmarkEnd w:id="384"/>
      <w:bookmarkEnd w:id="385"/>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firstLine="3360" w:firstLineChars="1600"/>
        <w:rPr>
          <w:rFonts w:hint="eastAsia"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ageBreakBefore/>
        <w:snapToGrid w:val="0"/>
        <w:spacing w:before="240" w:beforeLines="100" w:after="240" w:afterLines="100" w:line="360" w:lineRule="auto"/>
        <w:jc w:val="center"/>
        <w:rPr>
          <w:rFonts w:hint="eastAsia" w:ascii="宋体" w:hAnsi="宋体" w:cs="宋体"/>
          <w:b/>
          <w:szCs w:val="21"/>
          <w:lang w:val="zh-TW"/>
        </w:rPr>
      </w:pPr>
      <w:r>
        <w:rPr>
          <w:rFonts w:ascii="宋体" w:hAnsi="宋体" w:cs="宋体"/>
          <w:b/>
          <w:szCs w:val="21"/>
          <w:lang w:val="zh-TW"/>
        </w:rPr>
        <w:t>（二）银行电汇或银行转账银行凭证复印件</w:t>
      </w:r>
    </w:p>
    <w:p>
      <w:pPr>
        <w:tabs>
          <w:tab w:val="left" w:pos="0"/>
        </w:tabs>
        <w:spacing w:line="360" w:lineRule="auto"/>
        <w:ind w:firstLine="482"/>
        <w:rPr>
          <w:rFonts w:hint="eastAsia" w:ascii="宋体" w:hAnsi="宋体"/>
          <w:szCs w:val="21"/>
        </w:rPr>
      </w:pPr>
      <w:r>
        <w:rPr>
          <w:rFonts w:ascii="宋体" w:hAnsi="宋体"/>
          <w:szCs w:val="21"/>
        </w:rPr>
        <w:t>采用银行电汇或银行转账方式提交投标保证金的投标人，须在投标文件中提供银行电汇或银行转账凭证的复印件。</w:t>
      </w:r>
    </w:p>
    <w:tbl>
      <w:tblPr>
        <w:tblStyle w:val="41"/>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8271" w:type="dxa"/>
            <w:vAlign w:val="center"/>
          </w:tcPr>
          <w:p>
            <w:pPr>
              <w:autoSpaceDE w:val="0"/>
              <w:autoSpaceDN w:val="0"/>
              <w:spacing w:line="360" w:lineRule="auto"/>
              <w:jc w:val="center"/>
              <w:rPr>
                <w:rFonts w:cs="Arial"/>
                <w:b/>
                <w:bCs/>
                <w:sz w:val="24"/>
              </w:rPr>
            </w:pPr>
            <w:r>
              <w:rPr>
                <w:rFonts w:hint="eastAsia" w:cs="Arial"/>
                <w:b/>
                <w:bCs/>
                <w:sz w:val="24"/>
              </w:rPr>
              <w:t>银行电汇或银行转账凭证复印件粘贴处</w:t>
            </w:r>
          </w:p>
        </w:tc>
      </w:tr>
    </w:tbl>
    <w:p>
      <w:pPr>
        <w:pStyle w:val="162"/>
        <w:spacing w:line="360" w:lineRule="auto"/>
        <w:ind w:firstLine="0" w:firstLineChars="0"/>
        <w:rPr>
          <w:rFonts w:ascii="Arial" w:hAnsi="Arial" w:cs="Arial"/>
          <w:sz w:val="24"/>
        </w:rPr>
      </w:pPr>
    </w:p>
    <w:p>
      <w:pPr>
        <w:pageBreakBefore/>
        <w:snapToGrid w:val="0"/>
        <w:spacing w:before="240" w:beforeLines="100" w:after="240" w:afterLines="100" w:line="360" w:lineRule="auto"/>
        <w:jc w:val="center"/>
        <w:rPr>
          <w:rFonts w:hint="eastAsia" w:ascii="宋体" w:hAnsi="宋体" w:cs="宋体"/>
          <w:b/>
          <w:szCs w:val="21"/>
          <w:lang w:val="zh-TW"/>
        </w:rPr>
      </w:pPr>
      <w:bookmarkStart w:id="386" w:name="_Toc32698"/>
      <w:bookmarkStart w:id="387" w:name="_Toc3966"/>
      <w:r>
        <w:rPr>
          <w:rFonts w:hint="eastAsia" w:ascii="宋体" w:hAnsi="宋体" w:cs="宋体"/>
          <w:b/>
          <w:szCs w:val="21"/>
          <w:lang w:val="zh-TW"/>
        </w:rPr>
        <w:t>（三）投标保证金退还表格式</w:t>
      </w:r>
      <w:bookmarkEnd w:id="386"/>
      <w:bookmarkEnd w:id="387"/>
    </w:p>
    <w:p>
      <w:pPr>
        <w:spacing w:line="360" w:lineRule="auto"/>
        <w:rPr>
          <w:rFonts w:hint="eastAsia" w:ascii="宋体" w:hAnsi="宋体"/>
          <w:szCs w:val="21"/>
        </w:rPr>
      </w:pPr>
      <w:r>
        <w:rPr>
          <w:rFonts w:hint="eastAsia" w:ascii="宋体" w:hAnsi="宋体"/>
          <w:szCs w:val="21"/>
        </w:rPr>
        <w:t>国药集团扬州威克生物工程有限公司：</w:t>
      </w:r>
    </w:p>
    <w:p>
      <w:pPr>
        <w:spacing w:line="360" w:lineRule="auto"/>
        <w:ind w:firstLine="420" w:firstLineChars="200"/>
        <w:rPr>
          <w:rFonts w:hint="eastAsia" w:ascii="宋体" w:hAnsi="宋体"/>
          <w:szCs w:val="21"/>
        </w:rPr>
      </w:pPr>
      <w:r>
        <w:rPr>
          <w:rFonts w:hint="eastAsia" w:ascii="宋体" w:hAnsi="宋体"/>
          <w:szCs w:val="21"/>
        </w:rPr>
        <w:t>我公司参加了由贵单位组织的</w:t>
      </w:r>
      <w:r>
        <w:rPr>
          <w:rFonts w:hint="eastAsia" w:ascii="宋体" w:hAnsi="宋体"/>
          <w:szCs w:val="21"/>
          <w:u w:val="single"/>
        </w:rPr>
        <w:t xml:space="preserve">                       </w:t>
      </w:r>
      <w:r>
        <w:rPr>
          <w:rFonts w:hint="eastAsia" w:ascii="宋体" w:hAnsi="宋体"/>
          <w:szCs w:val="21"/>
        </w:rPr>
        <w:t>（项目名称）的投标，招标编号为</w:t>
      </w:r>
      <w:r>
        <w:rPr>
          <w:rFonts w:hint="eastAsia" w:ascii="宋体" w:hAnsi="宋体"/>
          <w:szCs w:val="21"/>
          <w:u w:val="single"/>
        </w:rPr>
        <w:t xml:space="preserve">                      </w:t>
      </w:r>
      <w:r>
        <w:rPr>
          <w:rFonts w:hint="eastAsia" w:ascii="宋体" w:hAnsi="宋体"/>
          <w:szCs w:val="21"/>
        </w:rPr>
        <w:t>。我公司递交了</w:t>
      </w:r>
      <w:r>
        <w:rPr>
          <w:rFonts w:hint="eastAsia" w:ascii="宋体" w:hAnsi="宋体"/>
          <w:szCs w:val="21"/>
          <w:u w:val="single"/>
        </w:rPr>
        <w:t xml:space="preserve">           </w:t>
      </w:r>
      <w:r>
        <w:rPr>
          <w:rFonts w:hint="eastAsia" w:ascii="宋体" w:hAnsi="宋体"/>
          <w:szCs w:val="21"/>
        </w:rPr>
        <w:t>元人民币的投标保证金。</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我公司账户如下：</w:t>
      </w:r>
    </w:p>
    <w:p>
      <w:pPr>
        <w:spacing w:line="360" w:lineRule="auto"/>
        <w:ind w:firstLine="420" w:firstLineChars="200"/>
        <w:rPr>
          <w:rFonts w:hint="eastAsia" w:ascii="宋体" w:hAnsi="宋体"/>
          <w:szCs w:val="21"/>
        </w:rPr>
      </w:pPr>
      <w:r>
        <w:rPr>
          <w:rFonts w:hint="eastAsia" w:ascii="宋体" w:hAnsi="宋体"/>
          <w:szCs w:val="21"/>
        </w:rPr>
        <w:t>开户银行名称：</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账 户 名  称：</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帐        号：</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联   系   人：</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联  系 电 话：</w:t>
      </w:r>
      <w:r>
        <w:rPr>
          <w:rFonts w:hint="eastAsia" w:ascii="宋体" w:hAnsi="宋体"/>
          <w:szCs w:val="21"/>
          <w:u w:val="single"/>
        </w:rPr>
        <w:t xml:space="preserve">                    </w:t>
      </w:r>
    </w:p>
    <w:p>
      <w:pPr>
        <w:spacing w:line="360" w:lineRule="auto"/>
        <w:ind w:firstLine="420" w:firstLineChars="200"/>
        <w:rPr>
          <w:rFonts w:hint="eastAsia" w:ascii="宋体" w:hAnsi="宋体"/>
          <w:szCs w:val="21"/>
        </w:rPr>
      </w:pPr>
    </w:p>
    <w:p>
      <w:pPr>
        <w:spacing w:line="360" w:lineRule="auto"/>
        <w:rPr>
          <w:rFonts w:hint="eastAsia" w:ascii="宋体" w:hAnsi="宋体"/>
          <w:szCs w:val="21"/>
        </w:rPr>
      </w:pPr>
      <w:r>
        <w:rPr>
          <w:rFonts w:hint="eastAsia" w:ascii="宋体" w:hAnsi="宋体"/>
          <w:szCs w:val="21"/>
        </w:rPr>
        <w:t>如若中标，我公司</w:t>
      </w:r>
      <w:r>
        <w:rPr>
          <w:rFonts w:hint="eastAsia" w:ascii="宋体" w:hAnsi="宋体"/>
          <w:b/>
          <w:szCs w:val="21"/>
        </w:rPr>
        <w:t>增值税专用发票</w:t>
      </w:r>
      <w:r>
        <w:rPr>
          <w:rFonts w:hint="eastAsia" w:ascii="宋体" w:hAnsi="宋体"/>
          <w:szCs w:val="21"/>
        </w:rPr>
        <w:t>开票信息如下：</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360" w:firstLineChars="1600"/>
        <w:rPr>
          <w:rFonts w:cs="Arial"/>
          <w:szCs w:val="21"/>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p>
    <w:p>
      <w:pPr>
        <w:spacing w:line="360" w:lineRule="auto"/>
        <w:ind w:firstLine="3360" w:firstLineChars="1600"/>
        <w:rPr>
          <w:rFonts w:hint="eastAsia"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88" w:name="_Toc216582818"/>
      <w:bookmarkStart w:id="389" w:name="_Toc77629037"/>
      <w:bookmarkStart w:id="390" w:name="_Toc20445"/>
      <w:bookmarkStart w:id="391" w:name="_Toc29240302"/>
      <w:bookmarkStart w:id="392" w:name="_Toc77628623"/>
      <w:bookmarkStart w:id="393" w:name="_Toc77628957"/>
      <w:bookmarkStart w:id="394" w:name="_Toc415222529"/>
      <w:r>
        <w:rPr>
          <w:rFonts w:hint="eastAsia" w:ascii="宋体" w:hAnsi="宋体" w:eastAsia="宋体"/>
          <w:sz w:val="21"/>
          <w:szCs w:val="21"/>
        </w:rPr>
        <w:t>附件4 商务条款偏离表</w:t>
      </w:r>
      <w:bookmarkEnd w:id="388"/>
      <w:bookmarkEnd w:id="389"/>
      <w:bookmarkEnd w:id="390"/>
      <w:bookmarkEnd w:id="391"/>
      <w:bookmarkEnd w:id="392"/>
      <w:bookmarkEnd w:id="393"/>
      <w:bookmarkEnd w:id="394"/>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8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35"/>
        <w:gridCol w:w="1768"/>
        <w:gridCol w:w="1769"/>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center"/>
          </w:tcPr>
          <w:p>
            <w:pPr>
              <w:pStyle w:val="20"/>
              <w:spacing w:line="360" w:lineRule="auto"/>
              <w:jc w:val="center"/>
              <w:rPr>
                <w:rFonts w:hint="eastAsia" w:hAnsi="宋体"/>
                <w:szCs w:val="21"/>
              </w:rPr>
            </w:pPr>
            <w:r>
              <w:rPr>
                <w:rFonts w:hint="eastAsia" w:hAnsi="宋体"/>
                <w:szCs w:val="21"/>
              </w:rPr>
              <w:t>序号</w:t>
            </w:r>
          </w:p>
        </w:tc>
        <w:tc>
          <w:tcPr>
            <w:tcW w:w="2135" w:type="dxa"/>
            <w:vAlign w:val="center"/>
          </w:tcPr>
          <w:p>
            <w:pPr>
              <w:pStyle w:val="20"/>
              <w:spacing w:line="360" w:lineRule="auto"/>
              <w:jc w:val="center"/>
              <w:rPr>
                <w:rFonts w:hint="eastAsia" w:hAnsi="宋体"/>
                <w:szCs w:val="21"/>
              </w:rPr>
            </w:pPr>
            <w:r>
              <w:rPr>
                <w:rFonts w:hint="eastAsia" w:hAnsi="宋体"/>
                <w:szCs w:val="21"/>
              </w:rPr>
              <w:t>招标文件的商务条款要求</w:t>
            </w:r>
          </w:p>
        </w:tc>
        <w:tc>
          <w:tcPr>
            <w:tcW w:w="1768" w:type="dxa"/>
            <w:vAlign w:val="center"/>
          </w:tcPr>
          <w:p>
            <w:pPr>
              <w:pStyle w:val="20"/>
              <w:spacing w:line="360" w:lineRule="auto"/>
              <w:jc w:val="center"/>
              <w:rPr>
                <w:rFonts w:hint="eastAsia" w:hAnsi="宋体"/>
                <w:szCs w:val="21"/>
              </w:rPr>
            </w:pPr>
            <w:r>
              <w:rPr>
                <w:rFonts w:hint="eastAsia" w:hAnsi="宋体"/>
                <w:szCs w:val="21"/>
              </w:rPr>
              <w:t>投标响应</w:t>
            </w:r>
          </w:p>
        </w:tc>
        <w:tc>
          <w:tcPr>
            <w:tcW w:w="1769" w:type="dxa"/>
            <w:vAlign w:val="center"/>
          </w:tcPr>
          <w:p>
            <w:pPr>
              <w:pStyle w:val="20"/>
              <w:spacing w:line="360" w:lineRule="auto"/>
              <w:jc w:val="center"/>
              <w:rPr>
                <w:rFonts w:hint="eastAsia" w:hAnsi="宋体"/>
                <w:szCs w:val="21"/>
              </w:rPr>
            </w:pPr>
            <w:r>
              <w:rPr>
                <w:rFonts w:hint="eastAsia" w:hAnsi="宋体"/>
                <w:szCs w:val="21"/>
              </w:rPr>
              <w:t>偏离情况</w:t>
            </w:r>
          </w:p>
        </w:tc>
        <w:tc>
          <w:tcPr>
            <w:tcW w:w="1522" w:type="dxa"/>
            <w:vAlign w:val="center"/>
          </w:tcPr>
          <w:p>
            <w:pPr>
              <w:pStyle w:val="20"/>
              <w:spacing w:line="360" w:lineRule="auto"/>
              <w:jc w:val="center"/>
              <w:rPr>
                <w:rFonts w:hint="eastAsia"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r>
              <w:rPr>
                <w:rFonts w:hint="eastAsia" w:hAnsi="宋体"/>
                <w:szCs w:val="21"/>
              </w:rPr>
              <w:t>1</w:t>
            </w:r>
          </w:p>
        </w:tc>
        <w:tc>
          <w:tcPr>
            <w:tcW w:w="2135" w:type="dxa"/>
          </w:tcPr>
          <w:p>
            <w:pPr>
              <w:pStyle w:val="20"/>
              <w:spacing w:line="360" w:lineRule="auto"/>
              <w:jc w:val="center"/>
              <w:rPr>
                <w:rFonts w:hint="eastAsia" w:hAnsi="宋体"/>
                <w:szCs w:val="21"/>
              </w:rPr>
            </w:pPr>
            <w:r>
              <w:rPr>
                <w:rFonts w:hint="eastAsia" w:hAnsi="宋体"/>
                <w:szCs w:val="21"/>
              </w:rPr>
              <w:t>投标有效期</w:t>
            </w: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r>
              <w:rPr>
                <w:rFonts w:hint="eastAsia" w:hAnsi="宋体"/>
                <w:szCs w:val="21"/>
              </w:rPr>
              <w:t>2</w:t>
            </w:r>
          </w:p>
        </w:tc>
        <w:tc>
          <w:tcPr>
            <w:tcW w:w="2135" w:type="dxa"/>
          </w:tcPr>
          <w:p>
            <w:pPr>
              <w:pStyle w:val="20"/>
              <w:spacing w:line="360" w:lineRule="auto"/>
              <w:jc w:val="center"/>
              <w:rPr>
                <w:rFonts w:hint="eastAsia" w:hAnsi="宋体"/>
                <w:szCs w:val="21"/>
              </w:rPr>
            </w:pPr>
            <w:r>
              <w:rPr>
                <w:rFonts w:hint="eastAsia" w:hAnsi="宋体"/>
                <w:szCs w:val="21"/>
              </w:rPr>
              <w:t>投标保证金</w:t>
            </w: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r>
              <w:rPr>
                <w:rFonts w:hint="eastAsia" w:hAnsi="宋体"/>
                <w:szCs w:val="21"/>
              </w:rPr>
              <w:t>3</w:t>
            </w:r>
          </w:p>
        </w:tc>
        <w:tc>
          <w:tcPr>
            <w:tcW w:w="2135" w:type="dxa"/>
          </w:tcPr>
          <w:p>
            <w:pPr>
              <w:pStyle w:val="20"/>
              <w:spacing w:line="360" w:lineRule="auto"/>
              <w:jc w:val="center"/>
              <w:rPr>
                <w:rFonts w:hint="eastAsia" w:hAnsi="宋体"/>
                <w:szCs w:val="21"/>
              </w:rPr>
            </w:pPr>
            <w:r>
              <w:rPr>
                <w:rFonts w:hint="eastAsia" w:hAnsi="宋体"/>
                <w:szCs w:val="21"/>
              </w:rPr>
              <w:t>合同条款</w:t>
            </w: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bl>
    <w:p>
      <w:pPr>
        <w:pStyle w:val="20"/>
        <w:spacing w:line="360" w:lineRule="auto"/>
        <w:rPr>
          <w:rFonts w:hint="eastAsia" w:hAnsi="宋体"/>
          <w:szCs w:val="21"/>
        </w:rPr>
      </w:pPr>
    </w:p>
    <w:p>
      <w:pPr>
        <w:pStyle w:val="20"/>
        <w:spacing w:line="360" w:lineRule="auto"/>
        <w:jc w:val="left"/>
        <w:rPr>
          <w:rFonts w:hint="eastAsia" w:hAnsi="宋体"/>
          <w:b/>
          <w:szCs w:val="21"/>
        </w:rPr>
      </w:pPr>
      <w:r>
        <w:rPr>
          <w:rFonts w:hint="eastAsia" w:hAnsi="宋体"/>
          <w:b/>
          <w:szCs w:val="21"/>
        </w:rPr>
        <w:t>注：投标人应对招标文件第二章投标人须知前附表、第三章合同条款等商务条款进行响应，</w:t>
      </w:r>
      <w:r>
        <w:rPr>
          <w:rFonts w:hint="eastAsia" w:hAnsi="宋体"/>
          <w:b/>
          <w:bCs/>
          <w:szCs w:val="21"/>
        </w:rPr>
        <w:t>表中“偏离情况”一栏应填以“正偏离”、“负偏离”或“符合”，投标</w:t>
      </w:r>
      <w:r>
        <w:rPr>
          <w:rFonts w:hint="eastAsia" w:hAnsi="宋体"/>
          <w:b/>
          <w:szCs w:val="21"/>
        </w:rPr>
        <w:t>响应情况请在商务偏离表中列明。如有无列明偏离，则视为响应招标文件商务条款要求。</w:t>
      </w:r>
    </w:p>
    <w:p>
      <w:pPr>
        <w:pStyle w:val="20"/>
        <w:spacing w:line="360" w:lineRule="auto"/>
        <w:rPr>
          <w:rFonts w:hint="eastAsia" w:hAnsi="宋体"/>
          <w:b/>
          <w:szCs w:val="21"/>
        </w:rPr>
      </w:pPr>
    </w:p>
    <w:p>
      <w:pPr>
        <w:pStyle w:val="20"/>
        <w:spacing w:line="360" w:lineRule="auto"/>
        <w:rPr>
          <w:rFonts w:hint="eastAsia" w:hAnsi="宋体"/>
          <w:b/>
          <w:szCs w:val="21"/>
        </w:rPr>
      </w:pPr>
    </w:p>
    <w:p>
      <w:pPr>
        <w:pStyle w:val="20"/>
        <w:spacing w:line="360" w:lineRule="auto"/>
        <w:rPr>
          <w:rFonts w:hint="eastAsia" w:hAnsi="宋体"/>
          <w:b/>
          <w:szCs w:val="21"/>
        </w:rPr>
      </w:pPr>
    </w:p>
    <w:p>
      <w:pPr>
        <w:spacing w:line="360" w:lineRule="auto"/>
        <w:ind w:firstLine="3570" w:firstLineChars="17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570" w:firstLineChars="1700"/>
        <w:jc w:val="left"/>
        <w:rPr>
          <w:rFonts w:cs="Arial"/>
          <w:szCs w:val="21"/>
          <w:u w:val="single"/>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p>
    <w:p>
      <w:pPr>
        <w:spacing w:line="360" w:lineRule="auto"/>
        <w:ind w:firstLine="3570" w:firstLineChars="1700"/>
        <w:jc w:val="left"/>
        <w:rPr>
          <w:rFonts w:hint="eastAsia"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highlight w:val="yellow"/>
        </w:rPr>
      </w:pPr>
      <w:bookmarkStart w:id="395" w:name="_Toc415222528"/>
      <w:bookmarkStart w:id="396" w:name="_Toc29240303"/>
      <w:bookmarkStart w:id="397" w:name="_Toc216582817"/>
      <w:bookmarkStart w:id="398" w:name="_Toc77628624"/>
      <w:bookmarkStart w:id="399" w:name="_Toc19842"/>
      <w:bookmarkStart w:id="400" w:name="_Toc77629038"/>
      <w:bookmarkStart w:id="401" w:name="_Toc77628958"/>
      <w:r>
        <w:rPr>
          <w:rFonts w:hint="eastAsia" w:ascii="宋体" w:hAnsi="宋体" w:eastAsia="宋体"/>
          <w:sz w:val="21"/>
          <w:szCs w:val="21"/>
          <w:highlight w:val="yellow"/>
        </w:rPr>
        <w:t>附件5 技术规格偏离表</w:t>
      </w:r>
      <w:bookmarkEnd w:id="395"/>
      <w:bookmarkEnd w:id="396"/>
      <w:bookmarkEnd w:id="397"/>
      <w:bookmarkEnd w:id="398"/>
      <w:bookmarkEnd w:id="399"/>
      <w:bookmarkEnd w:id="400"/>
      <w:bookmarkEnd w:id="401"/>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5000" w:type="pct"/>
        <w:tblInd w:w="0" w:type="dxa"/>
        <w:tblLayout w:type="fixed"/>
        <w:tblCellMar>
          <w:top w:w="0" w:type="dxa"/>
          <w:left w:w="0" w:type="dxa"/>
          <w:bottom w:w="0" w:type="dxa"/>
          <w:right w:w="0" w:type="dxa"/>
        </w:tblCellMar>
      </w:tblPr>
      <w:tblGrid>
        <w:gridCol w:w="832"/>
        <w:gridCol w:w="846"/>
        <w:gridCol w:w="6983"/>
        <w:gridCol w:w="831"/>
      </w:tblGrid>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编号</w:t>
            </w:r>
          </w:p>
        </w:tc>
        <w:tc>
          <w:tcPr>
            <w:tcW w:w="4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需求类型</w:t>
            </w: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需求明细</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响应</w:t>
            </w: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w:t>
            </w:r>
          </w:p>
        </w:tc>
        <w:tc>
          <w:tcPr>
            <w:tcW w:w="44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总体要求</w:t>
            </w: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投标单位具备为专业冷冻机组维保及维修专业技能和资质</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URS1.2</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投标单位应具备冷冻机组维修持证专业人员</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URS1.3</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需每半年进行一次回访，对所有螺杆式冷水机组进行预防性检查</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URS1.4</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招标范围内的所有机组按运行时间先后顺序保养</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URS1.5</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确保招标范围内的每台机组每年内至少进行</w:t>
            </w:r>
            <w:r>
              <w:rPr>
                <w:rFonts w:hint="eastAsia" w:asciiTheme="minorEastAsia" w:hAnsiTheme="minorEastAsia" w:eastAsiaTheme="minorEastAsia" w:cstheme="minorEastAsia"/>
                <w:kern w:val="0"/>
                <w:szCs w:val="21"/>
                <w:lang w:bidi="ar"/>
              </w:rPr>
              <w:t>一</w:t>
            </w:r>
            <w:r>
              <w:rPr>
                <w:rFonts w:hint="eastAsia" w:asciiTheme="minorEastAsia" w:hAnsiTheme="minorEastAsia" w:eastAsiaTheme="minorEastAsia" w:cstheme="minorEastAsia"/>
                <w:color w:val="000000"/>
                <w:kern w:val="0"/>
                <w:szCs w:val="21"/>
                <w:lang w:bidi="ar"/>
              </w:rPr>
              <w:t>次年度保养</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URS1.6</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每次完成维修或维保工作后，清理作业场地，并将垃圾带走，保持主机各部分清洁</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URS1.7</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投标方维保步骤必须按照严格设备使用手册进行</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URS1.8</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因投标方未按照设备使用手册进行维保，造成的损失由投标方承担</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URS1.9</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对通用及常用配件投标方应设有相应库存，预防紧急维修</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URS1.10</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投标方需24小时提供咨询和远程指导服务，确保招标方设备正常运行</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URS1.11</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机组出现不可预测的维修或异常，投标方接到通知后将以最快的速度到达现场，</w:t>
            </w:r>
            <w:r>
              <w:rPr>
                <w:rFonts w:hint="eastAsia" w:asciiTheme="minorEastAsia" w:hAnsiTheme="minorEastAsia" w:eastAsiaTheme="minorEastAsia" w:cstheme="minorEastAsia"/>
                <w:color w:val="auto"/>
                <w:kern w:val="0"/>
                <w:szCs w:val="21"/>
                <w:lang w:bidi="ar"/>
              </w:rPr>
              <w:t>最迟不超过</w:t>
            </w:r>
            <w:r>
              <w:rPr>
                <w:rFonts w:hint="eastAsia" w:asciiTheme="minorEastAsia" w:hAnsiTheme="minorEastAsia" w:eastAsiaTheme="minorEastAsia" w:cstheme="minorEastAsia"/>
                <w:color w:val="auto"/>
                <w:kern w:val="0"/>
                <w:szCs w:val="21"/>
                <w:lang w:val="en-US" w:eastAsia="zh-CN" w:bidi="ar"/>
              </w:rPr>
              <w:t>4</w:t>
            </w:r>
            <w:r>
              <w:rPr>
                <w:rFonts w:hint="eastAsia" w:asciiTheme="minorEastAsia" w:hAnsiTheme="minorEastAsia" w:eastAsiaTheme="minorEastAsia" w:cstheme="minorEastAsia"/>
                <w:color w:val="auto"/>
                <w:kern w:val="0"/>
                <w:szCs w:val="21"/>
                <w:lang w:bidi="ar"/>
              </w:rPr>
              <w:t>小时。</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URS1.12</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kern w:val="0"/>
                <w:szCs w:val="21"/>
                <w:lang w:bidi="ar"/>
              </w:rPr>
              <w:t>紧急维修过程中产生的人工费全免，材料可由招标方提供或投标方代买，事后按采购价结算。</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URS1.13</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投标文件中需列明常用备件的价格清单</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URS2.1</w:t>
            </w:r>
          </w:p>
        </w:tc>
        <w:tc>
          <w:tcPr>
            <w:tcW w:w="445"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设备检查</w:t>
            </w:r>
          </w:p>
        </w:tc>
        <w:tc>
          <w:tcPr>
            <w:tcW w:w="36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检查电源三相电压是否正常</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URS2.2</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检查机体各部有无漏水、渗油现象。</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URS2.3</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检查温控探头是否正常。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URS2.4</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检查机组运行中各参数是否在标准值。</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URS2.5</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检查机组正常运行时的温度是否正常（包括主电机、压缩机、排气温度、油温等）。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URS2.6</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测量主电机绝缘电阻，检查其是否符合机组规定的数值。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URS2.7</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检查主电机与压缩机间密封是否正常。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URS2.8</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检查各安全保护装置的整定位是否符合规定要求。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w:t>
            </w:r>
          </w:p>
        </w:tc>
        <w:tc>
          <w:tcPr>
            <w:tcW w:w="44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制冷系统</w:t>
            </w: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检查机组液位是否正常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URS3.2</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检查确认机组制冷剂是否需要补充,调整机组各部压力</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URS3.3</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检查机组供油回油系统是否正常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URS3.4</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检查主机系统中的各阀门</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URS3.5</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主电机轴承加注润滑脂。</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URS3.6</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根据机组表面情况进行除锈刷漆。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URS3.7</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校正压力传感器。</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URS3.8</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添加或更换电控冷冻液。</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URS3.9</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更换制冷机组润滑油、油过滤器</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URS3.10</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更换制冷机组干燥过滤器芯并补充制冷剂</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URS3.11</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检查机组保温情况，及时修复破损保温</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URS3.12</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记录机组运行参数</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URS3.13</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检查压缩机运行震动及噪音是否正常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URS4.1</w:t>
            </w:r>
          </w:p>
        </w:tc>
        <w:tc>
          <w:tcPr>
            <w:tcW w:w="44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电气系统</w:t>
            </w: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检查主机内部电器连接，电缆、电气控制、三相电源安全情况</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URS4.2</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检查并记录主控制器的设定值</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URS4.3</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检查记录机组运行时的各种数据是否正常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URS4.4</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测量压缩机电机绕组阻值，绝缘阻值</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URS4.5</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检查压缩机接触器触点是否正常，检查紧固电器柜内各接线端子</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URS4.6</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检查压缩机加载卸载运行功能</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URS4.7</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检查各加热带运行是否正常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URS4.8</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检查机组的安全保护和运行控制系统是否正常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URS4.9</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检查并校正机组各保护开关及传感器显示值</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URS5.1</w:t>
            </w:r>
          </w:p>
        </w:tc>
        <w:tc>
          <w:tcPr>
            <w:tcW w:w="44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水系统</w:t>
            </w: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检查机组蒸发器及冷凝器换热效果是否良好</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URS5.2</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检查冷冻及冷却水的流量及水温是否符合要求</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URS5.3</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检查水流保护开关动作是否正常，动作失灵要及时修理或更换</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URS5.4</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对冷凝器进行物理及化学清洗，确保冷凝器的换热效果</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bl>
    <w:p>
      <w:pPr>
        <w:pStyle w:val="2"/>
      </w:pP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02" w:name="_Toc216582819"/>
      <w:bookmarkStart w:id="403" w:name="_Toc77628959"/>
      <w:bookmarkStart w:id="404" w:name="_Toc520356224"/>
      <w:bookmarkStart w:id="405" w:name="_Toc32311"/>
      <w:bookmarkStart w:id="406" w:name="_Toc29240304"/>
      <w:bookmarkStart w:id="407" w:name="_Toc77628625"/>
      <w:bookmarkStart w:id="408" w:name="_Toc77629039"/>
      <w:bookmarkStart w:id="409" w:name="_Ref467988543"/>
      <w:bookmarkStart w:id="410" w:name="_Toc415222530"/>
      <w:bookmarkStart w:id="411" w:name="_Toc480942355"/>
      <w:r>
        <w:rPr>
          <w:rFonts w:hint="eastAsia" w:ascii="宋体" w:hAnsi="宋体" w:eastAsia="宋体"/>
          <w:sz w:val="21"/>
          <w:szCs w:val="21"/>
        </w:rPr>
        <w:t>附件6 资格证明文件</w:t>
      </w:r>
      <w:bookmarkEnd w:id="402"/>
      <w:bookmarkEnd w:id="403"/>
      <w:bookmarkEnd w:id="404"/>
      <w:bookmarkEnd w:id="405"/>
      <w:bookmarkEnd w:id="406"/>
      <w:bookmarkEnd w:id="407"/>
      <w:bookmarkEnd w:id="408"/>
      <w:bookmarkEnd w:id="409"/>
      <w:bookmarkEnd w:id="410"/>
      <w:bookmarkEnd w:id="411"/>
    </w:p>
    <w:p>
      <w:pPr>
        <w:tabs>
          <w:tab w:val="left" w:pos="5580"/>
        </w:tabs>
        <w:spacing w:line="360" w:lineRule="auto"/>
        <w:ind w:firstLine="420" w:firstLineChars="200"/>
        <w:rPr>
          <w:rFonts w:hint="eastAsia" w:ascii="宋体" w:hAnsi="宋体"/>
          <w:szCs w:val="21"/>
        </w:rPr>
      </w:pPr>
      <w:bookmarkStart w:id="412" w:name="_Toc77628786"/>
      <w:bookmarkStart w:id="413" w:name="_Toc77629399"/>
      <w:bookmarkStart w:id="414" w:name="_Toc77685369"/>
      <w:bookmarkStart w:id="415" w:name="_Toc77628960"/>
      <w:bookmarkStart w:id="416" w:name="_Toc77628626"/>
      <w:bookmarkStart w:id="417" w:name="_Toc77629040"/>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hint="eastAsia" w:ascii="宋体" w:hAnsi="宋体"/>
          <w:color w:val="FF0000"/>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3</w:t>
      </w:r>
      <w:r>
        <w:rPr>
          <w:rFonts w:hint="eastAsia" w:ascii="宋体" w:hAnsi="宋体"/>
          <w:szCs w:val="21"/>
        </w:rPr>
        <w:t>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4</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5</w:t>
      </w:r>
      <w:r>
        <w:rPr>
          <w:rFonts w:hint="eastAsia" w:ascii="宋体" w:hAnsi="宋体"/>
          <w:szCs w:val="21"/>
        </w:rPr>
        <w:t>近三年类似项目业绩一览表</w:t>
      </w:r>
    </w:p>
    <w:p>
      <w:pPr>
        <w:tabs>
          <w:tab w:val="left" w:pos="5580"/>
        </w:tabs>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6</w:t>
      </w:r>
      <w:r>
        <w:rPr>
          <w:rFonts w:hint="eastAsia" w:ascii="宋体" w:hAnsi="宋体"/>
          <w:szCs w:val="21"/>
        </w:rPr>
        <w:t>符合投标人须知前附表和招标文件中要求的其它证明文件</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r>
        <w:rPr>
          <w:rFonts w:hint="eastAsia" w:ascii="宋体" w:hAnsi="宋体"/>
          <w:sz w:val="21"/>
          <w:szCs w:val="21"/>
        </w:rPr>
        <w:t>附件6-1 营业执照等证明文件</w:t>
      </w:r>
      <w:bookmarkEnd w:id="412"/>
      <w:bookmarkEnd w:id="413"/>
      <w:bookmarkEnd w:id="414"/>
      <w:bookmarkEnd w:id="415"/>
      <w:bookmarkEnd w:id="416"/>
      <w:bookmarkEnd w:id="417"/>
    </w:p>
    <w:p>
      <w:pPr>
        <w:pStyle w:val="20"/>
        <w:tabs>
          <w:tab w:val="left" w:pos="5580"/>
        </w:tabs>
        <w:spacing w:line="360" w:lineRule="auto"/>
        <w:ind w:left="420" w:leftChars="200"/>
        <w:rPr>
          <w:rFonts w:hint="eastAsia" w:hAnsi="宋体"/>
          <w:szCs w:val="21"/>
        </w:rPr>
      </w:pPr>
    </w:p>
    <w:p>
      <w:pPr>
        <w:tabs>
          <w:tab w:val="left" w:pos="5580"/>
        </w:tabs>
        <w:spacing w:line="360" w:lineRule="auto"/>
        <w:rPr>
          <w:rFonts w:hint="eastAsia" w:ascii="宋体" w:hAnsi="宋体"/>
          <w:szCs w:val="21"/>
        </w:rPr>
      </w:pPr>
      <w:r>
        <w:rPr>
          <w:rFonts w:hint="eastAsia" w:ascii="宋体" w:hAnsi="宋体"/>
          <w:szCs w:val="21"/>
        </w:rPr>
        <w:t>说明：1.提供有效的营业执照等证明文件复印件，复印件上应加盖本单位公章；</w:t>
      </w:r>
    </w:p>
    <w:p>
      <w:pPr>
        <w:tabs>
          <w:tab w:val="left" w:pos="5580"/>
        </w:tabs>
        <w:spacing w:line="360" w:lineRule="auto"/>
        <w:ind w:firstLine="630" w:firstLineChars="300"/>
        <w:rPr>
          <w:rFonts w:hint="eastAsia" w:ascii="宋体" w:hAnsi="宋体"/>
          <w:szCs w:val="21"/>
        </w:rPr>
      </w:pPr>
      <w:r>
        <w:rPr>
          <w:rFonts w:hint="eastAsia" w:ascii="宋体" w:hAnsi="宋体"/>
          <w:szCs w:val="21"/>
        </w:rPr>
        <w:t>2.联合体投标应提供联合体各方满足以上要求的证明文件。</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18" w:name="_Hlt520271212"/>
      <w:bookmarkEnd w:id="418"/>
      <w:bookmarkStart w:id="419" w:name="_Hlt520274065"/>
      <w:bookmarkEnd w:id="419"/>
      <w:bookmarkStart w:id="420" w:name="_Hlt520343000"/>
      <w:bookmarkEnd w:id="420"/>
      <w:bookmarkStart w:id="421" w:name="_Hlt520350957"/>
      <w:bookmarkEnd w:id="421"/>
      <w:bookmarkStart w:id="422" w:name="_Hlt520273973"/>
      <w:bookmarkEnd w:id="422"/>
      <w:bookmarkStart w:id="423" w:name="_Hlt520343392"/>
      <w:bookmarkEnd w:id="423"/>
      <w:bookmarkStart w:id="424" w:name="_Hlt520273711"/>
      <w:bookmarkEnd w:id="424"/>
      <w:bookmarkStart w:id="425" w:name="_Hlt520350918"/>
      <w:bookmarkEnd w:id="425"/>
      <w:bookmarkStart w:id="426" w:name="_Hlt520274407"/>
      <w:bookmarkEnd w:id="426"/>
      <w:bookmarkStart w:id="427" w:name="_Hlt520274393"/>
      <w:bookmarkEnd w:id="427"/>
      <w:bookmarkStart w:id="428" w:name="_Hlt520274121"/>
      <w:bookmarkEnd w:id="428"/>
      <w:bookmarkStart w:id="429" w:name="_Toc77628627"/>
      <w:bookmarkStart w:id="430" w:name="_Toc77685370"/>
      <w:bookmarkStart w:id="431" w:name="_Toc77628787"/>
      <w:bookmarkStart w:id="432" w:name="_Toc77629041"/>
      <w:bookmarkStart w:id="433" w:name="_Toc77628961"/>
      <w:bookmarkStart w:id="434" w:name="_Toc77629400"/>
      <w:bookmarkStart w:id="435" w:name="_Ref467988479"/>
      <w:bookmarkStart w:id="436" w:name="_Ref467988485"/>
      <w:bookmarkStart w:id="437" w:name="_Ref467990100"/>
      <w:bookmarkStart w:id="438" w:name="_Toc520125061"/>
      <w:bookmarkStart w:id="439" w:name="_Toc520356229"/>
      <w:bookmarkStart w:id="440" w:name="_Toc480942358"/>
      <w:bookmarkStart w:id="441" w:name="_Toc520125062"/>
      <w:bookmarkStart w:id="442" w:name="_Ref467990064"/>
      <w:bookmarkStart w:id="443" w:name="_Ref467990101"/>
      <w:bookmarkStart w:id="444" w:name="_Ref467990058"/>
      <w:bookmarkStart w:id="445" w:name="_Toc520356228"/>
      <w:bookmarkStart w:id="446" w:name="_Ref467988471"/>
      <w:bookmarkStart w:id="447" w:name="_Toc480942357"/>
      <w:r>
        <w:rPr>
          <w:rFonts w:hint="eastAsia" w:ascii="宋体" w:hAnsi="宋体"/>
          <w:sz w:val="21"/>
          <w:szCs w:val="21"/>
        </w:rPr>
        <w:t>附件6-2 法定代表人授权书</w:t>
      </w:r>
      <w:bookmarkEnd w:id="429"/>
      <w:bookmarkEnd w:id="430"/>
      <w:bookmarkEnd w:id="431"/>
      <w:bookmarkEnd w:id="432"/>
      <w:bookmarkEnd w:id="433"/>
      <w:bookmarkEnd w:id="434"/>
    </w:p>
    <w:p>
      <w:pPr>
        <w:pStyle w:val="20"/>
        <w:tabs>
          <w:tab w:val="left" w:pos="5580"/>
        </w:tabs>
        <w:spacing w:line="360" w:lineRule="auto"/>
        <w:ind w:firstLine="420" w:firstLineChars="200"/>
        <w:rPr>
          <w:rFonts w:hint="eastAsia" w:hAnsi="宋体"/>
          <w:szCs w:val="21"/>
        </w:rPr>
      </w:pPr>
    </w:p>
    <w:p>
      <w:pPr>
        <w:pStyle w:val="20"/>
        <w:tabs>
          <w:tab w:val="left" w:pos="5580"/>
        </w:tabs>
        <w:spacing w:line="360" w:lineRule="auto"/>
        <w:ind w:firstLine="420" w:firstLineChars="200"/>
        <w:rPr>
          <w:rFonts w:hint="eastAsia" w:hAnsi="宋体"/>
          <w:szCs w:val="21"/>
        </w:rPr>
      </w:pPr>
      <w:r>
        <w:rPr>
          <w:rFonts w:hint="eastAsia" w:hAnsi="宋体"/>
          <w:szCs w:val="21"/>
        </w:rPr>
        <w:t>本授权书声明：注册于</w:t>
      </w:r>
      <w:r>
        <w:rPr>
          <w:rFonts w:hint="eastAsia" w:hAnsi="宋体"/>
          <w:szCs w:val="21"/>
          <w:u w:val="single"/>
        </w:rPr>
        <w:t>（</w:t>
      </w:r>
      <w:r>
        <w:rPr>
          <w:rFonts w:hint="eastAsia" w:hAnsi="宋体"/>
          <w:i/>
          <w:iCs/>
          <w:szCs w:val="21"/>
          <w:u w:val="single"/>
        </w:rPr>
        <w:t>国家或地区的名称</w:t>
      </w:r>
      <w:r>
        <w:rPr>
          <w:rFonts w:hint="eastAsia" w:hAnsi="宋体"/>
          <w:szCs w:val="21"/>
          <w:u w:val="single"/>
        </w:rPr>
        <w:t>）</w:t>
      </w:r>
      <w:r>
        <w:rPr>
          <w:rFonts w:hint="eastAsia" w:hAnsi="宋体"/>
          <w:szCs w:val="21"/>
        </w:rPr>
        <w:t>的（</w:t>
      </w:r>
      <w:r>
        <w:rPr>
          <w:rFonts w:hint="eastAsia" w:hAnsi="宋体"/>
          <w:i/>
          <w:szCs w:val="21"/>
          <w:u w:val="single"/>
        </w:rPr>
        <w:t>投标人</w:t>
      </w:r>
      <w:r>
        <w:rPr>
          <w:rFonts w:hint="eastAsia" w:hAnsi="宋体"/>
          <w:szCs w:val="21"/>
        </w:rPr>
        <w:t>）的在下面签字的（</w:t>
      </w:r>
      <w:r>
        <w:rPr>
          <w:rFonts w:hint="eastAsia" w:hAnsi="宋体"/>
          <w:i/>
          <w:szCs w:val="21"/>
          <w:u w:val="single"/>
        </w:rPr>
        <w:t>法人代表姓名、职务</w:t>
      </w:r>
      <w:r>
        <w:rPr>
          <w:rFonts w:hint="eastAsia" w:hAnsi="宋体"/>
          <w:szCs w:val="21"/>
        </w:rPr>
        <w:t>）代表本公司授权（</w:t>
      </w:r>
      <w:r>
        <w:rPr>
          <w:rFonts w:hint="eastAsia" w:hAnsi="宋体"/>
          <w:i/>
          <w:szCs w:val="21"/>
          <w:u w:val="single"/>
        </w:rPr>
        <w:t>单位名称</w:t>
      </w:r>
      <w:r>
        <w:rPr>
          <w:rFonts w:hint="eastAsia" w:hAnsi="宋体"/>
          <w:szCs w:val="21"/>
        </w:rPr>
        <w:t>）的在下面签字的（</w:t>
      </w:r>
      <w:r>
        <w:rPr>
          <w:rFonts w:hint="eastAsia" w:hAnsi="宋体"/>
          <w:i/>
          <w:szCs w:val="21"/>
          <w:u w:val="single"/>
        </w:rPr>
        <w:t>被授权人的姓名、职务</w:t>
      </w:r>
      <w:r>
        <w:rPr>
          <w:rFonts w:hint="eastAsia" w:hAnsi="宋体"/>
          <w:szCs w:val="21"/>
        </w:rPr>
        <w:t>）为本公司的合法代理人，就（</w:t>
      </w:r>
      <w:r>
        <w:rPr>
          <w:rFonts w:hint="eastAsia" w:hAnsi="宋体"/>
          <w:i/>
          <w:szCs w:val="21"/>
          <w:u w:val="single"/>
        </w:rPr>
        <w:t>项目名称</w:t>
      </w:r>
      <w:r>
        <w:rPr>
          <w:rFonts w:hint="eastAsia" w:hAnsi="宋体"/>
          <w:szCs w:val="21"/>
        </w:rPr>
        <w:t>）的（</w:t>
      </w:r>
      <w:r>
        <w:rPr>
          <w:rFonts w:hint="eastAsia" w:hAnsi="宋体"/>
          <w:i/>
          <w:szCs w:val="21"/>
          <w:u w:val="single"/>
        </w:rPr>
        <w:t>合同名称</w:t>
      </w:r>
      <w:r>
        <w:rPr>
          <w:rFonts w:hint="eastAsia" w:hAnsi="宋体"/>
          <w:szCs w:val="21"/>
        </w:rPr>
        <w:t>）投标，以本公司名义处理一切与之有关的事务。</w:t>
      </w:r>
      <w:r>
        <w:rPr>
          <w:rFonts w:hint="eastAsia" w:hAnsi="宋体"/>
          <w:szCs w:val="21"/>
        </w:rPr>
        <w:cr/>
      </w:r>
    </w:p>
    <w:p>
      <w:pPr>
        <w:pStyle w:val="20"/>
        <w:tabs>
          <w:tab w:val="left" w:pos="5580"/>
        </w:tabs>
        <w:spacing w:line="360" w:lineRule="auto"/>
        <w:ind w:firstLine="420" w:firstLineChars="200"/>
        <w:rPr>
          <w:rFonts w:hint="eastAsia" w:hAnsi="宋体"/>
          <w:szCs w:val="21"/>
        </w:rPr>
      </w:pPr>
      <w:r>
        <w:rPr>
          <w:rFonts w:hint="eastAsia" w:hAnsi="宋体"/>
          <w:szCs w:val="21"/>
        </w:rPr>
        <w:t>本授权书于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日签字生效,特此声明。</w:t>
      </w: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420" w:leftChars="200"/>
        <w:rPr>
          <w:rFonts w:hint="eastAsia" w:hAnsi="宋体"/>
          <w:szCs w:val="21"/>
        </w:rPr>
      </w:pPr>
      <w:r>
        <w:rPr>
          <w:rFonts w:hint="eastAsia" w:hAnsi="宋体"/>
          <w:szCs w:val="21"/>
        </w:rPr>
        <w:t>被授权人姓名：</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 xml:space="preserve">职 </w:t>
      </w:r>
      <w:r>
        <w:rPr>
          <w:rFonts w:hAnsi="宋体"/>
          <w:szCs w:val="21"/>
        </w:rPr>
        <w:t xml:space="preserve">       </w:t>
      </w:r>
      <w:r>
        <w:rPr>
          <w:rFonts w:hint="eastAsia" w:hAnsi="宋体"/>
          <w:szCs w:val="21"/>
        </w:rPr>
        <w:t>务：</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详细通讯地址：</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邮 政 编 码 ：</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 xml:space="preserve">传 </w:t>
      </w:r>
      <w:r>
        <w:rPr>
          <w:rFonts w:hAnsi="宋体"/>
          <w:szCs w:val="21"/>
        </w:rPr>
        <w:t xml:space="preserve">       </w:t>
      </w:r>
      <w:r>
        <w:rPr>
          <w:rFonts w:hint="eastAsia" w:hAnsi="宋体"/>
          <w:szCs w:val="21"/>
        </w:rPr>
        <w:t>真：</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 xml:space="preserve">电 </w:t>
      </w:r>
      <w:r>
        <w:rPr>
          <w:rFonts w:hAnsi="宋体"/>
          <w:szCs w:val="21"/>
        </w:rPr>
        <w:t xml:space="preserve">       </w:t>
      </w:r>
      <w:r>
        <w:rPr>
          <w:rFonts w:hint="eastAsia" w:hAnsi="宋体"/>
          <w:szCs w:val="21"/>
        </w:rPr>
        <w:t>话：</w:t>
      </w:r>
      <w:r>
        <w:rPr>
          <w:rFonts w:hint="eastAsia" w:hAnsi="宋体"/>
          <w:szCs w:val="21"/>
          <w:u w:val="single"/>
        </w:rPr>
        <w:t xml:space="preserve">                                </w:t>
      </w:r>
    </w:p>
    <w:p>
      <w:pPr>
        <w:pStyle w:val="20"/>
        <w:tabs>
          <w:tab w:val="left" w:pos="5580"/>
        </w:tabs>
        <w:spacing w:line="360" w:lineRule="auto"/>
        <w:ind w:left="-540" w:leftChars="-257" w:firstLine="997" w:firstLineChars="475"/>
        <w:rPr>
          <w:rFonts w:hint="eastAsia" w:hAnsi="宋体"/>
          <w:szCs w:val="21"/>
        </w:rPr>
      </w:pPr>
    </w:p>
    <w:p>
      <w:pPr>
        <w:pStyle w:val="20"/>
        <w:tabs>
          <w:tab w:val="left" w:pos="5580"/>
        </w:tabs>
        <w:spacing w:line="360" w:lineRule="auto"/>
        <w:ind w:left="420" w:leftChars="200"/>
        <w:rPr>
          <w:rFonts w:hint="eastAsia" w:hAnsi="宋体"/>
          <w:szCs w:val="21"/>
        </w:rPr>
      </w:pPr>
      <w:r>
        <w:rPr>
          <w:rFonts w:hint="eastAsia" w:hAnsi="宋体"/>
          <w:szCs w:val="21"/>
        </w:rPr>
        <w:t>法定代表人：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int="eastAsia" w:hAnsi="宋体"/>
          <w:szCs w:val="21"/>
          <w:u w:val="single"/>
        </w:rPr>
      </w:pPr>
      <w:r>
        <w:rPr>
          <w:rFonts w:hint="eastAsia" w:hAnsi="宋体"/>
          <w:szCs w:val="21"/>
        </w:rPr>
        <w:t>被授权人签字：</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int="eastAsia" w:hAnsi="宋体"/>
          <w:szCs w:val="21"/>
          <w:u w:val="single"/>
        </w:rPr>
      </w:pPr>
      <w:r>
        <w:rPr>
          <w:rFonts w:hint="eastAsia" w:hAnsi="宋体"/>
          <w:szCs w:val="21"/>
        </w:rPr>
        <w:t>投标人盖章：</w:t>
      </w:r>
      <w:r>
        <w:rPr>
          <w:rFonts w:hint="eastAsia" w:hAnsi="宋体"/>
          <w:szCs w:val="21"/>
          <w:u w:val="single"/>
        </w:rPr>
        <w:t xml:space="preserve">      </w:t>
      </w:r>
      <w:r>
        <w:rPr>
          <w:rFonts w:cs="Arial"/>
          <w:szCs w:val="21"/>
          <w:u w:val="single"/>
        </w:rPr>
        <w:t>（</w:t>
      </w:r>
      <w:r>
        <w:rPr>
          <w:rFonts w:hAnsi="宋体" w:cs="Arial"/>
          <w:szCs w:val="21"/>
          <w:u w:val="single"/>
        </w:rPr>
        <w:t>全称、盖单位公章</w:t>
      </w:r>
      <w:r>
        <w:rPr>
          <w:rFonts w:cs="Arial"/>
          <w:szCs w:val="21"/>
          <w:u w:val="single"/>
        </w:rPr>
        <w:t>）</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b/>
          <w:bCs/>
          <w:szCs w:val="21"/>
        </w:rPr>
      </w:pPr>
      <w:r>
        <w:rPr>
          <w:rFonts w:hint="eastAsia" w:hAnsi="宋体"/>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1616075</wp:posOffset>
                </wp:positionV>
                <wp:extent cx="5071110" cy="1346200"/>
                <wp:effectExtent l="6350" t="6350" r="8890" b="19050"/>
                <wp:wrapTopAndBottom/>
                <wp:docPr id="2" name="自选图形 8"/>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被授权人身份证明（双面）</w:t>
                            </w:r>
                          </w:p>
                        </w:txbxContent>
                      </wps:txbx>
                      <wps:bodyPr wrap="square" upright="1"/>
                    </wps:wsp>
                  </a:graphicData>
                </a:graphic>
              </wp:anchor>
            </w:drawing>
          </mc:Choice>
          <mc:Fallback>
            <w:pict>
              <v:roundrect id="自选图形 8" o:spid="_x0000_s1026" o:spt="2" style="position:absolute;left:0pt;margin-left:0pt;margin-top:127.25pt;height:106pt;width:399.3pt;mso-wrap-distance-bottom:0pt;mso-wrap-distance-top:0pt;z-index:251660288;mso-width-relative:page;mso-height-relative:page;" fillcolor="#FFFFFF" filled="t" stroked="t" coordsize="21600,21600" arcsize="0.166666666666667" o:gfxdata="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p+sY1wAAAAgBAAAPAAAAAAAAAAEAIAAAACIAAABkcnMvZG93bnJldi54bWxQSwECFAAU&#10;AAAACACHTuJA82uYxSsCAABmBAAADgAAAAAAAAABACAAAAAmAQAAZHJzL2Uyb0RvYy54bWxQSwUG&#10;AAAAAAYABgBZAQAAwwU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被授权人身份证明（双面）</w:t>
                      </w:r>
                    </w:p>
                  </w:txbxContent>
                </v:textbox>
                <w10:wrap type="topAndBottom"/>
              </v:roundrect>
            </w:pict>
          </mc:Fallback>
        </mc:AlternateContent>
      </w:r>
      <w:r>
        <w:rPr>
          <w:rFonts w:hAnsi="宋体"/>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15875</wp:posOffset>
                </wp:positionV>
                <wp:extent cx="5071110" cy="1346200"/>
                <wp:effectExtent l="6350" t="6350" r="8890" b="19050"/>
                <wp:wrapTopAndBottom/>
                <wp:docPr id="1" name="自选图形 7"/>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法定代表人身份证明（双面）</w:t>
                            </w:r>
                          </w:p>
                        </w:txbxContent>
                      </wps:txbx>
                      <wps:bodyPr wrap="square" upright="1"/>
                    </wps:wsp>
                  </a:graphicData>
                </a:graphic>
              </wp:anchor>
            </w:drawing>
          </mc:Choice>
          <mc:Fallback>
            <w:pict>
              <v:roundrect id="自选图形 7" o:spid="_x0000_s1026" o:spt="2" style="position:absolute;left:0pt;margin-left:0pt;margin-top:1.25pt;height:106pt;width:399.3pt;mso-wrap-distance-bottom:0pt;mso-wrap-distance-top:0pt;z-index:251659264;mso-width-relative:page;mso-height-relative:page;" fillcolor="#FFFFFF" filled="t" stroked="t" coordsize="21600,21600" arcsize="0.166666666666667" o:gfxdata="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EJ5vNUAAAAGAQAADwAAAAAAAAABACAAAAAiAAAAZHJzL2Rvd25yZXYueG1sUEsBAhQAFAAA&#10;AAgAh07iQEv6SyQrAgAAZgQAAA4AAAAAAAAAAQAgAAAAJAEAAGRycy9lMm9Eb2MueG1sUEsFBgAA&#10;AAAGAAYAWQEAAMEFA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法定代表人身份证明（双面）</w:t>
                      </w:r>
                    </w:p>
                  </w:txbxContent>
                </v:textbox>
                <w10:wrap type="topAndBottom"/>
              </v:roundrect>
            </w:pict>
          </mc:Fallback>
        </mc:AlternateContent>
      </w:r>
    </w:p>
    <w:bookmarkEnd w:id="435"/>
    <w:bookmarkEnd w:id="436"/>
    <w:bookmarkEnd w:id="437"/>
    <w:bookmarkEnd w:id="438"/>
    <w:bookmarkEnd w:id="439"/>
    <w:bookmarkEnd w:id="440"/>
    <w:bookmarkEnd w:id="441"/>
    <w:bookmarkEnd w:id="442"/>
    <w:bookmarkEnd w:id="443"/>
    <w:bookmarkEnd w:id="444"/>
    <w:bookmarkEnd w:id="445"/>
    <w:bookmarkEnd w:id="446"/>
    <w:bookmarkEnd w:id="447"/>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48" w:name="_Toc77629044"/>
      <w:bookmarkStart w:id="449" w:name="_Toc77628790"/>
      <w:bookmarkStart w:id="450" w:name="_Toc77628964"/>
      <w:bookmarkStart w:id="451" w:name="_Toc77628630"/>
      <w:bookmarkStart w:id="452" w:name="_Toc77685373"/>
      <w:bookmarkStart w:id="453" w:name="_Toc77629403"/>
      <w:r>
        <w:rPr>
          <w:rFonts w:hint="eastAsia" w:ascii="宋体" w:hAnsi="宋体"/>
          <w:sz w:val="21"/>
          <w:szCs w:val="21"/>
        </w:rPr>
        <w:t>附件6-3 生产厂商的授权书</w:t>
      </w:r>
      <w:bookmarkEnd w:id="448"/>
      <w:bookmarkEnd w:id="449"/>
      <w:bookmarkEnd w:id="450"/>
      <w:bookmarkEnd w:id="451"/>
      <w:bookmarkEnd w:id="452"/>
      <w:bookmarkEnd w:id="453"/>
      <w:r>
        <w:rPr>
          <w:rFonts w:hint="eastAsia" w:ascii="宋体" w:hAnsi="宋体"/>
          <w:sz w:val="21"/>
          <w:szCs w:val="21"/>
        </w:rPr>
        <w:t>（如需，格式供参考，可自拟）</w:t>
      </w:r>
    </w:p>
    <w:p>
      <w:pPr>
        <w:tabs>
          <w:tab w:val="left" w:pos="5580"/>
        </w:tabs>
        <w:spacing w:line="360" w:lineRule="auto"/>
        <w:rPr>
          <w:rFonts w:hint="eastAsia" w:ascii="宋体" w:hAnsi="宋体"/>
          <w:szCs w:val="21"/>
        </w:rPr>
      </w:pPr>
    </w:p>
    <w:p>
      <w:pPr>
        <w:tabs>
          <w:tab w:val="left" w:pos="5580"/>
        </w:tabs>
        <w:spacing w:line="360" w:lineRule="auto"/>
        <w:rPr>
          <w:rFonts w:hint="eastAsia" w:ascii="宋体" w:hAnsi="宋体"/>
          <w:szCs w:val="21"/>
          <w:u w:val="single"/>
        </w:rPr>
      </w:pPr>
      <w:r>
        <w:rPr>
          <w:rFonts w:hint="eastAsia" w:ascii="宋体" w:hAnsi="宋体"/>
          <w:szCs w:val="21"/>
        </w:rPr>
        <w:t>致：国药集团扬州威克生物工程有限公司</w:t>
      </w:r>
    </w:p>
    <w:p>
      <w:pPr>
        <w:tabs>
          <w:tab w:val="left" w:pos="5580"/>
        </w:tabs>
        <w:spacing w:line="360" w:lineRule="auto"/>
        <w:ind w:firstLine="472" w:firstLineChars="225"/>
        <w:rPr>
          <w:rFonts w:hint="eastAsia" w:ascii="宋体" w:hAnsi="宋体"/>
          <w:szCs w:val="21"/>
        </w:rPr>
      </w:pPr>
      <w:r>
        <w:rPr>
          <w:rFonts w:hint="eastAsia" w:ascii="宋体" w:hAnsi="宋体"/>
          <w:szCs w:val="21"/>
        </w:rPr>
        <w:t>我们（生产厂商</w:t>
      </w:r>
      <w:r>
        <w:rPr>
          <w:rFonts w:hint="eastAsia" w:ascii="宋体" w:hAnsi="宋体"/>
          <w:i/>
          <w:szCs w:val="21"/>
          <w:u w:val="single"/>
        </w:rPr>
        <w:t>名称</w:t>
      </w:r>
      <w:r>
        <w:rPr>
          <w:rFonts w:hint="eastAsia" w:ascii="宋体" w:hAnsi="宋体"/>
          <w:szCs w:val="21"/>
        </w:rPr>
        <w:t>）是按（</w:t>
      </w:r>
      <w:r>
        <w:rPr>
          <w:rFonts w:hint="eastAsia" w:ascii="宋体" w:hAnsi="宋体"/>
          <w:i/>
          <w:szCs w:val="21"/>
          <w:u w:val="single"/>
        </w:rPr>
        <w:t>国家名称</w:t>
      </w:r>
      <w:r>
        <w:rPr>
          <w:rFonts w:hint="eastAsia" w:ascii="宋体" w:hAnsi="宋体"/>
          <w:szCs w:val="21"/>
        </w:rPr>
        <w:t>）法律成立的一家生产厂商，主要营业地点设在（</w:t>
      </w:r>
      <w:r>
        <w:rPr>
          <w:rFonts w:hint="eastAsia" w:ascii="宋体" w:hAnsi="宋体"/>
          <w:i/>
          <w:szCs w:val="21"/>
          <w:u w:val="single"/>
        </w:rPr>
        <w:t>地址</w:t>
      </w:r>
      <w:r>
        <w:rPr>
          <w:rFonts w:hint="eastAsia" w:ascii="宋体" w:hAnsi="宋体"/>
          <w:szCs w:val="21"/>
        </w:rPr>
        <w:t>）。兹指派按（</w:t>
      </w:r>
      <w:r>
        <w:rPr>
          <w:rFonts w:hint="eastAsia" w:ascii="宋体" w:hAnsi="宋体"/>
          <w:i/>
          <w:szCs w:val="21"/>
          <w:u w:val="single"/>
        </w:rPr>
        <w:t>国家名称</w:t>
      </w:r>
      <w:r>
        <w:rPr>
          <w:rFonts w:hint="eastAsia" w:ascii="宋体" w:hAnsi="宋体"/>
          <w:szCs w:val="21"/>
        </w:rPr>
        <w:t>）的法律正式成立的，主要营业地点设在（</w:t>
      </w:r>
      <w:r>
        <w:rPr>
          <w:rFonts w:hint="eastAsia" w:ascii="宋体" w:hAnsi="宋体"/>
          <w:i/>
          <w:szCs w:val="21"/>
          <w:u w:val="single"/>
        </w:rPr>
        <w:t>经销商地址</w:t>
      </w:r>
      <w:r>
        <w:rPr>
          <w:rFonts w:hint="eastAsia" w:ascii="宋体" w:hAnsi="宋体"/>
          <w:szCs w:val="21"/>
        </w:rPr>
        <w:t>）的（</w:t>
      </w:r>
      <w:r>
        <w:rPr>
          <w:rFonts w:hint="eastAsia" w:ascii="宋体" w:hAnsi="宋体"/>
          <w:i/>
          <w:szCs w:val="21"/>
          <w:u w:val="single"/>
        </w:rPr>
        <w:t>经销商名称</w:t>
      </w:r>
      <w:r>
        <w:rPr>
          <w:rFonts w:hint="eastAsia" w:ascii="宋体" w:hAnsi="宋体"/>
          <w:szCs w:val="21"/>
        </w:rPr>
        <w:t>）作为我方真正的合法的代理人进行下列有效的活动：</w:t>
      </w:r>
    </w:p>
    <w:p>
      <w:pPr>
        <w:tabs>
          <w:tab w:val="left" w:pos="5580"/>
        </w:tabs>
        <w:spacing w:line="360" w:lineRule="auto"/>
        <w:ind w:firstLine="472" w:firstLineChars="225"/>
        <w:rPr>
          <w:rFonts w:hint="eastAsia" w:ascii="宋体" w:hAnsi="宋体"/>
          <w:szCs w:val="21"/>
        </w:rPr>
      </w:pPr>
    </w:p>
    <w:p>
      <w:pPr>
        <w:tabs>
          <w:tab w:val="left" w:pos="5580"/>
        </w:tabs>
        <w:spacing w:line="360" w:lineRule="auto"/>
        <w:ind w:left="1080" w:leftChars="257" w:hanging="540"/>
        <w:rPr>
          <w:rFonts w:hint="eastAsia" w:ascii="宋体" w:hAnsi="宋体"/>
          <w:szCs w:val="21"/>
        </w:rPr>
      </w:pPr>
      <w:r>
        <w:rPr>
          <w:rFonts w:hint="eastAsia" w:ascii="宋体" w:hAnsi="宋体"/>
          <w:szCs w:val="21"/>
        </w:rPr>
        <w:t>（1）代表我方办理贵方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（招标编号） </w:t>
      </w:r>
      <w:r>
        <w:rPr>
          <w:rFonts w:ascii="宋体" w:hAnsi="宋体"/>
          <w:szCs w:val="21"/>
          <w:u w:val="single"/>
        </w:rPr>
        <w:t xml:space="preserve"> </w:t>
      </w:r>
      <w:r>
        <w:rPr>
          <w:rFonts w:hint="eastAsia" w:ascii="宋体" w:hAnsi="宋体"/>
          <w:szCs w:val="21"/>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rPr>
      </w:pPr>
      <w:r>
        <w:rPr>
          <w:rFonts w:hint="eastAsia" w:ascii="宋体" w:hAnsi="宋体"/>
          <w:szCs w:val="21"/>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rPr>
      </w:pPr>
      <w:r>
        <w:rPr>
          <w:rFonts w:hint="eastAsia" w:ascii="宋体" w:hAnsi="宋体"/>
          <w:szCs w:val="21"/>
        </w:rPr>
        <w:t>（3）我方兹授予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全权办理和履行上述我方为完成上述各点所必须的事宜，具有替换或撤销的全权。兹确认</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rPr>
      </w:pPr>
      <w:r>
        <w:rPr>
          <w:rFonts w:hint="eastAsia" w:ascii="宋体" w:hAnsi="宋体"/>
          <w:szCs w:val="21"/>
        </w:rPr>
        <w:t>（4）我方于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日签署本文件，</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（经销商名称）</w:t>
      </w:r>
      <w:r>
        <w:rPr>
          <w:rFonts w:ascii="宋体" w:hAnsi="宋体"/>
          <w:szCs w:val="21"/>
          <w:u w:val="single"/>
        </w:rPr>
        <w:t xml:space="preserve">   </w:t>
      </w:r>
      <w:r>
        <w:rPr>
          <w:rFonts w:hint="eastAsia" w:ascii="宋体" w:hAnsi="宋体"/>
          <w:szCs w:val="21"/>
        </w:rPr>
        <w:t>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日接受此件，以此为证。</w:t>
      </w:r>
    </w:p>
    <w:p>
      <w:pPr>
        <w:tabs>
          <w:tab w:val="left" w:pos="5580"/>
        </w:tabs>
        <w:spacing w:line="360" w:lineRule="auto"/>
        <w:ind w:left="1080" w:leftChars="257" w:hanging="540"/>
        <w:rPr>
          <w:rFonts w:hint="eastAsia" w:ascii="宋体" w:hAnsi="宋体"/>
          <w:szCs w:val="21"/>
        </w:rPr>
      </w:pPr>
    </w:p>
    <w:p>
      <w:pPr>
        <w:tabs>
          <w:tab w:val="left" w:pos="5580"/>
        </w:tabs>
        <w:spacing w:line="360" w:lineRule="auto"/>
        <w:ind w:left="1080" w:leftChars="257" w:hanging="540"/>
        <w:rPr>
          <w:rFonts w:hint="eastAsia" w:ascii="宋体" w:hAnsi="宋体"/>
          <w:szCs w:val="21"/>
        </w:rPr>
      </w:pPr>
    </w:p>
    <w:p>
      <w:pPr>
        <w:tabs>
          <w:tab w:val="left" w:pos="5580"/>
        </w:tabs>
        <w:spacing w:line="360" w:lineRule="auto"/>
        <w:ind w:left="1080" w:leftChars="257" w:hanging="540"/>
        <w:rPr>
          <w:rFonts w:hint="eastAsia" w:ascii="宋体" w:hAnsi="宋体"/>
          <w:szCs w:val="21"/>
        </w:rPr>
      </w:pPr>
    </w:p>
    <w:p>
      <w:pPr>
        <w:tabs>
          <w:tab w:val="left" w:pos="5580"/>
        </w:tabs>
        <w:spacing w:line="360" w:lineRule="auto"/>
        <w:ind w:left="1080" w:leftChars="257" w:hanging="540"/>
        <w:rPr>
          <w:rFonts w:hint="eastAsia" w:ascii="宋体" w:hAnsi="宋体"/>
          <w:szCs w:val="21"/>
        </w:rPr>
      </w:pPr>
      <w:r>
        <w:rPr>
          <w:rFonts w:hint="eastAsia" w:ascii="宋体" w:hAnsi="宋体"/>
          <w:szCs w:val="21"/>
        </w:rPr>
        <w:t>生产厂商名称：（盖章）</w:t>
      </w:r>
      <w:r>
        <w:rPr>
          <w:rFonts w:hint="eastAsia" w:ascii="宋体" w:hAnsi="宋体"/>
          <w:szCs w:val="21"/>
          <w:u w:val="single"/>
        </w:rPr>
        <w:t xml:space="preserve">                           </w:t>
      </w:r>
    </w:p>
    <w:p>
      <w:pPr>
        <w:tabs>
          <w:tab w:val="left" w:pos="5580"/>
        </w:tabs>
        <w:spacing w:line="360" w:lineRule="auto"/>
        <w:ind w:left="1080" w:leftChars="257" w:hanging="540"/>
        <w:rPr>
          <w:rFonts w:hint="eastAsia" w:ascii="宋体" w:hAnsi="宋体"/>
          <w:szCs w:val="21"/>
        </w:rPr>
      </w:pPr>
      <w:r>
        <w:rPr>
          <w:rFonts w:hint="eastAsia" w:ascii="宋体" w:hAnsi="宋体"/>
          <w:szCs w:val="21"/>
        </w:rPr>
        <w:t>签字人职务和部门：</w:t>
      </w:r>
      <w:r>
        <w:rPr>
          <w:rFonts w:hint="eastAsia" w:ascii="宋体" w:hAnsi="宋体"/>
          <w:szCs w:val="21"/>
          <w:u w:val="single"/>
        </w:rPr>
        <w:t xml:space="preserve">                            </w:t>
      </w:r>
    </w:p>
    <w:p>
      <w:pPr>
        <w:tabs>
          <w:tab w:val="left" w:pos="5580"/>
        </w:tabs>
        <w:spacing w:line="360" w:lineRule="auto"/>
        <w:ind w:left="1080" w:leftChars="257" w:hanging="540"/>
        <w:rPr>
          <w:rFonts w:hint="eastAsia" w:ascii="宋体" w:hAnsi="宋体"/>
          <w:szCs w:val="21"/>
        </w:rPr>
      </w:pPr>
      <w:r>
        <w:rPr>
          <w:rFonts w:hint="eastAsia" w:ascii="宋体" w:hAnsi="宋体"/>
          <w:szCs w:val="21"/>
        </w:rPr>
        <w:t>签字人姓名：</w:t>
      </w:r>
      <w:r>
        <w:rPr>
          <w:rFonts w:hint="eastAsia" w:ascii="宋体" w:hAnsi="宋体"/>
          <w:szCs w:val="21"/>
          <w:u w:val="single"/>
        </w:rPr>
        <w:t xml:space="preserve">                                  </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54" w:name="_Toc77629404"/>
      <w:bookmarkStart w:id="455" w:name="_Toc77628791"/>
      <w:bookmarkStart w:id="456" w:name="_Toc77628965"/>
      <w:bookmarkStart w:id="457" w:name="_Toc77629045"/>
      <w:bookmarkStart w:id="458" w:name="_Toc77628631"/>
      <w:bookmarkStart w:id="459" w:name="_Toc77685374"/>
      <w:r>
        <w:rPr>
          <w:rFonts w:hint="eastAsia" w:ascii="宋体" w:hAnsi="宋体"/>
          <w:sz w:val="21"/>
          <w:szCs w:val="21"/>
        </w:rPr>
        <w:t>附件6-4</w:t>
      </w:r>
      <w:r>
        <w:rPr>
          <w:rFonts w:ascii="宋体" w:hAnsi="宋体"/>
          <w:sz w:val="21"/>
          <w:szCs w:val="21"/>
        </w:rPr>
        <w:t>资信证明</w:t>
      </w:r>
      <w:bookmarkEnd w:id="454"/>
      <w:bookmarkEnd w:id="455"/>
      <w:bookmarkEnd w:id="456"/>
      <w:bookmarkEnd w:id="457"/>
      <w:bookmarkEnd w:id="458"/>
      <w:r>
        <w:rPr>
          <w:rFonts w:hint="eastAsia" w:ascii="宋体" w:hAnsi="宋体"/>
          <w:sz w:val="21"/>
          <w:szCs w:val="21"/>
        </w:rPr>
        <w:t>或财务审计报告</w:t>
      </w:r>
      <w:bookmarkEnd w:id="459"/>
    </w:p>
    <w:p>
      <w:pPr>
        <w:tabs>
          <w:tab w:val="left" w:pos="5580"/>
        </w:tabs>
        <w:spacing w:line="360" w:lineRule="auto"/>
        <w:rPr>
          <w:rFonts w:hint="eastAsia" w:ascii="宋体" w:hAnsi="宋体"/>
          <w:b/>
          <w:szCs w:val="21"/>
        </w:rPr>
      </w:pPr>
    </w:p>
    <w:p>
      <w:pPr>
        <w:tabs>
          <w:tab w:val="left" w:pos="5580"/>
        </w:tabs>
        <w:spacing w:line="360" w:lineRule="auto"/>
        <w:rPr>
          <w:rFonts w:hint="eastAsia" w:ascii="宋体" w:hAnsi="宋体"/>
          <w:szCs w:val="21"/>
        </w:rPr>
      </w:pPr>
      <w:r>
        <w:rPr>
          <w:rFonts w:hint="eastAsia" w:ascii="宋体" w:hAnsi="宋体"/>
          <w:szCs w:val="21"/>
        </w:rPr>
        <w:t>投标人开户银行在投标截止日前三个月内开具的资信证明（原件或复印件加盖公章）或上一年度财务审计报告复印件。</w:t>
      </w:r>
    </w:p>
    <w:p>
      <w:pPr>
        <w:tabs>
          <w:tab w:val="left" w:pos="5580"/>
        </w:tabs>
        <w:spacing w:line="360" w:lineRule="auto"/>
        <w:rPr>
          <w:rFonts w:hint="eastAsia" w:ascii="宋体" w:hAnsi="宋体"/>
          <w:b/>
          <w:szCs w:val="21"/>
        </w:rPr>
      </w:pPr>
    </w:p>
    <w:p>
      <w:pPr>
        <w:tabs>
          <w:tab w:val="left" w:pos="5580"/>
        </w:tabs>
        <w:spacing w:line="360" w:lineRule="auto"/>
        <w:rPr>
          <w:rFonts w:hint="eastAsia" w:ascii="宋体" w:hAnsi="宋体"/>
          <w:b/>
          <w:bCs/>
          <w:szCs w:val="21"/>
        </w:rPr>
      </w:pPr>
      <w:r>
        <w:rPr>
          <w:rFonts w:hint="eastAsia" w:ascii="宋体" w:hAnsi="宋体"/>
          <w:b/>
          <w:bCs/>
          <w:szCs w:val="21"/>
        </w:rPr>
        <w:t>注：</w:t>
      </w:r>
    </w:p>
    <w:p>
      <w:pPr>
        <w:tabs>
          <w:tab w:val="left" w:pos="5580"/>
        </w:tabs>
        <w:spacing w:line="360" w:lineRule="auto"/>
        <w:rPr>
          <w:rFonts w:hint="eastAsia" w:ascii="宋体" w:hAnsi="宋体"/>
          <w:b/>
          <w:bCs/>
          <w:szCs w:val="21"/>
        </w:rPr>
      </w:pPr>
      <w:r>
        <w:rPr>
          <w:rFonts w:hint="eastAsia" w:ascii="宋体" w:hAnsi="宋体"/>
          <w:b/>
          <w:bCs/>
          <w:szCs w:val="21"/>
        </w:rPr>
        <w:t>1、投标人在投标文件中，必须提供本单位上一年度财务审计报告复印件并加盖本单位公章；</w:t>
      </w:r>
    </w:p>
    <w:p>
      <w:pPr>
        <w:tabs>
          <w:tab w:val="left" w:pos="5580"/>
        </w:tabs>
        <w:spacing w:line="360" w:lineRule="auto"/>
        <w:rPr>
          <w:rFonts w:hint="eastAsia" w:ascii="宋体" w:hAnsi="宋体"/>
          <w:b/>
          <w:bCs/>
          <w:szCs w:val="21"/>
        </w:rPr>
      </w:pPr>
      <w:r>
        <w:rPr>
          <w:rFonts w:hint="eastAsia" w:ascii="宋体" w:hAnsi="宋体"/>
          <w:b/>
          <w:bCs/>
          <w:szCs w:val="21"/>
        </w:rPr>
        <w:t>2、如投标人无法提供上一年度财务审计报告，则需提供银行出具的资信证明。银行资信证明可提供原件，也可提供银行在投标截止日前三个月内开具资信证明的复印件。若资信证明中有注明复印无效等规定，则必须在投标文件正本中提供原件，否则将视为资信证明无效；</w:t>
      </w:r>
    </w:p>
    <w:p>
      <w:pPr>
        <w:tabs>
          <w:tab w:val="left" w:pos="5580"/>
        </w:tabs>
        <w:spacing w:line="360" w:lineRule="auto"/>
        <w:rPr>
          <w:rFonts w:hint="eastAsia" w:ascii="宋体" w:hAnsi="宋体"/>
          <w:b/>
          <w:bCs/>
          <w:szCs w:val="21"/>
        </w:rPr>
      </w:pPr>
      <w:r>
        <w:rPr>
          <w:rFonts w:hint="eastAsia" w:ascii="宋体" w:hAnsi="宋体"/>
          <w:b/>
          <w:bCs/>
          <w:szCs w:val="21"/>
        </w:rPr>
        <w:t>3、银行资信证明应能说明该投标人与银行之间业务往来正常，企业信誉良好等情况；</w:t>
      </w:r>
    </w:p>
    <w:p>
      <w:pPr>
        <w:tabs>
          <w:tab w:val="left" w:pos="5580"/>
        </w:tabs>
        <w:spacing w:line="360" w:lineRule="auto"/>
        <w:rPr>
          <w:rFonts w:hint="eastAsia" w:hAnsi="宋体"/>
          <w:szCs w:val="21"/>
        </w:rPr>
      </w:pPr>
      <w:r>
        <w:rPr>
          <w:rFonts w:hint="eastAsia" w:ascii="宋体" w:hAnsi="宋体"/>
          <w:b/>
          <w:bCs/>
          <w:szCs w:val="21"/>
        </w:rPr>
        <w:t>4、如为联合体投标，联合体各方均需提供上述证明。</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60" w:name="_Toc77628793"/>
      <w:bookmarkStart w:id="461" w:name="_Toc77629047"/>
      <w:bookmarkStart w:id="462" w:name="_Toc77629406"/>
      <w:bookmarkStart w:id="463" w:name="_Toc77628633"/>
      <w:bookmarkStart w:id="464" w:name="_Toc77685376"/>
      <w:bookmarkStart w:id="465" w:name="_Toc77628967"/>
      <w:r>
        <w:rPr>
          <w:rFonts w:hint="eastAsia" w:ascii="宋体" w:hAnsi="宋体"/>
          <w:sz w:val="21"/>
          <w:szCs w:val="21"/>
        </w:rPr>
        <w:t>附件6-5</w:t>
      </w:r>
      <w:r>
        <w:rPr>
          <w:rFonts w:ascii="宋体" w:hAnsi="宋体"/>
          <w:sz w:val="21"/>
          <w:szCs w:val="21"/>
        </w:rPr>
        <w:t xml:space="preserve"> </w:t>
      </w:r>
      <w:r>
        <w:rPr>
          <w:rFonts w:hint="eastAsia" w:ascii="宋体" w:hAnsi="宋体"/>
          <w:sz w:val="21"/>
          <w:szCs w:val="21"/>
        </w:rPr>
        <w:t>无重大违法记录的声明</w:t>
      </w:r>
      <w:bookmarkEnd w:id="460"/>
      <w:bookmarkEnd w:id="461"/>
      <w:bookmarkEnd w:id="462"/>
      <w:bookmarkEnd w:id="463"/>
      <w:bookmarkEnd w:id="464"/>
      <w:bookmarkEnd w:id="465"/>
    </w:p>
    <w:p>
      <w:pPr>
        <w:tabs>
          <w:tab w:val="left" w:pos="5580"/>
        </w:tabs>
        <w:spacing w:line="360" w:lineRule="auto"/>
        <w:rPr>
          <w:rFonts w:hint="eastAsia" w:ascii="宋体" w:hAnsi="宋体"/>
          <w:szCs w:val="21"/>
        </w:rPr>
      </w:pPr>
    </w:p>
    <w:p>
      <w:pPr>
        <w:tabs>
          <w:tab w:val="left" w:pos="5580"/>
        </w:tabs>
        <w:spacing w:line="360" w:lineRule="auto"/>
        <w:rPr>
          <w:rFonts w:hint="eastAsia" w:ascii="宋体" w:hAnsi="宋体"/>
          <w:szCs w:val="21"/>
          <w:u w:val="single"/>
        </w:rPr>
      </w:pPr>
      <w:r>
        <w:rPr>
          <w:rFonts w:hint="eastAsia" w:ascii="宋体" w:hAnsi="宋体"/>
          <w:szCs w:val="21"/>
        </w:rPr>
        <w:t>致：</w:t>
      </w:r>
      <w:r>
        <w:rPr>
          <w:rFonts w:hint="eastAsia" w:ascii="宋体" w:hAnsi="宋体"/>
          <w:szCs w:val="21"/>
          <w:lang w:val="zh-CN"/>
        </w:rPr>
        <w:t>国药集团扬州威克生物工程有限公司</w:t>
      </w:r>
    </w:p>
    <w:p>
      <w:pPr>
        <w:widowControl/>
        <w:spacing w:line="360" w:lineRule="auto"/>
        <w:ind w:firstLine="420" w:firstLineChars="200"/>
        <w:jc w:val="left"/>
        <w:rPr>
          <w:rFonts w:hint="eastAsia" w:ascii="宋体" w:hAnsi="宋体"/>
          <w:szCs w:val="21"/>
        </w:rPr>
      </w:pPr>
      <w:r>
        <w:rPr>
          <w:rFonts w:hint="eastAsia" w:ascii="宋体" w:hAnsi="宋体"/>
          <w:szCs w:val="21"/>
        </w:rPr>
        <w:t>我公司在参加本项目</w:t>
      </w:r>
      <w:r>
        <w:rPr>
          <w:rFonts w:ascii="宋体" w:hAnsi="宋体"/>
          <w:szCs w:val="21"/>
        </w:rPr>
        <w:t>活动中，做出如下</w:t>
      </w:r>
      <w:r>
        <w:rPr>
          <w:rFonts w:hint="eastAsia" w:ascii="宋体" w:hAnsi="宋体"/>
          <w:szCs w:val="21"/>
        </w:rPr>
        <w:t>承诺</w:t>
      </w:r>
      <w:r>
        <w:rPr>
          <w:rFonts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一、</w:t>
      </w:r>
      <w:r>
        <w:rPr>
          <w:rFonts w:ascii="宋体" w:hAnsi="宋体"/>
          <w:szCs w:val="21"/>
        </w:rPr>
        <w:t>参加本</w:t>
      </w:r>
      <w:r>
        <w:rPr>
          <w:rFonts w:hint="eastAsia" w:ascii="宋体" w:hAnsi="宋体"/>
          <w:szCs w:val="21"/>
        </w:rPr>
        <w:t>项目</w:t>
      </w:r>
      <w:r>
        <w:rPr>
          <w:rFonts w:ascii="宋体" w:hAnsi="宋体"/>
          <w:szCs w:val="21"/>
        </w:rPr>
        <w:t>活动前三年内，在经营活动中没有重</w:t>
      </w:r>
      <w:r>
        <w:rPr>
          <w:rFonts w:hint="eastAsia" w:ascii="宋体" w:hAnsi="宋体"/>
          <w:szCs w:val="21"/>
        </w:rPr>
        <w:t>大违法记录</w:t>
      </w:r>
      <w:r>
        <w:rPr>
          <w:rFonts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二</w:t>
      </w:r>
      <w:r>
        <w:rPr>
          <w:rFonts w:ascii="宋体" w:hAnsi="宋体"/>
          <w:szCs w:val="21"/>
        </w:rPr>
        <w:t>、</w:t>
      </w:r>
      <w:r>
        <w:rPr>
          <w:rFonts w:hint="eastAsia" w:ascii="宋体" w:hAnsi="宋体"/>
          <w:szCs w:val="21"/>
        </w:rPr>
        <w:t>提供的</w:t>
      </w:r>
      <w:r>
        <w:rPr>
          <w:rFonts w:ascii="宋体" w:hAnsi="宋体"/>
          <w:szCs w:val="21"/>
        </w:rPr>
        <w:t>相关文件均真实、有效。</w:t>
      </w:r>
    </w:p>
    <w:p>
      <w:pPr>
        <w:widowControl/>
        <w:spacing w:line="360" w:lineRule="auto"/>
        <w:ind w:firstLine="420" w:firstLineChars="200"/>
        <w:jc w:val="left"/>
        <w:rPr>
          <w:rFonts w:hint="eastAsia" w:ascii="宋体" w:hAnsi="宋体"/>
          <w:szCs w:val="21"/>
        </w:rPr>
      </w:pPr>
      <w:r>
        <w:rPr>
          <w:rFonts w:hint="eastAsia" w:ascii="宋体" w:hAnsi="宋体"/>
          <w:szCs w:val="21"/>
        </w:rPr>
        <w:t>若查实</w:t>
      </w:r>
      <w:r>
        <w:rPr>
          <w:rFonts w:ascii="宋体" w:hAnsi="宋体"/>
          <w:szCs w:val="21"/>
        </w:rPr>
        <w:t>我公司提供的资料及上述承诺不属实，则</w:t>
      </w:r>
      <w:r>
        <w:rPr>
          <w:rFonts w:hint="eastAsia" w:ascii="宋体" w:hAnsi="宋体"/>
          <w:szCs w:val="21"/>
        </w:rPr>
        <w:t>招标</w:t>
      </w:r>
      <w:r>
        <w:rPr>
          <w:rFonts w:ascii="宋体" w:hAnsi="宋体"/>
          <w:szCs w:val="21"/>
        </w:rPr>
        <w:t>人有权取消我公司</w:t>
      </w:r>
      <w:r>
        <w:rPr>
          <w:rFonts w:hint="eastAsia" w:ascii="宋体" w:hAnsi="宋体"/>
          <w:szCs w:val="21"/>
        </w:rPr>
        <w:t>的</w:t>
      </w:r>
      <w:r>
        <w:rPr>
          <w:rFonts w:ascii="宋体" w:hAnsi="宋体"/>
          <w:szCs w:val="21"/>
        </w:rPr>
        <w:t>投标及中标资格，且我公司将无条件承担由此给本次</w:t>
      </w:r>
      <w:r>
        <w:rPr>
          <w:rFonts w:hint="eastAsia" w:ascii="宋体" w:hAnsi="宋体"/>
          <w:szCs w:val="21"/>
        </w:rPr>
        <w:t>招标</w:t>
      </w:r>
      <w:r>
        <w:rPr>
          <w:rFonts w:ascii="宋体" w:hAnsi="宋体"/>
          <w:szCs w:val="21"/>
        </w:rPr>
        <w:t>采购活动带来的一切经济损失。</w:t>
      </w:r>
    </w:p>
    <w:p>
      <w:pPr>
        <w:widowControl/>
        <w:spacing w:line="360" w:lineRule="auto"/>
        <w:ind w:firstLine="420" w:firstLineChars="200"/>
        <w:jc w:val="left"/>
        <w:rPr>
          <w:rFonts w:hint="eastAsia" w:ascii="宋体" w:hAnsi="宋体"/>
          <w:szCs w:val="21"/>
        </w:rPr>
      </w:pPr>
      <w:r>
        <w:rPr>
          <w:rFonts w:hint="eastAsia" w:ascii="宋体" w:hAnsi="宋体"/>
          <w:szCs w:val="21"/>
        </w:rPr>
        <w:t>特此</w:t>
      </w:r>
      <w:r>
        <w:rPr>
          <w:rFonts w:ascii="宋体" w:hAnsi="宋体"/>
          <w:szCs w:val="21"/>
        </w:rPr>
        <w:t>声明。</w:t>
      </w:r>
    </w:p>
    <w:p>
      <w:pPr>
        <w:widowControl/>
        <w:spacing w:line="360" w:lineRule="auto"/>
        <w:ind w:firstLine="420" w:firstLineChars="200"/>
        <w:jc w:val="left"/>
        <w:rPr>
          <w:rFonts w:hint="eastAsia" w:ascii="宋体" w:hAnsi="宋体"/>
          <w:szCs w:val="21"/>
        </w:rPr>
      </w:pPr>
    </w:p>
    <w:p>
      <w:pPr>
        <w:widowControl/>
        <w:spacing w:line="360" w:lineRule="auto"/>
        <w:ind w:firstLine="420" w:firstLineChars="200"/>
        <w:jc w:val="left"/>
        <w:rPr>
          <w:rFonts w:hint="eastAsia" w:ascii="宋体" w:hAnsi="宋体"/>
          <w:szCs w:val="21"/>
        </w:rPr>
      </w:pPr>
    </w:p>
    <w:p>
      <w:pPr>
        <w:widowControl/>
        <w:spacing w:line="360" w:lineRule="auto"/>
        <w:ind w:firstLine="420" w:firstLineChars="200"/>
        <w:jc w:val="left"/>
        <w:rPr>
          <w:rFonts w:hint="eastAsia" w:ascii="宋体" w:hAnsi="宋体"/>
          <w:szCs w:val="21"/>
        </w:rPr>
      </w:pPr>
    </w:p>
    <w:p>
      <w:pPr>
        <w:spacing w:line="360" w:lineRule="auto"/>
        <w:ind w:firstLine="3360" w:firstLineChars="1600"/>
        <w:jc w:val="right"/>
        <w:rPr>
          <w:rFonts w:hint="eastAsia"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66" w:name="_Toc77685377"/>
      <w:bookmarkStart w:id="467" w:name="_Toc77628794"/>
      <w:bookmarkStart w:id="468" w:name="_Toc77629048"/>
      <w:bookmarkStart w:id="469" w:name="_Toc77628634"/>
      <w:bookmarkStart w:id="470" w:name="_Toc77629407"/>
      <w:bookmarkStart w:id="471" w:name="_Toc77628968"/>
      <w:r>
        <w:rPr>
          <w:rFonts w:hint="eastAsia" w:ascii="宋体" w:hAnsi="宋体"/>
          <w:sz w:val="21"/>
          <w:szCs w:val="21"/>
        </w:rPr>
        <w:t>附件6-7近三年类似项目业绩一览表</w:t>
      </w:r>
      <w:bookmarkEnd w:id="466"/>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7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35"/>
        <w:gridCol w:w="1822"/>
        <w:gridCol w:w="143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3" w:type="dxa"/>
            <w:vAlign w:val="center"/>
          </w:tcPr>
          <w:p>
            <w:pPr>
              <w:spacing w:line="360" w:lineRule="auto"/>
              <w:jc w:val="center"/>
              <w:rPr>
                <w:rFonts w:hint="eastAsia" w:ascii="宋体" w:hAnsi="宋体"/>
                <w:b/>
                <w:bCs/>
                <w:szCs w:val="21"/>
              </w:rPr>
            </w:pPr>
            <w:r>
              <w:rPr>
                <w:rFonts w:hint="eastAsia" w:ascii="宋体" w:hAnsi="宋体"/>
                <w:b/>
                <w:bCs/>
                <w:szCs w:val="21"/>
              </w:rPr>
              <w:t>序号</w:t>
            </w:r>
          </w:p>
        </w:tc>
        <w:tc>
          <w:tcPr>
            <w:tcW w:w="1835" w:type="dxa"/>
            <w:vAlign w:val="center"/>
          </w:tcPr>
          <w:p>
            <w:pPr>
              <w:spacing w:line="360" w:lineRule="auto"/>
              <w:jc w:val="center"/>
              <w:rPr>
                <w:rFonts w:hint="eastAsia" w:ascii="宋体" w:hAnsi="宋体"/>
                <w:b/>
                <w:bCs/>
                <w:szCs w:val="21"/>
              </w:rPr>
            </w:pPr>
            <w:r>
              <w:rPr>
                <w:rFonts w:hint="eastAsia" w:ascii="宋体" w:hAnsi="宋体"/>
                <w:b/>
                <w:bCs/>
                <w:szCs w:val="21"/>
              </w:rPr>
              <w:t>委托人名称</w:t>
            </w:r>
          </w:p>
        </w:tc>
        <w:tc>
          <w:tcPr>
            <w:tcW w:w="1822" w:type="dxa"/>
            <w:vAlign w:val="center"/>
          </w:tcPr>
          <w:p>
            <w:pPr>
              <w:spacing w:line="360" w:lineRule="auto"/>
              <w:jc w:val="center"/>
              <w:rPr>
                <w:rFonts w:hint="eastAsia" w:ascii="宋体" w:hAnsi="宋体"/>
                <w:b/>
                <w:bCs/>
                <w:szCs w:val="21"/>
              </w:rPr>
            </w:pPr>
            <w:r>
              <w:rPr>
                <w:rFonts w:hint="eastAsia" w:ascii="宋体" w:hAnsi="宋体"/>
                <w:b/>
                <w:bCs/>
                <w:szCs w:val="21"/>
              </w:rPr>
              <w:t>项目（产品）名称</w:t>
            </w:r>
          </w:p>
        </w:tc>
        <w:tc>
          <w:tcPr>
            <w:tcW w:w="1434" w:type="dxa"/>
            <w:vAlign w:val="center"/>
          </w:tcPr>
          <w:p>
            <w:pPr>
              <w:spacing w:line="360" w:lineRule="auto"/>
              <w:jc w:val="center"/>
              <w:rPr>
                <w:rFonts w:hint="eastAsia" w:ascii="宋体" w:hAnsi="宋体"/>
                <w:b/>
                <w:bCs/>
                <w:szCs w:val="21"/>
              </w:rPr>
            </w:pPr>
            <w:r>
              <w:rPr>
                <w:rFonts w:hint="eastAsia" w:ascii="宋体" w:hAnsi="宋体"/>
                <w:b/>
                <w:bCs/>
                <w:szCs w:val="21"/>
              </w:rPr>
              <w:t>签约时间</w:t>
            </w:r>
          </w:p>
        </w:tc>
        <w:tc>
          <w:tcPr>
            <w:tcW w:w="1384" w:type="dxa"/>
            <w:vAlign w:val="center"/>
          </w:tcPr>
          <w:p>
            <w:pPr>
              <w:spacing w:line="360" w:lineRule="auto"/>
              <w:jc w:val="center"/>
              <w:rPr>
                <w:rFonts w:hint="eastAsia" w:ascii="宋体" w:hAnsi="宋体"/>
                <w:b/>
                <w:bCs/>
                <w:szCs w:val="21"/>
              </w:rPr>
            </w:pPr>
            <w:r>
              <w:rPr>
                <w:rFonts w:hint="eastAsia" w:ascii="宋体" w:hAnsi="宋体"/>
                <w:b/>
                <w:bCs/>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1</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2</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3</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4</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5</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6</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ascii="宋体" w:hAnsi="宋体"/>
                <w:szCs w:val="21"/>
              </w:rPr>
              <w:t>…</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bl>
    <w:p>
      <w:pPr>
        <w:pStyle w:val="20"/>
        <w:tabs>
          <w:tab w:val="left" w:pos="5580"/>
        </w:tabs>
        <w:spacing w:before="240" w:beforeLines="100" w:line="360" w:lineRule="auto"/>
        <w:jc w:val="left"/>
        <w:rPr>
          <w:rFonts w:hint="eastAsia" w:hAnsi="宋体"/>
          <w:b/>
          <w:bCs/>
          <w:szCs w:val="21"/>
        </w:rPr>
      </w:pPr>
      <w:r>
        <w:rPr>
          <w:rFonts w:hint="eastAsia" w:hAnsi="宋体"/>
          <w:b/>
          <w:bCs/>
          <w:szCs w:val="21"/>
        </w:rPr>
        <w:t>注：提供投标人近三年（投标截止之日前三年内）与本次采购货物类似的项目业绩，并提供合同复印件证明材料。</w:t>
      </w:r>
    </w:p>
    <w:p>
      <w:pPr>
        <w:spacing w:line="520" w:lineRule="exact"/>
        <w:rPr>
          <w:rFonts w:hint="eastAsia" w:ascii="宋体" w:hAnsi="宋体"/>
          <w:b/>
          <w:bCs/>
          <w:szCs w:val="21"/>
        </w:rPr>
      </w:pPr>
    </w:p>
    <w:p>
      <w:pPr>
        <w:spacing w:line="520" w:lineRule="exact"/>
        <w:rPr>
          <w:rFonts w:hint="eastAsia" w:ascii="宋体" w:hAnsi="宋体"/>
          <w:b/>
          <w:bCs/>
          <w:szCs w:val="21"/>
        </w:rPr>
      </w:pPr>
    </w:p>
    <w:p>
      <w:pPr>
        <w:spacing w:line="520" w:lineRule="exact"/>
        <w:rPr>
          <w:rFonts w:hint="eastAsia" w:ascii="宋体" w:hAnsi="宋体"/>
          <w:b/>
          <w:bCs/>
          <w:szCs w:val="21"/>
        </w:rPr>
      </w:pPr>
    </w:p>
    <w:p>
      <w:pPr>
        <w:spacing w:line="360" w:lineRule="auto"/>
        <w:ind w:firstLine="3360" w:firstLineChars="1600"/>
        <w:jc w:val="right"/>
        <w:rPr>
          <w:rFonts w:hint="eastAsia"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b/>
          <w:bCs/>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72" w:name="_Toc77685378"/>
      <w:r>
        <w:rPr>
          <w:rFonts w:hint="eastAsia" w:ascii="宋体" w:hAnsi="宋体"/>
          <w:sz w:val="21"/>
          <w:szCs w:val="21"/>
        </w:rPr>
        <w:t>附件6-8</w:t>
      </w:r>
      <w:r>
        <w:rPr>
          <w:rFonts w:ascii="宋体" w:hAnsi="宋体"/>
          <w:sz w:val="21"/>
          <w:szCs w:val="21"/>
        </w:rPr>
        <w:t xml:space="preserve"> </w:t>
      </w:r>
      <w:r>
        <w:rPr>
          <w:rFonts w:hint="eastAsia" w:ascii="宋体" w:hAnsi="宋体"/>
          <w:sz w:val="21"/>
          <w:szCs w:val="21"/>
        </w:rPr>
        <w:t>其它资格证明文件</w:t>
      </w:r>
      <w:bookmarkEnd w:id="467"/>
      <w:bookmarkEnd w:id="468"/>
      <w:bookmarkEnd w:id="469"/>
      <w:bookmarkEnd w:id="470"/>
      <w:bookmarkEnd w:id="471"/>
      <w:bookmarkEnd w:id="472"/>
    </w:p>
    <w:p>
      <w:pPr>
        <w:pStyle w:val="20"/>
        <w:tabs>
          <w:tab w:val="left" w:pos="5580"/>
        </w:tabs>
        <w:spacing w:line="360" w:lineRule="auto"/>
        <w:rPr>
          <w:rFonts w:hint="eastAsia" w:hAnsi="宋体"/>
          <w:szCs w:val="21"/>
        </w:rPr>
      </w:pPr>
    </w:p>
    <w:p>
      <w:pPr>
        <w:tabs>
          <w:tab w:val="left" w:pos="5580"/>
        </w:tabs>
        <w:spacing w:line="360" w:lineRule="auto"/>
        <w:rPr>
          <w:rFonts w:hint="eastAsia" w:ascii="宋体" w:hAnsi="宋体"/>
          <w:szCs w:val="21"/>
        </w:rPr>
      </w:pPr>
      <w:r>
        <w:rPr>
          <w:rFonts w:hint="eastAsia" w:ascii="宋体" w:hAnsi="宋体"/>
          <w:szCs w:val="21"/>
        </w:rPr>
        <w:t>说明：1.</w:t>
      </w:r>
      <w:r>
        <w:rPr>
          <w:rFonts w:hint="eastAsia" w:ascii="宋体" w:hAnsi="宋体" w:cs="宋体"/>
          <w:bCs/>
          <w:szCs w:val="21"/>
        </w:rPr>
        <w:t>未被“信用中国网站”（www.creditchina.gov.cn）列入失信被执行人、重大税收违法案件当事人名单、政府采购严重违法失信名单的查询截图</w:t>
      </w:r>
      <w:r>
        <w:rPr>
          <w:rFonts w:hint="eastAsia" w:ascii="宋体" w:hAnsi="宋体"/>
          <w:szCs w:val="21"/>
        </w:rPr>
        <w:t>；</w:t>
      </w:r>
    </w:p>
    <w:p>
      <w:pPr>
        <w:tabs>
          <w:tab w:val="left" w:pos="5580"/>
        </w:tabs>
        <w:spacing w:line="360" w:lineRule="auto"/>
        <w:ind w:firstLine="630" w:firstLineChars="300"/>
        <w:rPr>
          <w:rFonts w:hint="eastAsia" w:ascii="宋体" w:hAnsi="宋体"/>
          <w:szCs w:val="21"/>
        </w:rPr>
      </w:pPr>
      <w:r>
        <w:rPr>
          <w:rFonts w:hint="eastAsia" w:ascii="宋体" w:hAnsi="宋体"/>
          <w:szCs w:val="21"/>
        </w:rPr>
        <w:t>2.复印件上应加盖本单位公章（自然人投标的无需盖章，需要签字）；</w:t>
      </w:r>
    </w:p>
    <w:p>
      <w:pPr>
        <w:tabs>
          <w:tab w:val="left" w:pos="5580"/>
        </w:tabs>
        <w:spacing w:line="360" w:lineRule="auto"/>
        <w:ind w:firstLine="630" w:firstLineChars="300"/>
        <w:rPr>
          <w:rFonts w:hint="eastAsia" w:ascii="宋体" w:hAnsi="宋体"/>
          <w:szCs w:val="21"/>
        </w:rPr>
      </w:pPr>
      <w:r>
        <w:rPr>
          <w:rFonts w:hint="eastAsia" w:ascii="宋体" w:hAnsi="宋体"/>
          <w:szCs w:val="21"/>
        </w:rPr>
        <w:t>3.如果是联合体投标，联合体各方需提供满足招标文件要求的其他资格证明文件。</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73" w:name="_Toc415222531"/>
      <w:bookmarkStart w:id="474" w:name="_Toc77628969"/>
      <w:bookmarkStart w:id="475" w:name="_Toc23896"/>
      <w:bookmarkStart w:id="476" w:name="_Toc35349875"/>
      <w:bookmarkStart w:id="477" w:name="_Toc77629049"/>
      <w:bookmarkStart w:id="478" w:name="_Toc77628635"/>
      <w:bookmarkStart w:id="479" w:name="_Toc216513801"/>
      <w:bookmarkStart w:id="480" w:name="_Toc216582821"/>
      <w:r>
        <w:rPr>
          <w:rFonts w:hint="eastAsia" w:ascii="宋体" w:hAnsi="宋体" w:eastAsia="宋体"/>
          <w:sz w:val="21"/>
          <w:szCs w:val="21"/>
        </w:rPr>
        <w:t>附件6</w:t>
      </w:r>
      <w:r>
        <w:rPr>
          <w:rFonts w:ascii="宋体" w:hAnsi="宋体" w:eastAsia="宋体"/>
          <w:sz w:val="21"/>
          <w:szCs w:val="21"/>
        </w:rPr>
        <w:t xml:space="preserve"> </w:t>
      </w:r>
      <w:r>
        <w:rPr>
          <w:rFonts w:hint="eastAsia" w:ascii="宋体" w:hAnsi="宋体" w:eastAsia="宋体"/>
          <w:sz w:val="21"/>
          <w:szCs w:val="21"/>
        </w:rPr>
        <w:t>缴纳中标服务费承诺书</w:t>
      </w:r>
      <w:bookmarkEnd w:id="473"/>
      <w:bookmarkEnd w:id="474"/>
      <w:bookmarkEnd w:id="475"/>
      <w:bookmarkEnd w:id="476"/>
      <w:bookmarkEnd w:id="477"/>
      <w:bookmarkEnd w:id="478"/>
    </w:p>
    <w:p>
      <w:pPr>
        <w:spacing w:line="360" w:lineRule="auto"/>
        <w:ind w:left="1080" w:hanging="1080"/>
        <w:rPr>
          <w:rFonts w:hint="eastAsia" w:ascii="宋体" w:hAnsi="宋体"/>
          <w:szCs w:val="21"/>
        </w:rPr>
      </w:pPr>
    </w:p>
    <w:p>
      <w:pPr>
        <w:spacing w:line="360" w:lineRule="auto"/>
        <w:ind w:left="1080" w:hanging="1080"/>
        <w:rPr>
          <w:rFonts w:hint="eastAsia" w:ascii="宋体" w:hAnsi="宋体"/>
          <w:szCs w:val="21"/>
          <w:u w:val="single"/>
        </w:rPr>
      </w:pPr>
      <w:r>
        <w:rPr>
          <w:rFonts w:hint="eastAsia" w:ascii="宋体" w:hAnsi="宋体"/>
          <w:szCs w:val="21"/>
        </w:rPr>
        <w:t>致：国药集团扬州威克生物工程有限公司</w:t>
      </w:r>
    </w:p>
    <w:p>
      <w:pPr>
        <w:spacing w:line="360" w:lineRule="auto"/>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我们在贵公司组织的</w:t>
      </w:r>
      <w:r>
        <w:rPr>
          <w:rFonts w:ascii="宋体" w:hAnsi="宋体"/>
          <w:szCs w:val="21"/>
          <w:u w:val="single"/>
        </w:rPr>
        <w:t xml:space="preserve">                                 </w:t>
      </w:r>
      <w:r>
        <w:rPr>
          <w:rFonts w:hint="eastAsia" w:ascii="宋体" w:hAnsi="宋体"/>
          <w:szCs w:val="21"/>
        </w:rPr>
        <w:t>项目招标中若获得中标资格（招标文件编号：</w:t>
      </w:r>
      <w:r>
        <w:rPr>
          <w:rFonts w:ascii="宋体" w:hAnsi="宋体"/>
          <w:szCs w:val="21"/>
          <w:u w:val="single"/>
        </w:rPr>
        <w:t xml:space="preserve">                      </w:t>
      </w:r>
      <w:r>
        <w:rPr>
          <w:rFonts w:hint="eastAsia" w:ascii="宋体" w:hAnsi="宋体"/>
          <w:szCs w:val="21"/>
        </w:rPr>
        <w:t>），我们保证在收到中标通知书的</w:t>
      </w:r>
      <w:r>
        <w:rPr>
          <w:rFonts w:ascii="宋体" w:hAnsi="宋体"/>
          <w:szCs w:val="21"/>
        </w:rPr>
        <w:t>同</w:t>
      </w:r>
      <w:r>
        <w:rPr>
          <w:rFonts w:hint="eastAsia" w:ascii="宋体" w:hAnsi="宋体"/>
          <w:szCs w:val="21"/>
        </w:rPr>
        <w:t>时按招标文件的规定，以现金、支票和电汇等</w:t>
      </w:r>
      <w:r>
        <w:rPr>
          <w:rFonts w:ascii="宋体" w:hAnsi="宋体"/>
          <w:szCs w:val="21"/>
        </w:rPr>
        <w:t>形式</w:t>
      </w:r>
      <w:r>
        <w:rPr>
          <w:rFonts w:hint="eastAsia" w:ascii="宋体" w:hAnsi="宋体"/>
          <w:szCs w:val="21"/>
        </w:rPr>
        <w:t>，向贵公司一次性支付中标服务费。</w:t>
      </w:r>
    </w:p>
    <w:p>
      <w:pPr>
        <w:spacing w:line="360" w:lineRule="auto"/>
        <w:ind w:firstLine="420" w:firstLineChars="200"/>
        <w:rPr>
          <w:rFonts w:hint="eastAsia" w:ascii="宋体" w:hAnsi="宋体"/>
          <w:szCs w:val="21"/>
        </w:rPr>
      </w:pPr>
      <w:r>
        <w:rPr>
          <w:rFonts w:hint="eastAsia" w:ascii="宋体" w:hAnsi="宋体"/>
          <w:szCs w:val="21"/>
        </w:rPr>
        <w:t>特此承诺！</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承诺方名称：</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电话：</w:t>
      </w:r>
      <w:r>
        <w:rPr>
          <w:rFonts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电传：</w:t>
      </w:r>
      <w:r>
        <w:rPr>
          <w:rFonts w:ascii="宋体" w:hAnsi="宋体"/>
          <w:szCs w:val="21"/>
          <w:u w:val="single"/>
        </w:rPr>
        <w:t xml:space="preserve">                      </w:t>
      </w:r>
      <w:r>
        <w:rPr>
          <w:rFonts w:ascii="宋体" w:hAnsi="宋体"/>
          <w:szCs w:val="21"/>
        </w:rPr>
        <w:t xml:space="preserve">         </w:t>
      </w:r>
      <w:r>
        <w:rPr>
          <w:rFonts w:hint="eastAsia" w:ascii="宋体" w:hAnsi="宋体"/>
          <w:szCs w:val="21"/>
        </w:rPr>
        <w:t>邮编：</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承诺方授权代表签字：</w:t>
      </w:r>
      <w:r>
        <w:rPr>
          <w:rFonts w:ascii="宋体" w:hAnsi="宋体"/>
          <w:szCs w:val="21"/>
          <w:u w:val="single"/>
        </w:rPr>
        <w:t xml:space="preserve">                      </w:t>
      </w:r>
      <w:r>
        <w:rPr>
          <w:rFonts w:hint="eastAsia" w:ascii="宋体" w:hAnsi="宋体"/>
          <w:szCs w:val="21"/>
        </w:rPr>
        <w:t>（承诺方加盖公章）</w:t>
      </w:r>
    </w:p>
    <w:p>
      <w:pPr>
        <w:spacing w:line="360" w:lineRule="auto"/>
        <w:ind w:firstLine="420" w:firstLineChars="200"/>
        <w:rPr>
          <w:rFonts w:hint="eastAsia" w:ascii="宋体" w:hAnsi="宋体"/>
          <w:szCs w:val="21"/>
          <w:u w:val="single"/>
        </w:rPr>
      </w:pPr>
      <w:r>
        <w:rPr>
          <w:rFonts w:hint="eastAsia" w:ascii="宋体" w:hAnsi="宋体"/>
          <w:szCs w:val="21"/>
        </w:rPr>
        <w:t>承诺日期：</w:t>
      </w:r>
      <w:r>
        <w:rPr>
          <w:rFonts w:ascii="宋体" w:hAnsi="宋体"/>
          <w:szCs w:val="21"/>
          <w:u w:val="single"/>
        </w:rPr>
        <w:t xml:space="preserve">                      </w:t>
      </w:r>
      <w:r>
        <w:rPr>
          <w:rFonts w:hint="eastAsia" w:ascii="宋体" w:hAnsi="宋体"/>
          <w:szCs w:val="21"/>
          <w:u w:val="single"/>
        </w:rPr>
        <w:t xml:space="preserve">    </w:t>
      </w:r>
      <w:bookmarkEnd w:id="479"/>
      <w:bookmarkEnd w:id="480"/>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81" w:name="_Toc25002"/>
      <w:bookmarkStart w:id="482" w:name="_Toc77628636"/>
      <w:bookmarkStart w:id="483" w:name="_Toc77629050"/>
      <w:bookmarkStart w:id="484" w:name="_Toc35349876"/>
      <w:bookmarkStart w:id="485" w:name="_Toc77628970"/>
      <w:r>
        <w:rPr>
          <w:rFonts w:hint="eastAsia" w:ascii="宋体" w:hAnsi="宋体" w:eastAsia="宋体"/>
          <w:sz w:val="21"/>
          <w:szCs w:val="21"/>
        </w:rPr>
        <w:t>附件7 反商业贿赂承诺书</w:t>
      </w:r>
      <w:bookmarkEnd w:id="481"/>
      <w:bookmarkEnd w:id="482"/>
      <w:bookmarkEnd w:id="483"/>
      <w:bookmarkEnd w:id="484"/>
      <w:bookmarkEnd w:id="485"/>
    </w:p>
    <w:p>
      <w:pPr>
        <w:tabs>
          <w:tab w:val="left" w:pos="5580"/>
        </w:tabs>
        <w:spacing w:line="360" w:lineRule="auto"/>
        <w:rPr>
          <w:rFonts w:hint="eastAsia" w:hAnsi="宋体"/>
          <w:szCs w:val="21"/>
        </w:rPr>
      </w:pPr>
    </w:p>
    <w:p>
      <w:pPr>
        <w:tabs>
          <w:tab w:val="left" w:pos="5580"/>
        </w:tabs>
        <w:spacing w:line="360" w:lineRule="auto"/>
        <w:rPr>
          <w:rFonts w:hint="eastAsia" w:hAnsi="宋体"/>
          <w:szCs w:val="21"/>
        </w:rPr>
      </w:pPr>
      <w:r>
        <w:rPr>
          <w:rFonts w:hint="eastAsia" w:hAnsi="宋体"/>
          <w:szCs w:val="21"/>
        </w:rPr>
        <w:t>我公司承诺：</w:t>
      </w:r>
    </w:p>
    <w:p>
      <w:pPr>
        <w:tabs>
          <w:tab w:val="left" w:pos="5580"/>
        </w:tabs>
        <w:spacing w:line="360" w:lineRule="auto"/>
        <w:ind w:firstLine="420" w:firstLineChars="200"/>
        <w:rPr>
          <w:rFonts w:hint="eastAsia" w:hAnsi="宋体"/>
          <w:szCs w:val="21"/>
        </w:rPr>
      </w:pPr>
      <w:r>
        <w:rPr>
          <w:rFonts w:hint="eastAsia" w:hAnsi="宋体"/>
          <w:szCs w:val="21"/>
        </w:rPr>
        <w:t>在</w:t>
      </w:r>
      <w:r>
        <w:rPr>
          <w:rFonts w:hAnsi="宋体"/>
          <w:szCs w:val="21"/>
          <w:u w:val="single"/>
        </w:rPr>
        <w:t xml:space="preserve">    </w:t>
      </w:r>
      <w:r>
        <w:rPr>
          <w:rFonts w:hint="eastAsia" w:hAnsi="宋体"/>
          <w:szCs w:val="21"/>
          <w:u w:val="single"/>
        </w:rPr>
        <w:t>（投标项目名称）</w:t>
      </w:r>
      <w:r>
        <w:rPr>
          <w:rFonts w:hAnsi="宋体"/>
          <w:szCs w:val="21"/>
          <w:u w:val="single"/>
        </w:rPr>
        <w:t xml:space="preserve">    </w:t>
      </w:r>
      <w:r>
        <w:rPr>
          <w:rFonts w:hint="eastAsia" w:hAnsi="宋体"/>
          <w:szCs w:val="21"/>
        </w:rPr>
        <w:t>招标活动中，我公司保证做到：</w:t>
      </w:r>
    </w:p>
    <w:p>
      <w:pPr>
        <w:tabs>
          <w:tab w:val="left" w:pos="5580"/>
        </w:tabs>
        <w:spacing w:line="360" w:lineRule="auto"/>
        <w:ind w:firstLine="420" w:firstLineChars="200"/>
        <w:rPr>
          <w:rFonts w:hint="eastAsia" w:hAnsi="宋体"/>
          <w:szCs w:val="21"/>
        </w:rPr>
      </w:pPr>
      <w:r>
        <w:rPr>
          <w:rFonts w:hint="eastAsia" w:hAnsi="宋体"/>
          <w:szCs w:val="21"/>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tabs>
          <w:tab w:val="left" w:pos="5580"/>
        </w:tabs>
        <w:spacing w:line="360" w:lineRule="auto"/>
        <w:ind w:firstLine="420" w:firstLineChars="200"/>
        <w:rPr>
          <w:rFonts w:hint="eastAsia" w:hAnsi="宋体"/>
          <w:szCs w:val="21"/>
        </w:rPr>
      </w:pPr>
      <w:r>
        <w:rPr>
          <w:rFonts w:hint="eastAsia" w:hAnsi="宋体"/>
          <w:szCs w:val="21"/>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pPr>
        <w:tabs>
          <w:tab w:val="left" w:pos="5580"/>
        </w:tabs>
        <w:spacing w:line="360" w:lineRule="auto"/>
        <w:ind w:firstLine="420" w:firstLineChars="200"/>
        <w:rPr>
          <w:rFonts w:hint="eastAsia" w:hAnsi="宋体"/>
          <w:szCs w:val="21"/>
        </w:rPr>
      </w:pPr>
      <w:r>
        <w:rPr>
          <w:rFonts w:hint="eastAsia" w:hAnsi="宋体"/>
          <w:szCs w:val="21"/>
        </w:rPr>
        <w:t>如自愿给予甲方优惠，须在投标书或合同书中注明。</w:t>
      </w:r>
    </w:p>
    <w:p>
      <w:pPr>
        <w:tabs>
          <w:tab w:val="left" w:pos="5580"/>
        </w:tabs>
        <w:spacing w:line="360" w:lineRule="auto"/>
        <w:ind w:firstLine="420" w:firstLineChars="200"/>
        <w:rPr>
          <w:rFonts w:hint="eastAsia" w:hAnsi="宋体"/>
          <w:szCs w:val="21"/>
        </w:rPr>
      </w:pPr>
      <w:r>
        <w:rPr>
          <w:rFonts w:hint="eastAsia" w:hAnsi="宋体"/>
          <w:szCs w:val="21"/>
        </w:rPr>
        <w:t>三、如中标，承诺书在合同期内继续生效。</w:t>
      </w:r>
    </w:p>
    <w:p>
      <w:pPr>
        <w:tabs>
          <w:tab w:val="left" w:pos="5580"/>
        </w:tabs>
        <w:spacing w:line="360" w:lineRule="auto"/>
        <w:ind w:firstLine="420" w:firstLineChars="200"/>
        <w:rPr>
          <w:rFonts w:hint="eastAsia" w:hAnsi="宋体"/>
          <w:szCs w:val="21"/>
        </w:rPr>
      </w:pPr>
      <w:r>
        <w:rPr>
          <w:rFonts w:hint="eastAsia" w:hAnsi="宋体"/>
          <w:szCs w:val="21"/>
        </w:rPr>
        <w:t>四、若出现违反承诺行为，我公司及参与投标的工作人员愿意接受按照国家法律法规等有关规定给予的处罚，并赔偿给甲方造成的经济损失。</w:t>
      </w:r>
    </w:p>
    <w:p>
      <w:pPr>
        <w:tabs>
          <w:tab w:val="left" w:pos="5580"/>
        </w:tabs>
        <w:spacing w:line="360" w:lineRule="auto"/>
        <w:ind w:firstLine="420" w:firstLineChars="200"/>
        <w:rPr>
          <w:rFonts w:hint="eastAsia" w:hAnsi="宋体"/>
          <w:szCs w:val="21"/>
        </w:rPr>
      </w:pPr>
      <w:r>
        <w:rPr>
          <w:rFonts w:hint="eastAsia" w:hAnsi="宋体"/>
          <w:szCs w:val="21"/>
        </w:rPr>
        <w:t>五、如果贵公司人员在业务活动中有违规、违纪、违法行为，我方将采取有效措施防止其继续发生，并及时向贵公司纪检监察部门举报，积极配合贵公司的调查取证工作</w:t>
      </w:r>
      <w:r>
        <w:rPr>
          <w:rFonts w:hAnsi="宋体"/>
          <w:szCs w:val="21"/>
        </w:rPr>
        <w:t>,</w:t>
      </w:r>
      <w:r>
        <w:rPr>
          <w:rFonts w:hint="eastAsia" w:hAnsi="宋体"/>
          <w:szCs w:val="21"/>
        </w:rPr>
        <w:t>提供必要的协助和便利条件。</w:t>
      </w:r>
    </w:p>
    <w:p>
      <w:pPr>
        <w:tabs>
          <w:tab w:val="left" w:pos="5580"/>
        </w:tabs>
        <w:spacing w:line="360" w:lineRule="auto"/>
        <w:rPr>
          <w:rFonts w:hint="eastAsia" w:hAnsi="宋体"/>
          <w:szCs w:val="21"/>
        </w:rPr>
      </w:pPr>
    </w:p>
    <w:p>
      <w:pPr>
        <w:tabs>
          <w:tab w:val="left" w:pos="5580"/>
        </w:tabs>
        <w:spacing w:line="360" w:lineRule="auto"/>
        <w:rPr>
          <w:rFonts w:hint="eastAsia" w:hAnsi="宋体"/>
          <w:szCs w:val="21"/>
        </w:rPr>
      </w:pPr>
    </w:p>
    <w:p>
      <w:pPr>
        <w:tabs>
          <w:tab w:val="left" w:pos="5580"/>
        </w:tabs>
        <w:spacing w:line="360" w:lineRule="auto"/>
        <w:rPr>
          <w:rFonts w:hint="eastAsia" w:hAnsi="宋体"/>
          <w:szCs w:val="21"/>
        </w:rPr>
      </w:pPr>
    </w:p>
    <w:p>
      <w:pPr>
        <w:spacing w:line="360" w:lineRule="auto"/>
        <w:ind w:firstLine="3360" w:firstLineChars="1600"/>
        <w:jc w:val="right"/>
        <w:rPr>
          <w:rFonts w:hint="eastAsia" w:ascii="宋体" w:hAnsi="宋体"/>
          <w:u w:val="single"/>
        </w:rPr>
      </w:pPr>
      <w:bookmarkStart w:id="486" w:name="_Toc29240311"/>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szCs w:val="21"/>
        </w:rPr>
      </w:pPr>
      <w:r>
        <w:rPr>
          <w:rFonts w:hint="eastAsia" w:ascii="宋体" w:hAnsi="宋体"/>
        </w:rPr>
        <w:t>日期：</w:t>
      </w:r>
      <w:r>
        <w:rPr>
          <w:rFonts w:ascii="宋体" w:hAnsi="宋体"/>
        </w:rPr>
        <w:t>__________________________________</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87" w:name="_Toc20295"/>
      <w:bookmarkStart w:id="488" w:name="_Toc77628637"/>
      <w:bookmarkStart w:id="489" w:name="_Toc77628971"/>
      <w:bookmarkStart w:id="490" w:name="_Toc77629051"/>
      <w:r>
        <w:rPr>
          <w:rFonts w:hint="eastAsia" w:ascii="宋体" w:hAnsi="宋体" w:eastAsia="宋体"/>
          <w:sz w:val="21"/>
          <w:szCs w:val="21"/>
        </w:rPr>
        <w:t>附件8 投标人控股及管理关系情况表</w:t>
      </w:r>
      <w:bookmarkEnd w:id="487"/>
    </w:p>
    <w:p>
      <w:pPr>
        <w:spacing w:line="360" w:lineRule="auto"/>
        <w:ind w:firstLine="420" w:firstLineChars="200"/>
        <w:jc w:val="left"/>
        <w:rPr>
          <w:rFonts w:hint="eastAsia" w:ascii="宋体" w:hAnsi="宋体"/>
          <w:bCs/>
          <w:szCs w:val="21"/>
        </w:rPr>
      </w:pPr>
    </w:p>
    <w:p>
      <w:pPr>
        <w:spacing w:line="360" w:lineRule="auto"/>
        <w:ind w:firstLine="420" w:firstLineChars="200"/>
        <w:jc w:val="left"/>
        <w:rPr>
          <w:rFonts w:hint="eastAsia" w:ascii="宋体" w:hAnsi="宋体"/>
          <w:bCs/>
          <w:szCs w:val="21"/>
        </w:rPr>
      </w:pPr>
      <w:r>
        <w:rPr>
          <w:rFonts w:hint="eastAsia" w:ascii="宋体" w:hAnsi="宋体"/>
          <w:bCs/>
          <w:szCs w:val="21"/>
        </w:rPr>
        <w:t>我公司参加本项目活动，根据法律法规维护投标公正性的相关规定，特就本公司控股及管理关系情况申报如下，并承担申报不实的责任。</w:t>
      </w:r>
    </w:p>
    <w:tbl>
      <w:tblPr>
        <w:tblStyle w:val="41"/>
        <w:tblW w:w="9678" w:type="dxa"/>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投标人名称</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法定代表人/单位负责人</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非控股股东/投资人名称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管理关系单位</w:t>
            </w: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上级管理单位名称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被管理单位名称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备注</w:t>
            </w:r>
          </w:p>
        </w:tc>
        <w:tc>
          <w:tcPr>
            <w:tcW w:w="6722" w:type="dxa"/>
            <w:gridSpan w:val="2"/>
            <w:tcBorders>
              <w:top w:val="single" w:color="auto" w:sz="4" w:space="0"/>
              <w:left w:val="nil"/>
              <w:bottom w:val="single" w:color="auto" w:sz="4" w:space="0"/>
              <w:right w:val="single" w:color="000000" w:sz="4" w:space="0"/>
            </w:tcBorders>
            <w:vAlign w:val="center"/>
          </w:tcPr>
          <w:p>
            <w:pPr>
              <w:widowControl/>
              <w:spacing w:line="360" w:lineRule="auto"/>
              <w:jc w:val="center"/>
              <w:rPr>
                <w:rFonts w:hint="eastAsia" w:ascii="宋体" w:hAnsi="宋体" w:cs="宋体"/>
                <w:kern w:val="0"/>
                <w:szCs w:val="21"/>
              </w:rPr>
            </w:pPr>
          </w:p>
        </w:tc>
      </w:tr>
    </w:tbl>
    <w:p>
      <w:pPr>
        <w:spacing w:line="360" w:lineRule="auto"/>
        <w:ind w:firstLine="3360" w:firstLineChars="1600"/>
        <w:jc w:val="right"/>
        <w:rPr>
          <w:rFonts w:hint="eastAsia" w:ascii="宋体" w:hAnsi="宋体"/>
        </w:rPr>
      </w:pPr>
    </w:p>
    <w:p>
      <w:pPr>
        <w:spacing w:line="360" w:lineRule="auto"/>
        <w:ind w:firstLine="3360" w:firstLineChars="1600"/>
        <w:jc w:val="right"/>
        <w:rPr>
          <w:rFonts w:hint="eastAsia" w:ascii="宋体" w:hAnsi="宋体"/>
        </w:rPr>
      </w:pPr>
    </w:p>
    <w:p>
      <w:pPr>
        <w:spacing w:line="360" w:lineRule="auto"/>
        <w:ind w:firstLine="3360" w:firstLineChars="1600"/>
        <w:jc w:val="right"/>
        <w:rPr>
          <w:rFonts w:hint="eastAsia" w:ascii="宋体" w:hAnsi="宋体"/>
        </w:rPr>
      </w:pPr>
    </w:p>
    <w:p>
      <w:pPr>
        <w:spacing w:line="360" w:lineRule="auto"/>
        <w:ind w:firstLine="3360" w:firstLineChars="1600"/>
        <w:jc w:val="right"/>
        <w:rPr>
          <w:rFonts w:hint="eastAsia"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szCs w:val="21"/>
        </w:rPr>
      </w:pPr>
      <w:r>
        <w:rPr>
          <w:rFonts w:hint="eastAsia" w:ascii="宋体" w:hAnsi="宋体"/>
        </w:rPr>
        <w:t>日期：</w:t>
      </w:r>
      <w:r>
        <w:rPr>
          <w:rFonts w:ascii="宋体" w:hAnsi="宋体"/>
        </w:rPr>
        <w:t>__________________________________</w:t>
      </w:r>
    </w:p>
    <w:p>
      <w:pPr>
        <w:tabs>
          <w:tab w:val="left" w:pos="5580"/>
        </w:tabs>
        <w:spacing w:line="360" w:lineRule="auto"/>
        <w:rPr>
          <w:rFonts w:hint="eastAsia" w:ascii="宋体" w:hAnsi="宋体"/>
          <w:kern w:val="0"/>
          <w:szCs w:val="21"/>
        </w:rPr>
      </w:pPr>
    </w:p>
    <w:p>
      <w:pPr>
        <w:tabs>
          <w:tab w:val="left" w:pos="5580"/>
        </w:tabs>
        <w:spacing w:line="360" w:lineRule="auto"/>
        <w:rPr>
          <w:rFonts w:hint="eastAsia" w:ascii="宋体" w:hAnsi="宋体"/>
          <w:b/>
          <w:bCs/>
          <w:kern w:val="0"/>
          <w:szCs w:val="21"/>
        </w:rPr>
      </w:pPr>
      <w:r>
        <w:rPr>
          <w:rFonts w:hint="eastAsia" w:ascii="宋体" w:hAnsi="宋体"/>
          <w:b/>
          <w:bCs/>
          <w:kern w:val="0"/>
          <w:szCs w:val="21"/>
        </w:rPr>
        <w:t>注：</w:t>
      </w:r>
    </w:p>
    <w:p>
      <w:pPr>
        <w:tabs>
          <w:tab w:val="left" w:pos="5580"/>
        </w:tabs>
        <w:spacing w:line="360" w:lineRule="auto"/>
        <w:rPr>
          <w:rFonts w:hint="eastAsia" w:ascii="宋体" w:hAnsi="宋体"/>
          <w:b/>
          <w:bCs/>
          <w:kern w:val="0"/>
          <w:szCs w:val="21"/>
        </w:rPr>
      </w:pPr>
      <w:r>
        <w:rPr>
          <w:rFonts w:hint="eastAsia" w:ascii="宋体" w:hAnsi="宋体"/>
          <w:b/>
          <w:bCs/>
          <w:kern w:val="0"/>
          <w:szCs w:val="21"/>
        </w:rPr>
        <w:t>1、“控股股东或者投资人”，是指出资比例在50%以上或者出资比例虽然不足50%，但享有公司股东会/董事会控制权的投资方（含单位或者个人）；</w:t>
      </w:r>
    </w:p>
    <w:p>
      <w:pPr>
        <w:tabs>
          <w:tab w:val="left" w:pos="5580"/>
        </w:tabs>
        <w:spacing w:line="360" w:lineRule="auto"/>
        <w:rPr>
          <w:rFonts w:hint="eastAsia" w:ascii="宋体" w:hAnsi="宋体"/>
          <w:b/>
          <w:bCs/>
          <w:kern w:val="0"/>
          <w:szCs w:val="21"/>
        </w:rPr>
      </w:pPr>
      <w:r>
        <w:rPr>
          <w:rFonts w:hint="eastAsia" w:ascii="宋体" w:hAnsi="宋体"/>
          <w:b/>
          <w:bCs/>
          <w:kern w:val="0"/>
          <w:szCs w:val="21"/>
        </w:rPr>
        <w:t>2、“管理关系单位”中的管理关系，是指不具有出资持股关系的其他单位之间存在的管理与被管理关系；</w:t>
      </w:r>
    </w:p>
    <w:p>
      <w:pPr>
        <w:tabs>
          <w:tab w:val="left" w:pos="5580"/>
        </w:tabs>
        <w:spacing w:line="360" w:lineRule="auto"/>
        <w:rPr>
          <w:rFonts w:hint="eastAsia" w:ascii="宋体" w:hAnsi="宋体"/>
          <w:b/>
          <w:bCs/>
          <w:kern w:val="0"/>
          <w:szCs w:val="21"/>
        </w:rPr>
      </w:pPr>
      <w:r>
        <w:rPr>
          <w:rFonts w:hint="eastAsia" w:ascii="宋体" w:hAnsi="宋体"/>
          <w:b/>
          <w:bCs/>
          <w:kern w:val="0"/>
          <w:szCs w:val="21"/>
        </w:rPr>
        <w:t>3、“管理关系单位”可仅填写与本项目可能相关的单位名称；</w:t>
      </w:r>
    </w:p>
    <w:p>
      <w:pPr>
        <w:tabs>
          <w:tab w:val="left" w:pos="5580"/>
        </w:tabs>
        <w:spacing w:line="360" w:lineRule="auto"/>
        <w:rPr>
          <w:rFonts w:hint="eastAsia" w:ascii="宋体" w:hAnsi="宋体"/>
          <w:b/>
          <w:bCs/>
          <w:kern w:val="0"/>
          <w:szCs w:val="21"/>
        </w:rPr>
      </w:pPr>
      <w:r>
        <w:rPr>
          <w:rFonts w:hint="eastAsia" w:ascii="宋体" w:hAnsi="宋体"/>
          <w:b/>
          <w:bCs/>
          <w:kern w:val="0"/>
          <w:szCs w:val="21"/>
        </w:rPr>
        <w:t>4、如无相关情况，请在相应栏填写“无”；</w:t>
      </w:r>
    </w:p>
    <w:p>
      <w:pPr>
        <w:tabs>
          <w:tab w:val="left" w:pos="5580"/>
        </w:tabs>
        <w:spacing w:line="360" w:lineRule="auto"/>
        <w:rPr>
          <w:rFonts w:hint="eastAsia" w:ascii="宋体" w:hAnsi="宋体"/>
          <w:b/>
          <w:bCs/>
          <w:u w:val="single"/>
        </w:rPr>
      </w:pPr>
      <w:r>
        <w:rPr>
          <w:rFonts w:hint="eastAsia" w:ascii="宋体" w:hAnsi="宋体"/>
          <w:b/>
          <w:bCs/>
          <w:kern w:val="0"/>
          <w:szCs w:val="21"/>
        </w:rPr>
        <w:t>5、如投标人控股及管理关系信息披露有误，其响应可能被否决。</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91" w:name="_Toc14246"/>
      <w:r>
        <w:rPr>
          <w:rFonts w:hint="eastAsia" w:ascii="宋体" w:hAnsi="宋体" w:eastAsia="宋体"/>
          <w:sz w:val="21"/>
          <w:szCs w:val="21"/>
        </w:rPr>
        <w:t>附件9 详细的实施方案</w:t>
      </w:r>
      <w:bookmarkEnd w:id="488"/>
      <w:bookmarkEnd w:id="489"/>
      <w:bookmarkEnd w:id="490"/>
      <w:bookmarkEnd w:id="491"/>
    </w:p>
    <w:bookmarkEnd w:id="486"/>
    <w:p>
      <w:pPr>
        <w:spacing w:before="50" w:after="50" w:line="360" w:lineRule="auto"/>
        <w:jc w:val="center"/>
      </w:pPr>
      <w:bookmarkStart w:id="492" w:name="_Toc216582826"/>
      <w:bookmarkStart w:id="493" w:name="_Toc218935355"/>
      <w:bookmarkStart w:id="494" w:name="_Toc220229434"/>
      <w:bookmarkStart w:id="495" w:name="_Toc29240313"/>
      <w:bookmarkStart w:id="496" w:name="_Toc219175639"/>
      <w:r>
        <w:rPr>
          <w:rFonts w:hint="eastAsia"/>
        </w:rPr>
        <w:t>（根据项目具体情况自拟）</w:t>
      </w:r>
    </w:p>
    <w:p>
      <w:pPr>
        <w:spacing w:before="50" w:after="50" w:line="360" w:lineRule="auto"/>
        <w:jc w:val="center"/>
      </w:pPr>
    </w:p>
    <w:p>
      <w:pPr>
        <w:spacing w:before="50" w:after="50" w:line="360" w:lineRule="auto"/>
        <w:jc w:val="center"/>
      </w:pPr>
      <w:r>
        <w:rPr>
          <w:rFonts w:hint="eastAsia"/>
        </w:rPr>
        <w:t>自拟，包括不限于提产品介绍、供货方案，供货质量保证措施</w:t>
      </w:r>
      <w:r>
        <w:rPr>
          <w:rFonts w:hint="eastAsia" w:ascii="宋体" w:hAnsi="宋体" w:cs="宋体"/>
          <w:szCs w:val="21"/>
        </w:rPr>
        <w:t>。</w:t>
      </w:r>
    </w:p>
    <w:p>
      <w:pPr>
        <w:spacing w:before="50" w:after="50" w:line="360" w:lineRule="auto"/>
        <w:jc w:val="center"/>
      </w:pPr>
    </w:p>
    <w:p>
      <w:pPr>
        <w:spacing w:before="50" w:after="50" w:line="360" w:lineRule="auto"/>
        <w:jc w:val="center"/>
      </w:pPr>
    </w:p>
    <w:p>
      <w:pPr>
        <w:spacing w:before="50" w:after="50" w:line="360" w:lineRule="auto"/>
        <w:jc w:val="center"/>
      </w:pPr>
    </w:p>
    <w:p>
      <w:pPr>
        <w:spacing w:before="50" w:after="50" w:line="360" w:lineRule="auto"/>
        <w:jc w:val="center"/>
      </w:pPr>
    </w:p>
    <w:p>
      <w:pPr>
        <w:pStyle w:val="4"/>
        <w:tabs>
          <w:tab w:val="left" w:pos="5580"/>
        </w:tabs>
        <w:spacing w:before="120" w:beforeLines="50" w:after="120" w:afterLines="50" w:line="360" w:lineRule="auto"/>
        <w:jc w:val="center"/>
        <w:rPr>
          <w:rFonts w:hint="eastAsia" w:ascii="宋体" w:hAnsi="宋体" w:eastAsia="宋体"/>
          <w:sz w:val="21"/>
          <w:szCs w:val="21"/>
        </w:rPr>
      </w:pPr>
      <w:bookmarkStart w:id="497" w:name="_Toc77629052"/>
      <w:bookmarkStart w:id="498" w:name="_Toc77628972"/>
      <w:r>
        <w:rPr>
          <w:rFonts w:hint="eastAsia" w:ascii="宋体" w:hAnsi="宋体" w:eastAsia="宋体"/>
          <w:sz w:val="21"/>
          <w:szCs w:val="21"/>
        </w:rPr>
        <w:br w:type="page"/>
      </w:r>
      <w:bookmarkStart w:id="499" w:name="_Toc18456"/>
      <w:r>
        <w:rPr>
          <w:rFonts w:hint="eastAsia" w:ascii="宋体" w:hAnsi="宋体" w:eastAsia="宋体"/>
          <w:sz w:val="21"/>
          <w:szCs w:val="21"/>
        </w:rPr>
        <w:t>附件10 售后服务方案及承诺</w:t>
      </w:r>
      <w:bookmarkEnd w:id="497"/>
      <w:bookmarkEnd w:id="498"/>
      <w:bookmarkEnd w:id="499"/>
    </w:p>
    <w:p>
      <w:pPr>
        <w:spacing w:before="50" w:after="50" w:line="360" w:lineRule="auto"/>
        <w:jc w:val="center"/>
      </w:pPr>
      <w:r>
        <w:rPr>
          <w:rFonts w:hint="eastAsia"/>
        </w:rPr>
        <w:t>（详细方案根据项目具体情况自拟）</w:t>
      </w:r>
    </w:p>
    <w:p>
      <w:pPr>
        <w:tabs>
          <w:tab w:val="left" w:pos="5580"/>
        </w:tabs>
        <w:spacing w:before="120" w:beforeLines="50" w:after="120" w:afterLines="50" w:line="360" w:lineRule="auto"/>
        <w:jc w:val="center"/>
        <w:rPr>
          <w:rFonts w:hint="eastAsia" w:ascii="宋体" w:hAnsi="宋体"/>
          <w:szCs w:val="21"/>
        </w:rPr>
      </w:pPr>
      <w:r>
        <w:rPr>
          <w:rFonts w:hint="eastAsia" w:ascii="宋体" w:hAnsi="宋体"/>
          <w:szCs w:val="21"/>
        </w:rPr>
        <w:br w:type="page"/>
      </w:r>
      <w:bookmarkStart w:id="500" w:name="_Toc77628973"/>
      <w:bookmarkStart w:id="501" w:name="_Toc77629053"/>
    </w:p>
    <w:p>
      <w:pPr>
        <w:tabs>
          <w:tab w:val="left" w:pos="5580"/>
        </w:tabs>
        <w:spacing w:before="120" w:beforeLines="50" w:after="120" w:afterLines="50" w:line="360" w:lineRule="auto"/>
        <w:jc w:val="center"/>
        <w:outlineLvl w:val="1"/>
        <w:rPr>
          <w:rFonts w:hint="eastAsia" w:ascii="宋体" w:hAnsi="宋体"/>
          <w:b/>
          <w:bCs/>
          <w:szCs w:val="21"/>
        </w:rPr>
      </w:pPr>
      <w:bookmarkStart w:id="502" w:name="_Toc25219"/>
      <w:r>
        <w:rPr>
          <w:rFonts w:hint="eastAsia" w:ascii="宋体" w:hAnsi="宋体"/>
          <w:b/>
          <w:bCs/>
          <w:szCs w:val="21"/>
        </w:rPr>
        <w:t>附件11 投标人认为需要提供的其它材料</w:t>
      </w:r>
      <w:bookmarkEnd w:id="500"/>
      <w:bookmarkEnd w:id="501"/>
      <w:bookmarkEnd w:id="502"/>
    </w:p>
    <w:p>
      <w:pPr>
        <w:spacing w:before="50" w:after="50" w:line="360" w:lineRule="auto"/>
        <w:jc w:val="center"/>
      </w:pPr>
      <w:r>
        <w:rPr>
          <w:rFonts w:hint="eastAsia"/>
        </w:rPr>
        <w:t>（提供投标人认为能提升自身竞争力的相关材料）</w:t>
      </w:r>
    </w:p>
    <w:p>
      <w:pPr>
        <w:pStyle w:val="80"/>
        <w:spacing w:after="120"/>
        <w:ind w:firstLine="480"/>
        <w:sectPr>
          <w:headerReference r:id="rId7" w:type="default"/>
          <w:footerReference r:id="rId8" w:type="default"/>
          <w:pgSz w:w="11906" w:h="16838"/>
          <w:pgMar w:top="1440" w:right="1080" w:bottom="1440" w:left="1080" w:header="454" w:footer="624" w:gutter="284"/>
          <w:cols w:space="720" w:num="1"/>
          <w:docGrid w:linePitch="319" w:charSpace="0"/>
        </w:sectPr>
      </w:pPr>
    </w:p>
    <w:bookmarkEnd w:id="492"/>
    <w:bookmarkEnd w:id="493"/>
    <w:bookmarkEnd w:id="494"/>
    <w:bookmarkEnd w:id="495"/>
    <w:bookmarkEnd w:id="496"/>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503" w:name="_Toc77628974"/>
      <w:bookmarkStart w:id="504" w:name="_Toc77628638"/>
      <w:bookmarkStart w:id="505" w:name="_Toc30380"/>
      <w:bookmarkStart w:id="506" w:name="_Toc77629054"/>
      <w:bookmarkStart w:id="507" w:name="_Toc29240314"/>
      <w:bookmarkStart w:id="508" w:name="_Toc77629055"/>
      <w:bookmarkStart w:id="509" w:name="_Toc77628639"/>
      <w:bookmarkStart w:id="510" w:name="_Toc77628975"/>
      <w:r>
        <w:rPr>
          <w:rFonts w:hint="eastAsia" w:ascii="宋体" w:hAnsi="宋体"/>
          <w:b/>
          <w:bCs/>
          <w:sz w:val="24"/>
        </w:rPr>
        <w:t>第五章 评标方法和标准</w:t>
      </w:r>
      <w:bookmarkEnd w:id="503"/>
      <w:bookmarkEnd w:id="504"/>
      <w:bookmarkEnd w:id="505"/>
      <w:bookmarkEnd w:id="506"/>
    </w:p>
    <w:p>
      <w:pPr>
        <w:pStyle w:val="2"/>
        <w:spacing w:after="0" w:line="360" w:lineRule="auto"/>
        <w:ind w:firstLine="420" w:firstLineChars="200"/>
        <w:rPr>
          <w:rFonts w:hint="eastAsia" w:ascii="宋体" w:hAnsi="宋体" w:cs="宋体"/>
          <w:szCs w:val="21"/>
        </w:rPr>
      </w:pPr>
      <w:r>
        <w:rPr>
          <w:rFonts w:hint="eastAsia" w:ascii="宋体" w:hAnsi="宋体" w:cs="宋体"/>
          <w:szCs w:val="21"/>
        </w:rPr>
        <w:t>本项目将按照招标文件“第二章 投标人须知”中“五、开标及评标”、“六、确定中标”及本章的规定评标。</w:t>
      </w:r>
    </w:p>
    <w:p>
      <w:pPr>
        <w:spacing w:line="360" w:lineRule="auto"/>
        <w:ind w:firstLine="420" w:firstLineChars="200"/>
        <w:rPr>
          <w:rFonts w:hint="eastAsia" w:ascii="宋体" w:hAnsi="宋体" w:cs="宋体"/>
          <w:szCs w:val="21"/>
        </w:rPr>
      </w:pPr>
      <w:r>
        <w:rPr>
          <w:rFonts w:hint="eastAsia" w:ascii="宋体" w:hAnsi="宋体" w:cs="宋体"/>
          <w:szCs w:val="21"/>
        </w:rPr>
        <w:t>本项目采用综合评分法。本评标办法总分100分。评审打分最小单位“0.1”，分值保留小数点后两位。最后评出适合本项目的中标候选人。</w:t>
      </w:r>
    </w:p>
    <w:tbl>
      <w:tblPr>
        <w:tblStyle w:val="41"/>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56"/>
        <w:gridCol w:w="1819"/>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5" w:type="dxa"/>
            <w:gridSpan w:val="2"/>
            <w:vAlign w:val="center"/>
          </w:tcPr>
          <w:p>
            <w:pPr>
              <w:jc w:val="center"/>
              <w:rPr>
                <w:rFonts w:hint="eastAsia" w:ascii="宋体" w:hAnsi="宋体" w:cs="宋体"/>
                <w:b/>
                <w:szCs w:val="21"/>
              </w:rPr>
            </w:pPr>
            <w:r>
              <w:rPr>
                <w:rFonts w:hint="eastAsia" w:ascii="宋体" w:hAnsi="宋体" w:cs="宋体"/>
                <w:b/>
                <w:szCs w:val="21"/>
              </w:rPr>
              <w:t>条款号</w:t>
            </w:r>
          </w:p>
        </w:tc>
        <w:tc>
          <w:tcPr>
            <w:tcW w:w="1819" w:type="dxa"/>
            <w:vAlign w:val="center"/>
          </w:tcPr>
          <w:p>
            <w:pPr>
              <w:jc w:val="center"/>
              <w:rPr>
                <w:rFonts w:hint="eastAsia" w:ascii="宋体" w:hAnsi="宋体" w:cs="宋体"/>
                <w:b/>
                <w:szCs w:val="21"/>
              </w:rPr>
            </w:pPr>
            <w:r>
              <w:rPr>
                <w:rFonts w:hint="eastAsia" w:ascii="宋体" w:hAnsi="宋体" w:cs="宋体"/>
                <w:b/>
                <w:szCs w:val="21"/>
              </w:rPr>
              <w:t>评审因素</w:t>
            </w:r>
          </w:p>
        </w:tc>
        <w:tc>
          <w:tcPr>
            <w:tcW w:w="6208" w:type="dxa"/>
            <w:vAlign w:val="center"/>
          </w:tcPr>
          <w:p>
            <w:pPr>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09" w:type="dxa"/>
            <w:vAlign w:val="center"/>
          </w:tcPr>
          <w:p>
            <w:pPr>
              <w:jc w:val="center"/>
              <w:rPr>
                <w:rFonts w:hint="eastAsia" w:ascii="宋体" w:hAnsi="宋体" w:cs="宋体"/>
                <w:bCs/>
                <w:szCs w:val="21"/>
              </w:rPr>
            </w:pPr>
            <w:r>
              <w:rPr>
                <w:rFonts w:hint="eastAsia" w:ascii="宋体" w:hAnsi="宋体" w:cs="宋体"/>
                <w:bCs/>
                <w:szCs w:val="21"/>
              </w:rPr>
              <w:t>1</w:t>
            </w:r>
          </w:p>
        </w:tc>
        <w:tc>
          <w:tcPr>
            <w:tcW w:w="756" w:type="dxa"/>
            <w:vAlign w:val="center"/>
          </w:tcPr>
          <w:p>
            <w:pPr>
              <w:jc w:val="center"/>
              <w:rPr>
                <w:rFonts w:hint="eastAsia" w:ascii="宋体" w:hAnsi="宋体" w:cs="宋体"/>
                <w:bCs/>
                <w:szCs w:val="21"/>
              </w:rPr>
            </w:pPr>
            <w:r>
              <w:rPr>
                <w:rFonts w:hint="eastAsia" w:ascii="宋体" w:hAnsi="宋体" w:cs="宋体"/>
                <w:bCs/>
                <w:szCs w:val="21"/>
              </w:rPr>
              <w:t>评标方法</w:t>
            </w:r>
          </w:p>
        </w:tc>
        <w:tc>
          <w:tcPr>
            <w:tcW w:w="1819" w:type="dxa"/>
            <w:vAlign w:val="center"/>
          </w:tcPr>
          <w:p>
            <w:pPr>
              <w:jc w:val="center"/>
              <w:rPr>
                <w:rFonts w:hint="eastAsia" w:ascii="宋体" w:hAnsi="宋体" w:cs="宋体"/>
                <w:bCs/>
                <w:szCs w:val="21"/>
              </w:rPr>
            </w:pPr>
            <w:r>
              <w:rPr>
                <w:rFonts w:hint="eastAsia" w:ascii="宋体" w:hAnsi="宋体" w:cs="宋体"/>
                <w:bCs/>
                <w:szCs w:val="21"/>
              </w:rPr>
              <w:t>中标候选人排序方法</w:t>
            </w:r>
          </w:p>
        </w:tc>
        <w:tc>
          <w:tcPr>
            <w:tcW w:w="6208" w:type="dxa"/>
            <w:vAlign w:val="center"/>
          </w:tcPr>
          <w:p>
            <w:pPr>
              <w:jc w:val="left"/>
              <w:rPr>
                <w:rFonts w:hint="eastAsia" w:ascii="宋体" w:hAnsi="宋体" w:cs="宋体"/>
                <w:bCs/>
                <w:szCs w:val="21"/>
              </w:rPr>
            </w:pPr>
            <w:r>
              <w:rPr>
                <w:rFonts w:hint="eastAsia" w:ascii="宋体" w:hAnsi="宋体" w:cs="宋体"/>
                <w:bCs/>
                <w:szCs w:val="21"/>
              </w:rPr>
              <w:t>本次评标采用综合评估法。评标委员会对满足招标文件实质性要求的投标文件，按照本章第2.2款规定的评分标准进行打分，并按得分由高到低顺序推荐中标候选人。总得分相等时以投标报价低的优先；报价也相等的，以技术部分得分高的优先；如果技术部分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2.1.1</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形式评审标准</w:t>
            </w:r>
          </w:p>
        </w:tc>
        <w:tc>
          <w:tcPr>
            <w:tcW w:w="1819" w:type="dxa"/>
            <w:vAlign w:val="center"/>
          </w:tcPr>
          <w:p>
            <w:pPr>
              <w:jc w:val="center"/>
              <w:rPr>
                <w:rFonts w:hint="eastAsia" w:ascii="宋体" w:hAnsi="宋体" w:cs="宋体"/>
                <w:bCs/>
                <w:szCs w:val="21"/>
              </w:rPr>
            </w:pPr>
            <w:r>
              <w:rPr>
                <w:rFonts w:hint="eastAsia" w:ascii="宋体" w:hAnsi="宋体" w:cs="宋体"/>
                <w:bCs/>
                <w:szCs w:val="21"/>
              </w:rPr>
              <w:t>投标人名称</w:t>
            </w:r>
          </w:p>
        </w:tc>
        <w:tc>
          <w:tcPr>
            <w:tcW w:w="6208" w:type="dxa"/>
            <w:vAlign w:val="center"/>
          </w:tcPr>
          <w:p>
            <w:pPr>
              <w:jc w:val="left"/>
              <w:rPr>
                <w:rFonts w:hint="eastAsia" w:ascii="宋体" w:hAnsi="宋体" w:cs="宋体"/>
                <w:bCs/>
                <w:szCs w:val="21"/>
              </w:rPr>
            </w:pPr>
            <w:r>
              <w:rPr>
                <w:rFonts w:hint="eastAsia" w:ascii="宋体" w:hAnsi="宋体" w:cs="宋体"/>
                <w:bCs/>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投标文件签字盖章</w:t>
            </w:r>
          </w:p>
        </w:tc>
        <w:tc>
          <w:tcPr>
            <w:tcW w:w="6208" w:type="dxa"/>
            <w:vAlign w:val="center"/>
          </w:tcPr>
          <w:p>
            <w:pPr>
              <w:jc w:val="left"/>
              <w:rPr>
                <w:rFonts w:hint="eastAsia" w:ascii="宋体" w:hAnsi="宋体" w:cs="宋体"/>
                <w:bCs/>
                <w:szCs w:val="21"/>
              </w:rPr>
            </w:pPr>
            <w:r>
              <w:rPr>
                <w:rFonts w:hint="eastAsia" w:ascii="宋体" w:hAnsi="宋体" w:cs="宋体"/>
                <w:bCs/>
                <w:szCs w:val="21"/>
              </w:rPr>
              <w:t>投标文件签字盖章符合招标文件要求，由法定代表人签字的，应附法定代表人证明书，由代理人签字的，应附法定代表人证明书及授权委托书。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投标文件格式</w:t>
            </w:r>
          </w:p>
        </w:tc>
        <w:tc>
          <w:tcPr>
            <w:tcW w:w="6208" w:type="dxa"/>
            <w:vAlign w:val="center"/>
          </w:tcPr>
          <w:p>
            <w:pPr>
              <w:jc w:val="left"/>
              <w:rPr>
                <w:rFonts w:hint="eastAsia" w:ascii="宋体" w:hAnsi="宋体" w:cs="宋体"/>
                <w:bCs/>
                <w:szCs w:val="21"/>
              </w:rPr>
            </w:pPr>
            <w:r>
              <w:rPr>
                <w:rFonts w:hint="eastAsia" w:ascii="宋体" w:hAnsi="宋体" w:cs="宋体"/>
                <w:bCs/>
                <w:szCs w:val="21"/>
              </w:rPr>
              <w:t>符合第四章“投标文件格式”的规定。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联合体投标人</w:t>
            </w:r>
          </w:p>
        </w:tc>
        <w:tc>
          <w:tcPr>
            <w:tcW w:w="6208" w:type="dxa"/>
            <w:vAlign w:val="center"/>
          </w:tcPr>
          <w:p>
            <w:pPr>
              <w:jc w:val="left"/>
              <w:rPr>
                <w:rFonts w:hint="eastAsia" w:ascii="宋体" w:hAnsi="宋体" w:cs="宋体"/>
                <w:bCs/>
                <w:szCs w:val="21"/>
              </w:rPr>
            </w:pPr>
            <w:r>
              <w:rPr>
                <w:rFonts w:hint="eastAsia" w:ascii="宋体" w:hAnsi="宋体" w:cs="宋体"/>
                <w:bCs/>
                <w:szCs w:val="21"/>
              </w:rPr>
              <w:t xml:space="preserve">符合第二章“投标人须知”第 1.3 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备选方案</w:t>
            </w:r>
          </w:p>
        </w:tc>
        <w:tc>
          <w:tcPr>
            <w:tcW w:w="6208" w:type="dxa"/>
            <w:vAlign w:val="center"/>
          </w:tcPr>
          <w:p>
            <w:pPr>
              <w:jc w:val="left"/>
              <w:rPr>
                <w:rFonts w:hint="eastAsia" w:ascii="宋体" w:hAnsi="宋体" w:cs="宋体"/>
                <w:bCs/>
                <w:szCs w:val="21"/>
              </w:rPr>
            </w:pPr>
            <w:r>
              <w:rPr>
                <w:rFonts w:hint="eastAsia" w:ascii="宋体" w:hAnsi="宋体" w:cs="宋体"/>
                <w:bCs/>
                <w:szCs w:val="21"/>
              </w:rPr>
              <w:t>不允许提交备选方案。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8027" w:type="dxa"/>
            <w:gridSpan w:val="2"/>
            <w:vAlign w:val="center"/>
          </w:tcPr>
          <w:p>
            <w:pPr>
              <w:rPr>
                <w:rFonts w:hint="eastAsia" w:ascii="宋体" w:hAnsi="宋体" w:cs="宋体"/>
                <w:b/>
                <w:szCs w:val="21"/>
              </w:rPr>
            </w:pPr>
            <w:r>
              <w:rPr>
                <w:rFonts w:hint="eastAsia" w:ascii="宋体" w:hAnsi="宋体" w:cs="宋体"/>
                <w:b/>
                <w:szCs w:val="21"/>
              </w:rPr>
              <w:t>以上评审有一条不通过，则视为形式评审标准不通过，不进入下一步评审，应当否决其投标。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2.1.2</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资格评审标准</w:t>
            </w:r>
          </w:p>
        </w:tc>
        <w:tc>
          <w:tcPr>
            <w:tcW w:w="1819" w:type="dxa"/>
            <w:vAlign w:val="center"/>
          </w:tcPr>
          <w:p>
            <w:pPr>
              <w:jc w:val="center"/>
              <w:rPr>
                <w:rFonts w:hint="eastAsia" w:ascii="宋体" w:hAnsi="宋体" w:cs="宋体"/>
                <w:bCs/>
                <w:szCs w:val="21"/>
              </w:rPr>
            </w:pPr>
            <w:r>
              <w:rPr>
                <w:rFonts w:hint="eastAsia" w:ascii="宋体" w:hAnsi="宋体" w:cs="宋体"/>
                <w:bCs/>
                <w:szCs w:val="21"/>
              </w:rPr>
              <w:t>资格条件</w:t>
            </w:r>
          </w:p>
        </w:tc>
        <w:tc>
          <w:tcPr>
            <w:tcW w:w="6208" w:type="dxa"/>
            <w:vAlign w:val="center"/>
          </w:tcPr>
          <w:p>
            <w:pPr>
              <w:rPr>
                <w:rFonts w:hint="eastAsia" w:ascii="宋体" w:hAnsi="宋体" w:cs="宋体"/>
                <w:bCs/>
                <w:szCs w:val="21"/>
              </w:rPr>
            </w:pPr>
            <w:r>
              <w:rPr>
                <w:rFonts w:hint="eastAsia" w:ascii="宋体" w:hAnsi="宋体" w:cs="宋体"/>
                <w:bCs/>
                <w:szCs w:val="21"/>
              </w:rPr>
              <w:t>符合第二章“投标人须知前附表”第 1.2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8027" w:type="dxa"/>
            <w:gridSpan w:val="2"/>
            <w:vAlign w:val="center"/>
          </w:tcPr>
          <w:p>
            <w:pPr>
              <w:rPr>
                <w:rFonts w:hint="eastAsia" w:ascii="宋体" w:hAnsi="宋体" w:cs="宋体"/>
                <w:b/>
                <w:szCs w:val="21"/>
              </w:rPr>
            </w:pPr>
            <w:r>
              <w:rPr>
                <w:rFonts w:hint="eastAsia" w:ascii="宋体" w:hAnsi="宋体" w:cs="宋体"/>
                <w:b/>
                <w:szCs w:val="21"/>
              </w:rPr>
              <w:t>以上评审有一条不通过，则视为资格评审标准不通过，不进入下一步评审，应当否决其投标。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2.1.3</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响应性评审标准</w:t>
            </w:r>
          </w:p>
        </w:tc>
        <w:tc>
          <w:tcPr>
            <w:tcW w:w="1819" w:type="dxa"/>
            <w:vAlign w:val="center"/>
          </w:tcPr>
          <w:p>
            <w:pPr>
              <w:jc w:val="center"/>
              <w:rPr>
                <w:rFonts w:hint="eastAsia" w:ascii="宋体" w:hAnsi="宋体" w:cs="宋体"/>
                <w:bCs/>
                <w:szCs w:val="21"/>
              </w:rPr>
            </w:pPr>
            <w:r>
              <w:rPr>
                <w:rFonts w:hint="eastAsia" w:ascii="宋体" w:hAnsi="宋体" w:cs="宋体"/>
                <w:bCs/>
                <w:szCs w:val="21"/>
              </w:rPr>
              <w:t>投标报价</w:t>
            </w:r>
          </w:p>
        </w:tc>
        <w:tc>
          <w:tcPr>
            <w:tcW w:w="6208" w:type="dxa"/>
            <w:vAlign w:val="center"/>
          </w:tcPr>
          <w:p>
            <w:pPr>
              <w:jc w:val="left"/>
              <w:rPr>
                <w:rFonts w:hint="eastAsia" w:ascii="宋体" w:hAnsi="宋体" w:cs="宋体"/>
                <w:bCs/>
                <w:szCs w:val="21"/>
              </w:rPr>
            </w:pPr>
            <w:r>
              <w:rPr>
                <w:rFonts w:hint="eastAsia" w:ascii="宋体" w:hAnsi="宋体" w:cs="宋体"/>
                <w:bCs/>
                <w:szCs w:val="21"/>
              </w:rPr>
              <w:t>只能有一个投标报价，不存在具有附加条件的报价。投标报价不超过最高限价。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投标有效期</w:t>
            </w:r>
          </w:p>
        </w:tc>
        <w:tc>
          <w:tcPr>
            <w:tcW w:w="6208" w:type="dxa"/>
            <w:vAlign w:val="center"/>
          </w:tcPr>
          <w:p>
            <w:pPr>
              <w:jc w:val="left"/>
              <w:rPr>
                <w:rFonts w:hint="eastAsia" w:ascii="宋体" w:hAnsi="宋体" w:cs="宋体"/>
                <w:bCs/>
                <w:szCs w:val="21"/>
              </w:rPr>
            </w:pPr>
            <w:r>
              <w:rPr>
                <w:rFonts w:hint="eastAsia" w:ascii="宋体" w:hAnsi="宋体" w:cs="宋体"/>
                <w:bCs/>
                <w:szCs w:val="21"/>
              </w:rPr>
              <w:t>符合第二章“投标人须知前附表”第 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保证金</w:t>
            </w:r>
          </w:p>
        </w:tc>
        <w:tc>
          <w:tcPr>
            <w:tcW w:w="6208" w:type="dxa"/>
            <w:vAlign w:val="center"/>
          </w:tcPr>
          <w:p>
            <w:pPr>
              <w:jc w:val="left"/>
              <w:rPr>
                <w:rFonts w:hint="eastAsia" w:ascii="宋体" w:hAnsi="宋体" w:cs="宋体"/>
                <w:bCs/>
                <w:szCs w:val="21"/>
              </w:rPr>
            </w:pPr>
            <w:r>
              <w:rPr>
                <w:rFonts w:hint="eastAsia" w:ascii="宋体" w:hAnsi="宋体" w:cs="宋体"/>
                <w:bCs/>
                <w:szCs w:val="21"/>
              </w:rPr>
              <w:t>符合第二章“投标人须知前附表”第 12.1规定；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商务条款</w:t>
            </w:r>
          </w:p>
        </w:tc>
        <w:tc>
          <w:tcPr>
            <w:tcW w:w="6208" w:type="dxa"/>
            <w:vAlign w:val="center"/>
          </w:tcPr>
          <w:p>
            <w:pPr>
              <w:jc w:val="left"/>
              <w:rPr>
                <w:rFonts w:hint="eastAsia" w:ascii="宋体" w:hAnsi="宋体" w:cs="宋体"/>
                <w:bCs/>
                <w:szCs w:val="21"/>
              </w:rPr>
            </w:pPr>
            <w:r>
              <w:rPr>
                <w:rFonts w:hint="eastAsia" w:ascii="宋体" w:hAnsi="宋体" w:cs="宋体"/>
                <w:bCs/>
                <w:szCs w:val="21"/>
              </w:rPr>
              <w:t>商务条款实质性满足招标文件要求的商务条件。</w:t>
            </w:r>
            <w:r>
              <w:rPr>
                <w:rFonts w:hint="eastAsia" w:ascii="宋体" w:hAnsi="宋体" w:cs="宋体"/>
                <w:szCs w:val="21"/>
                <w:lang w:val="en-GB" w:bidi="zh-CN"/>
              </w:rPr>
              <w:t>交货期及工期、</w:t>
            </w:r>
            <w:r>
              <w:rPr>
                <w:rFonts w:hint="eastAsia" w:ascii="宋体" w:hAnsi="宋体" w:cs="宋体"/>
                <w:szCs w:val="21"/>
                <w:lang w:bidi="zh-CN"/>
              </w:rPr>
              <w:t>质保期</w:t>
            </w:r>
            <w:r>
              <w:rPr>
                <w:rFonts w:hint="eastAsia" w:ascii="宋体" w:hAnsi="宋体" w:cs="宋体"/>
                <w:bCs/>
                <w:szCs w:val="21"/>
              </w:rPr>
              <w:t>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技术条款</w:t>
            </w:r>
          </w:p>
        </w:tc>
        <w:tc>
          <w:tcPr>
            <w:tcW w:w="6208" w:type="dxa"/>
            <w:vAlign w:val="center"/>
          </w:tcPr>
          <w:p>
            <w:pPr>
              <w:jc w:val="left"/>
              <w:rPr>
                <w:rFonts w:hint="eastAsia" w:ascii="宋体" w:hAnsi="宋体" w:cs="宋体"/>
                <w:bCs/>
                <w:szCs w:val="21"/>
              </w:rPr>
            </w:pPr>
            <w:r>
              <w:rPr>
                <w:rFonts w:hint="eastAsia" w:ascii="宋体" w:hAnsi="宋体" w:cs="宋体"/>
                <w:bCs/>
                <w:szCs w:val="21"/>
              </w:rPr>
              <w:t>技术条款实质性满足招标文件要求的技术条件：</w:t>
            </w:r>
            <w:r>
              <w:rPr>
                <w:rFonts w:hint="eastAsia" w:ascii="宋体" w:hAnsi="宋体" w:cs="宋体"/>
                <w:b/>
                <w:szCs w:val="21"/>
              </w:rPr>
              <w:t>技术条款中加*项为实质性条款，负偏离为投标无效。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其他条款</w:t>
            </w:r>
          </w:p>
        </w:tc>
        <w:tc>
          <w:tcPr>
            <w:tcW w:w="6208" w:type="dxa"/>
            <w:vAlign w:val="center"/>
          </w:tcPr>
          <w:p>
            <w:pPr>
              <w:jc w:val="left"/>
              <w:rPr>
                <w:rFonts w:hint="eastAsia" w:ascii="宋体" w:hAnsi="宋体" w:cs="宋体"/>
                <w:bCs/>
                <w:szCs w:val="21"/>
              </w:rPr>
            </w:pPr>
            <w:r>
              <w:rPr>
                <w:rFonts w:hint="eastAsia" w:ascii="宋体" w:hAnsi="宋体" w:cs="宋体"/>
                <w:bCs/>
                <w:szCs w:val="21"/>
              </w:rPr>
              <w:t>招标文件规定的其他投标无效的情况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8027" w:type="dxa"/>
            <w:gridSpan w:val="2"/>
            <w:vAlign w:val="center"/>
          </w:tcPr>
          <w:p>
            <w:pPr>
              <w:rPr>
                <w:rFonts w:hint="eastAsia" w:ascii="宋体" w:hAnsi="宋体" w:cs="宋体"/>
                <w:b/>
                <w:szCs w:val="21"/>
              </w:rPr>
            </w:pPr>
            <w:r>
              <w:rPr>
                <w:rFonts w:hint="eastAsia" w:ascii="宋体" w:hAnsi="宋体" w:cs="宋体"/>
                <w:b/>
                <w:szCs w:val="21"/>
              </w:rPr>
              <w:t>以上评审有一条不通过，则视为响应性评审标准不通过，不进入下一步评审，应当否决其投标。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665" w:type="dxa"/>
            <w:gridSpan w:val="2"/>
            <w:vAlign w:val="center"/>
          </w:tcPr>
          <w:p>
            <w:pPr>
              <w:jc w:val="center"/>
              <w:rPr>
                <w:rFonts w:hint="eastAsia" w:ascii="宋体" w:hAnsi="宋体" w:cs="宋体"/>
                <w:bCs/>
                <w:szCs w:val="21"/>
              </w:rPr>
            </w:pPr>
            <w:r>
              <w:rPr>
                <w:rFonts w:hint="eastAsia" w:ascii="宋体" w:hAnsi="宋体" w:cs="宋体"/>
                <w:bCs/>
                <w:szCs w:val="21"/>
              </w:rPr>
              <w:t>2.2.1</w:t>
            </w:r>
          </w:p>
        </w:tc>
        <w:tc>
          <w:tcPr>
            <w:tcW w:w="1819" w:type="dxa"/>
            <w:vAlign w:val="center"/>
          </w:tcPr>
          <w:p>
            <w:pPr>
              <w:jc w:val="center"/>
              <w:rPr>
                <w:rFonts w:hint="eastAsia" w:ascii="宋体" w:hAnsi="宋体" w:cs="宋体"/>
                <w:bCs/>
                <w:szCs w:val="21"/>
              </w:rPr>
            </w:pPr>
            <w:r>
              <w:rPr>
                <w:rFonts w:hint="eastAsia" w:ascii="宋体" w:hAnsi="宋体" w:cs="宋体"/>
                <w:bCs/>
                <w:szCs w:val="21"/>
              </w:rPr>
              <w:t>分值构成</w:t>
            </w:r>
          </w:p>
          <w:p>
            <w:pPr>
              <w:jc w:val="center"/>
              <w:rPr>
                <w:rFonts w:hint="eastAsia" w:ascii="宋体" w:hAnsi="宋体" w:cs="宋体"/>
                <w:bCs/>
                <w:szCs w:val="21"/>
              </w:rPr>
            </w:pPr>
            <w:r>
              <w:rPr>
                <w:rFonts w:hint="eastAsia" w:ascii="宋体" w:hAnsi="宋体" w:cs="宋体"/>
                <w:bCs/>
                <w:szCs w:val="21"/>
              </w:rPr>
              <w:t>（总分100分）</w:t>
            </w:r>
          </w:p>
        </w:tc>
        <w:tc>
          <w:tcPr>
            <w:tcW w:w="6208" w:type="dxa"/>
            <w:vAlign w:val="center"/>
          </w:tcPr>
          <w:p>
            <w:pPr>
              <w:rPr>
                <w:rFonts w:hint="eastAsia" w:ascii="宋体" w:hAnsi="宋体" w:cs="宋体"/>
                <w:bCs/>
                <w:szCs w:val="21"/>
              </w:rPr>
            </w:pPr>
            <w:r>
              <w:rPr>
                <w:rFonts w:hint="eastAsia" w:ascii="宋体" w:hAnsi="宋体" w:cs="宋体"/>
                <w:bCs/>
                <w:szCs w:val="21"/>
              </w:rPr>
              <w:t>商务部分：</w:t>
            </w:r>
            <w:r>
              <w:rPr>
                <w:rFonts w:hint="eastAsia" w:ascii="宋体" w:hAnsi="宋体" w:cs="宋体"/>
                <w:bCs/>
                <w:szCs w:val="21"/>
                <w:u w:val="single"/>
              </w:rPr>
              <w:t>10</w:t>
            </w:r>
            <w:r>
              <w:rPr>
                <w:rFonts w:hint="eastAsia" w:ascii="宋体" w:hAnsi="宋体" w:cs="宋体"/>
                <w:bCs/>
                <w:szCs w:val="21"/>
              </w:rPr>
              <w:t>分</w:t>
            </w:r>
          </w:p>
          <w:p>
            <w:pPr>
              <w:rPr>
                <w:rFonts w:hint="eastAsia" w:ascii="宋体" w:hAnsi="宋体" w:cs="宋体"/>
                <w:bCs/>
                <w:szCs w:val="21"/>
              </w:rPr>
            </w:pPr>
            <w:r>
              <w:rPr>
                <w:rFonts w:hint="eastAsia" w:ascii="宋体" w:hAnsi="宋体" w:cs="宋体"/>
                <w:bCs/>
                <w:szCs w:val="21"/>
              </w:rPr>
              <w:t>技术部分：</w:t>
            </w:r>
            <w:r>
              <w:rPr>
                <w:rFonts w:hint="eastAsia" w:ascii="宋体" w:hAnsi="宋体" w:cs="宋体"/>
                <w:bCs/>
                <w:szCs w:val="21"/>
                <w:u w:val="single"/>
              </w:rPr>
              <w:t xml:space="preserve"> 60 </w:t>
            </w:r>
            <w:r>
              <w:rPr>
                <w:rFonts w:hint="eastAsia" w:ascii="宋体" w:hAnsi="宋体" w:cs="宋体"/>
                <w:bCs/>
                <w:szCs w:val="21"/>
              </w:rPr>
              <w:t>分</w:t>
            </w:r>
          </w:p>
          <w:p>
            <w:pPr>
              <w:rPr>
                <w:rFonts w:hint="eastAsia" w:ascii="宋体" w:hAnsi="宋体" w:cs="宋体"/>
                <w:bCs/>
                <w:szCs w:val="21"/>
              </w:rPr>
            </w:pPr>
            <w:r>
              <w:rPr>
                <w:rFonts w:hint="eastAsia" w:ascii="宋体" w:hAnsi="宋体" w:cs="宋体"/>
                <w:bCs/>
                <w:szCs w:val="21"/>
              </w:rPr>
              <w:t>价格部分：</w:t>
            </w:r>
            <w:r>
              <w:rPr>
                <w:rFonts w:hint="eastAsia" w:ascii="宋体" w:hAnsi="宋体" w:cs="宋体"/>
                <w:bCs/>
                <w:szCs w:val="21"/>
                <w:u w:val="single"/>
              </w:rPr>
              <w:t xml:space="preserve"> 30</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65" w:type="dxa"/>
            <w:gridSpan w:val="2"/>
            <w:vAlign w:val="center"/>
          </w:tcPr>
          <w:p>
            <w:pPr>
              <w:jc w:val="center"/>
              <w:rPr>
                <w:rFonts w:hint="eastAsia" w:ascii="宋体" w:hAnsi="宋体" w:cs="宋体"/>
                <w:bCs/>
                <w:szCs w:val="21"/>
              </w:rPr>
            </w:pPr>
            <w:r>
              <w:rPr>
                <w:rFonts w:hint="eastAsia" w:ascii="宋体" w:hAnsi="宋体" w:cs="宋体"/>
                <w:bCs/>
                <w:szCs w:val="21"/>
              </w:rPr>
              <w:t>2.2.2</w:t>
            </w:r>
          </w:p>
        </w:tc>
        <w:tc>
          <w:tcPr>
            <w:tcW w:w="1819" w:type="dxa"/>
            <w:vAlign w:val="center"/>
          </w:tcPr>
          <w:p>
            <w:pPr>
              <w:jc w:val="center"/>
              <w:rPr>
                <w:rFonts w:hint="eastAsia" w:ascii="宋体" w:hAnsi="宋体" w:cs="宋体"/>
                <w:bCs/>
                <w:szCs w:val="21"/>
              </w:rPr>
            </w:pPr>
            <w:r>
              <w:rPr>
                <w:rFonts w:hint="eastAsia" w:ascii="宋体" w:hAnsi="宋体" w:cs="宋体"/>
                <w:bCs/>
                <w:szCs w:val="21"/>
              </w:rPr>
              <w:t>评标基准价计算方法</w:t>
            </w:r>
          </w:p>
        </w:tc>
        <w:tc>
          <w:tcPr>
            <w:tcW w:w="6208" w:type="dxa"/>
            <w:vAlign w:val="center"/>
          </w:tcPr>
          <w:p>
            <w:pPr>
              <w:widowControl/>
              <w:jc w:val="left"/>
              <w:rPr>
                <w:rFonts w:hint="eastAsia" w:ascii="宋体" w:hAnsi="宋体" w:cs="宋体"/>
                <w:szCs w:val="21"/>
              </w:rPr>
            </w:pPr>
            <w:r>
              <w:rPr>
                <w:rFonts w:hint="eastAsia" w:ascii="宋体" w:hAnsi="宋体" w:cs="宋体"/>
                <w:b/>
                <w:kern w:val="0"/>
                <w:szCs w:val="21"/>
              </w:rPr>
              <w:t>实质性响应招标文件要求且价格最低的投标报价为评标基准价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2.2.3（1）</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商务部分评分标准</w:t>
            </w:r>
          </w:p>
        </w:tc>
        <w:tc>
          <w:tcPr>
            <w:tcW w:w="1819" w:type="dxa"/>
            <w:vAlign w:val="center"/>
          </w:tcPr>
          <w:p>
            <w:pPr>
              <w:jc w:val="center"/>
              <w:rPr>
                <w:rFonts w:hint="eastAsia" w:ascii="宋体" w:hAnsi="宋体" w:cs="宋体"/>
                <w:bCs/>
                <w:szCs w:val="21"/>
              </w:rPr>
            </w:pPr>
            <w:r>
              <w:rPr>
                <w:rFonts w:hint="eastAsia" w:ascii="宋体" w:hAnsi="宋体" w:cs="宋体"/>
                <w:kern w:val="0"/>
                <w:szCs w:val="21"/>
                <w:lang w:bidi="ar"/>
              </w:rPr>
              <w:t>质量及品牌、服务诚信</w:t>
            </w:r>
            <w:r>
              <w:rPr>
                <w:rFonts w:hint="eastAsia" w:ascii="宋体" w:hAnsi="宋体" w:cs="宋体"/>
                <w:bCs/>
                <w:szCs w:val="21"/>
              </w:rPr>
              <w:t>（5分）</w:t>
            </w:r>
          </w:p>
        </w:tc>
        <w:tc>
          <w:tcPr>
            <w:tcW w:w="6208" w:type="dxa"/>
            <w:vAlign w:val="center"/>
          </w:tcPr>
          <w:p>
            <w:pPr>
              <w:widowControl/>
              <w:textAlignment w:val="center"/>
              <w:rPr>
                <w:rFonts w:hint="eastAsia" w:ascii="宋体" w:hAnsi="宋体" w:cs="宋体"/>
                <w:szCs w:val="21"/>
              </w:rPr>
            </w:pPr>
            <w:r>
              <w:rPr>
                <w:rFonts w:hint="eastAsia" w:ascii="宋体" w:hAnsi="宋体" w:cs="宋体"/>
                <w:szCs w:val="21"/>
              </w:rPr>
              <w:t>投标产品的合格情况以及市场占有率。投标人的服务诚信自述、质量信誉。</w:t>
            </w:r>
          </w:p>
          <w:p>
            <w:pPr>
              <w:pStyle w:val="80"/>
              <w:spacing w:after="0" w:afterLines="0" w:line="240" w:lineRule="auto"/>
              <w:ind w:firstLine="0" w:firstLineChars="0"/>
              <w:rPr>
                <w:rFonts w:hint="eastAsia" w:ascii="宋体" w:hAnsi="宋体"/>
                <w:bCs/>
                <w:szCs w:val="21"/>
              </w:rPr>
            </w:pPr>
            <w:r>
              <w:rPr>
                <w:rFonts w:hint="eastAsia" w:ascii="宋体" w:hAnsi="宋体" w:eastAsia="宋体"/>
                <w:kern w:val="0"/>
                <w:sz w:val="21"/>
                <w:szCs w:val="21"/>
                <w:lang w:val="en-US"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widowControl/>
              <w:textAlignment w:val="center"/>
              <w:rPr>
                <w:rFonts w:hint="eastAsia" w:ascii="宋体" w:hAnsi="宋体" w:cs="宋体"/>
                <w:szCs w:val="21"/>
              </w:rPr>
            </w:pPr>
            <w:r>
              <w:rPr>
                <w:rFonts w:hint="eastAsia" w:ascii="宋体" w:hAnsi="宋体" w:cs="宋体"/>
                <w:kern w:val="0"/>
                <w:szCs w:val="21"/>
                <w:lang w:bidi="ar"/>
              </w:rPr>
              <w:t>供应能力</w:t>
            </w:r>
            <w:r>
              <w:rPr>
                <w:rFonts w:hint="eastAsia" w:ascii="宋体" w:hAnsi="宋体" w:cs="宋体"/>
                <w:bCs/>
                <w:szCs w:val="21"/>
              </w:rPr>
              <w:t>（5分）</w:t>
            </w:r>
          </w:p>
        </w:tc>
        <w:tc>
          <w:tcPr>
            <w:tcW w:w="6208" w:type="dxa"/>
            <w:vAlign w:val="center"/>
          </w:tcPr>
          <w:p>
            <w:pPr>
              <w:widowControl/>
              <w:textAlignment w:val="center"/>
              <w:rPr>
                <w:rFonts w:hint="eastAsia" w:ascii="宋体" w:hAnsi="宋体" w:cs="宋体"/>
                <w:szCs w:val="21"/>
              </w:rPr>
            </w:pPr>
            <w:r>
              <w:rPr>
                <w:rFonts w:hint="eastAsia" w:ascii="宋体" w:hAnsi="宋体" w:cs="宋体"/>
                <w:szCs w:val="21"/>
              </w:rPr>
              <w:t>生产商的产能、供应链管理能力。</w:t>
            </w:r>
          </w:p>
          <w:p>
            <w:pPr>
              <w:widowControl/>
              <w:textAlignment w:val="center"/>
              <w:rPr>
                <w:rFonts w:hint="eastAsia" w:ascii="宋体" w:hAnsi="宋体" w:cs="宋体"/>
                <w:szCs w:val="21"/>
              </w:rPr>
            </w:pPr>
            <w:r>
              <w:rPr>
                <w:rFonts w:hint="eastAsia" w:ascii="宋体" w:hAnsi="宋体"/>
                <w:kern w:val="0"/>
                <w:szCs w:val="21"/>
                <w:lang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2.2.3（2）</w:t>
            </w:r>
          </w:p>
        </w:tc>
        <w:tc>
          <w:tcPr>
            <w:tcW w:w="756" w:type="dxa"/>
            <w:vMerge w:val="restart"/>
            <w:vAlign w:val="center"/>
          </w:tcPr>
          <w:p>
            <w:pPr>
              <w:jc w:val="center"/>
              <w:rPr>
                <w:rFonts w:hint="eastAsia" w:ascii="宋体" w:hAnsi="宋体" w:cs="宋体"/>
                <w:bCs/>
                <w:szCs w:val="21"/>
                <w:highlight w:val="yellow"/>
              </w:rPr>
            </w:pPr>
            <w:r>
              <w:rPr>
                <w:rFonts w:hint="eastAsia" w:ascii="宋体" w:hAnsi="宋体" w:cs="宋体"/>
                <w:bCs/>
                <w:szCs w:val="21"/>
                <w:highlight w:val="yellow"/>
              </w:rPr>
              <w:t>技术部分评分标准</w:t>
            </w:r>
          </w:p>
        </w:tc>
        <w:tc>
          <w:tcPr>
            <w:tcW w:w="1819" w:type="dxa"/>
            <w:vAlign w:val="center"/>
          </w:tcPr>
          <w:p>
            <w:pPr>
              <w:widowControl/>
              <w:textAlignment w:val="center"/>
              <w:rPr>
                <w:rFonts w:hint="eastAsia" w:ascii="宋体" w:hAnsi="宋体" w:cs="宋体"/>
                <w:kern w:val="0"/>
                <w:szCs w:val="21"/>
                <w:highlight w:val="yellow"/>
                <w:lang w:bidi="ar"/>
              </w:rPr>
            </w:pPr>
            <w:r>
              <w:rPr>
                <w:rFonts w:hint="eastAsia" w:ascii="宋体" w:hAnsi="宋体" w:cs="宋体"/>
                <w:kern w:val="0"/>
                <w:szCs w:val="21"/>
                <w:highlight w:val="yellow"/>
                <w:lang w:bidi="ar"/>
              </w:rPr>
              <w:t>技 术 指 标（含资质完整性与合规性及类似项目经验）（</w:t>
            </w:r>
            <w:r>
              <w:rPr>
                <w:rFonts w:hint="eastAsia" w:ascii="宋体" w:hAnsi="宋体" w:cs="宋体"/>
                <w:kern w:val="0"/>
                <w:szCs w:val="21"/>
                <w:highlight w:val="yellow"/>
                <w:lang w:val="en-US" w:eastAsia="zh-CN" w:bidi="ar"/>
              </w:rPr>
              <w:t>20</w:t>
            </w:r>
            <w:r>
              <w:rPr>
                <w:rFonts w:hint="eastAsia" w:ascii="宋体" w:hAnsi="宋体" w:cs="宋体"/>
                <w:kern w:val="0"/>
                <w:szCs w:val="21"/>
                <w:highlight w:val="yellow"/>
                <w:lang w:bidi="ar"/>
              </w:rPr>
              <w:t>分）</w:t>
            </w:r>
          </w:p>
        </w:tc>
        <w:tc>
          <w:tcPr>
            <w:tcW w:w="6208" w:type="dxa"/>
            <w:shd w:val="clear" w:color="auto" w:fill="auto"/>
            <w:vAlign w:val="center"/>
          </w:tcPr>
          <w:p>
            <w:pPr>
              <w:pStyle w:val="2"/>
              <w:rPr>
                <w:rFonts w:hint="eastAsia"/>
                <w:color w:val="FF0000"/>
                <w:highlight w:val="none"/>
              </w:rPr>
            </w:pPr>
            <w:r>
              <w:rPr>
                <w:rFonts w:hint="eastAsia"/>
                <w:color w:val="FF0000"/>
                <w:highlight w:val="none"/>
              </w:rPr>
              <w:t>技术方案完整性、技术可行性，以及详细描述维保过程中的质量检查节点（如开机前检测、运行中检测、停机复检等），流程清晰合理（优1</w:t>
            </w:r>
            <w:r>
              <w:rPr>
                <w:rFonts w:hint="eastAsia"/>
                <w:color w:val="FF0000"/>
                <w:highlight w:val="none"/>
                <w:lang w:val="en-US" w:eastAsia="zh-CN"/>
              </w:rPr>
              <w:t>1</w:t>
            </w:r>
            <w:r>
              <w:rPr>
                <w:rFonts w:hint="eastAsia"/>
                <w:color w:val="FF0000"/>
                <w:highlight w:val="none"/>
              </w:rPr>
              <w:t>分，良</w:t>
            </w:r>
            <w:r>
              <w:rPr>
                <w:rFonts w:hint="eastAsia"/>
                <w:color w:val="FF0000"/>
                <w:highlight w:val="none"/>
                <w:lang w:val="en-US" w:eastAsia="zh-CN"/>
              </w:rPr>
              <w:t>7</w:t>
            </w:r>
            <w:r>
              <w:rPr>
                <w:rFonts w:hint="eastAsia"/>
                <w:color w:val="FF0000"/>
                <w:highlight w:val="none"/>
              </w:rPr>
              <w:t>分，差0分）</w:t>
            </w:r>
          </w:p>
          <w:p>
            <w:pPr>
              <w:widowControl/>
              <w:textAlignment w:val="center"/>
              <w:rPr>
                <w:rFonts w:hint="eastAsia" w:ascii="宋体" w:hAnsi="宋体" w:cs="宋体"/>
                <w:color w:val="FF0000"/>
                <w:kern w:val="0"/>
                <w:szCs w:val="21"/>
                <w:highlight w:val="none"/>
              </w:rPr>
            </w:pPr>
            <w:r>
              <w:rPr>
                <w:rFonts w:hint="eastAsia" w:ascii="宋体" w:hAnsi="宋体" w:cs="宋体"/>
                <w:color w:val="FF0000"/>
                <w:szCs w:val="21"/>
                <w:highlight w:val="none"/>
              </w:rPr>
              <w:t xml:space="preserve">近 3 年承担过 </w:t>
            </w:r>
            <w:r>
              <w:rPr>
                <w:rFonts w:hint="eastAsia" w:ascii="宋体" w:hAnsi="宋体" w:cs="宋体"/>
                <w:color w:val="FF0000"/>
                <w:szCs w:val="21"/>
                <w:highlight w:val="none"/>
                <w:lang w:val="en-US" w:eastAsia="zh-CN"/>
              </w:rPr>
              <w:t>3</w:t>
            </w:r>
            <w:r>
              <w:rPr>
                <w:rFonts w:hint="eastAsia" w:ascii="宋体" w:hAnsi="宋体" w:cs="宋体"/>
                <w:color w:val="FF0000"/>
                <w:szCs w:val="21"/>
                <w:highlight w:val="none"/>
              </w:rPr>
              <w:t>个及以上同类项目（如同行业、同规模维保项目），每个项目提供合同关键页及首页，共</w:t>
            </w:r>
            <w:r>
              <w:rPr>
                <w:rFonts w:hint="eastAsia" w:ascii="宋体" w:hAnsi="宋体" w:cs="宋体"/>
                <w:color w:val="FF0000"/>
                <w:szCs w:val="21"/>
                <w:highlight w:val="none"/>
                <w:lang w:val="en-US" w:eastAsia="zh-CN"/>
              </w:rPr>
              <w:t>9</w:t>
            </w:r>
            <w:r>
              <w:rPr>
                <w:rFonts w:hint="eastAsia" w:ascii="宋体" w:hAnsi="宋体" w:cs="宋体"/>
                <w:color w:val="FF0000"/>
                <w:szCs w:val="21"/>
                <w:highlight w:val="none"/>
              </w:rPr>
              <w:t>分。少1个扣</w:t>
            </w:r>
            <w:r>
              <w:rPr>
                <w:rFonts w:hint="eastAsia" w:ascii="宋体" w:hAnsi="宋体" w:cs="宋体"/>
                <w:color w:val="FF0000"/>
                <w:szCs w:val="21"/>
                <w:highlight w:val="none"/>
                <w:lang w:val="en-US" w:eastAsia="zh-CN"/>
              </w:rPr>
              <w:t>3</w:t>
            </w:r>
            <w:r>
              <w:rPr>
                <w:rFonts w:hint="eastAsia" w:ascii="宋体" w:hAnsi="宋体" w:cs="宋体"/>
                <w:color w:val="FF0000"/>
                <w:szCs w:val="21"/>
                <w:highlight w:val="none"/>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highlight w:val="yellow"/>
              </w:rPr>
            </w:pPr>
          </w:p>
        </w:tc>
        <w:tc>
          <w:tcPr>
            <w:tcW w:w="1819" w:type="dxa"/>
            <w:vAlign w:val="center"/>
          </w:tcPr>
          <w:p>
            <w:pPr>
              <w:widowControl/>
              <w:textAlignment w:val="top"/>
              <w:rPr>
                <w:rFonts w:hint="eastAsia" w:ascii="宋体" w:hAnsi="宋体" w:cs="宋体"/>
                <w:kern w:val="0"/>
                <w:szCs w:val="21"/>
                <w:highlight w:val="yellow"/>
                <w:lang w:bidi="ar"/>
              </w:rPr>
            </w:pPr>
            <w:r>
              <w:rPr>
                <w:rFonts w:hint="eastAsia" w:ascii="宋体" w:hAnsi="宋体" w:cs="宋体"/>
                <w:kern w:val="0"/>
                <w:szCs w:val="21"/>
                <w:highlight w:val="yellow"/>
                <w:lang w:bidi="ar"/>
              </w:rPr>
              <w:t>人员配置（10分）</w:t>
            </w:r>
          </w:p>
        </w:tc>
        <w:tc>
          <w:tcPr>
            <w:tcW w:w="6208" w:type="dxa"/>
            <w:shd w:val="clear" w:color="auto" w:fill="auto"/>
            <w:vAlign w:val="center"/>
          </w:tcPr>
          <w:p>
            <w:pPr>
              <w:pStyle w:val="80"/>
              <w:spacing w:after="0" w:afterLines="0" w:line="240" w:lineRule="auto"/>
              <w:ind w:firstLine="0" w:firstLineChars="0"/>
              <w:rPr>
                <w:rFonts w:hint="eastAsia" w:ascii="宋体" w:hAnsi="宋体" w:eastAsia="宋体"/>
                <w:color w:val="FF0000"/>
                <w:sz w:val="21"/>
                <w:szCs w:val="21"/>
                <w:highlight w:val="none"/>
                <w:lang w:val="en-US" w:bidi="ar-SA"/>
              </w:rPr>
            </w:pPr>
            <w:r>
              <w:rPr>
                <w:rFonts w:hint="eastAsia" w:ascii="宋体" w:hAnsi="宋体" w:eastAsia="宋体"/>
                <w:color w:val="FF0000"/>
                <w:sz w:val="21"/>
                <w:szCs w:val="21"/>
                <w:highlight w:val="none"/>
                <w:lang w:val="en-US" w:bidi="ar-SA"/>
              </w:rPr>
              <w:t>承诺项目</w:t>
            </w:r>
            <w:r>
              <w:rPr>
                <w:rFonts w:hint="eastAsia" w:ascii="宋体" w:hAnsi="宋体" w:eastAsia="宋体"/>
                <w:color w:val="FF0000"/>
                <w:sz w:val="21"/>
                <w:szCs w:val="21"/>
                <w:highlight w:val="none"/>
                <w:lang w:val="en-US" w:eastAsia="zh-CN" w:bidi="ar-SA"/>
              </w:rPr>
              <w:t>服务</w:t>
            </w:r>
            <w:r>
              <w:rPr>
                <w:rFonts w:hint="eastAsia" w:ascii="宋体" w:hAnsi="宋体" w:eastAsia="宋体"/>
                <w:color w:val="FF0000"/>
                <w:sz w:val="21"/>
                <w:szCs w:val="21"/>
                <w:highlight w:val="none"/>
                <w:lang w:val="en-US" w:bidi="ar-SA"/>
              </w:rPr>
              <w:t>期间至少3名主要</w:t>
            </w:r>
            <w:r>
              <w:rPr>
                <w:rFonts w:hint="eastAsia" w:ascii="宋体" w:hAnsi="宋体" w:eastAsia="宋体"/>
                <w:color w:val="FF0000"/>
                <w:sz w:val="21"/>
                <w:szCs w:val="21"/>
                <w:highlight w:val="none"/>
                <w:lang w:val="en-US" w:eastAsia="zh-CN" w:bidi="ar-SA"/>
              </w:rPr>
              <w:t>运</w:t>
            </w:r>
            <w:r>
              <w:rPr>
                <w:rFonts w:hint="eastAsia" w:ascii="宋体" w:hAnsi="宋体" w:eastAsia="宋体"/>
                <w:color w:val="FF0000"/>
                <w:sz w:val="21"/>
                <w:szCs w:val="21"/>
                <w:highlight w:val="none"/>
                <w:lang w:val="en-US" w:bidi="ar-SA"/>
              </w:rPr>
              <w:t>人员不得更换，至少</w:t>
            </w:r>
            <w:r>
              <w:rPr>
                <w:rFonts w:hint="eastAsia" w:ascii="宋体" w:hAnsi="宋体" w:eastAsia="宋体"/>
                <w:color w:val="FF0000"/>
                <w:sz w:val="21"/>
                <w:szCs w:val="21"/>
                <w:highlight w:val="none"/>
                <w:lang w:val="en-US" w:eastAsia="zh-CN" w:bidi="ar-SA"/>
              </w:rPr>
              <w:t>有</w:t>
            </w:r>
            <w:r>
              <w:rPr>
                <w:rFonts w:hint="eastAsia" w:ascii="宋体" w:hAnsi="宋体" w:eastAsia="宋体"/>
                <w:color w:val="FF0000"/>
                <w:sz w:val="21"/>
                <w:szCs w:val="21"/>
                <w:highlight w:val="none"/>
                <w:lang w:val="en-US" w:bidi="ar-SA"/>
              </w:rPr>
              <w:t>1名技术人员持有制冷设备维修技师以上职业资格证书，</w:t>
            </w:r>
            <w:r>
              <w:rPr>
                <w:rFonts w:hint="eastAsia" w:ascii="宋体" w:hAnsi="宋体" w:eastAsia="宋体"/>
                <w:color w:val="FF0000"/>
                <w:sz w:val="21"/>
                <w:szCs w:val="21"/>
                <w:highlight w:val="none"/>
                <w:lang w:val="en-US" w:eastAsia="zh-CN" w:bidi="ar-SA"/>
              </w:rPr>
              <w:t>得4分；</w:t>
            </w:r>
            <w:r>
              <w:rPr>
                <w:rFonts w:hint="eastAsia" w:ascii="宋体" w:hAnsi="宋体" w:eastAsia="宋体"/>
                <w:color w:val="FF0000"/>
                <w:sz w:val="21"/>
                <w:szCs w:val="21"/>
                <w:highlight w:val="yellow"/>
                <w:lang w:val="en-US" w:bidi="ar-SA"/>
              </w:rPr>
              <w:t>至少</w:t>
            </w:r>
            <w:r>
              <w:rPr>
                <w:rFonts w:hint="eastAsia" w:ascii="宋体" w:hAnsi="宋体" w:eastAsia="宋体"/>
                <w:color w:val="FF0000"/>
                <w:sz w:val="21"/>
                <w:szCs w:val="21"/>
                <w:highlight w:val="yellow"/>
                <w:lang w:val="en-US" w:eastAsia="zh-CN" w:bidi="ar-SA"/>
              </w:rPr>
              <w:t>有</w:t>
            </w:r>
            <w:r>
              <w:rPr>
                <w:rFonts w:hint="eastAsia" w:ascii="宋体" w:hAnsi="宋体" w:eastAsia="宋体"/>
                <w:color w:val="FF0000"/>
                <w:sz w:val="21"/>
                <w:szCs w:val="21"/>
                <w:highlight w:val="none"/>
                <w:lang w:val="en-US" w:bidi="ar-SA"/>
              </w:rPr>
              <w:t xml:space="preserve">2名持有中高级制冷空调系统等级证书，共6分，少于1名 扣 </w:t>
            </w:r>
            <w:r>
              <w:rPr>
                <w:rFonts w:hint="eastAsia" w:ascii="宋体" w:hAnsi="宋体" w:eastAsia="宋体"/>
                <w:color w:val="FF0000"/>
                <w:sz w:val="21"/>
                <w:szCs w:val="21"/>
                <w:highlight w:val="none"/>
                <w:lang w:val="en-US" w:eastAsia="zh-CN" w:bidi="ar-SA"/>
              </w:rPr>
              <w:t>3</w:t>
            </w:r>
            <w:r>
              <w:rPr>
                <w:rFonts w:hint="eastAsia" w:ascii="宋体" w:hAnsi="宋体" w:eastAsia="宋体"/>
                <w:color w:val="FF0000"/>
                <w:sz w:val="21"/>
                <w:szCs w:val="21"/>
                <w:highlight w:val="none"/>
                <w:lang w:val="en-US" w:bidi="ar-SA"/>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highlight w:val="yellow"/>
              </w:rPr>
            </w:pPr>
          </w:p>
        </w:tc>
        <w:tc>
          <w:tcPr>
            <w:tcW w:w="1819" w:type="dxa"/>
            <w:vAlign w:val="center"/>
          </w:tcPr>
          <w:p>
            <w:pPr>
              <w:widowControl/>
              <w:textAlignment w:val="center"/>
              <w:rPr>
                <w:rFonts w:hint="eastAsia" w:ascii="宋体" w:hAnsi="宋体" w:cs="宋体"/>
                <w:szCs w:val="21"/>
                <w:highlight w:val="yellow"/>
              </w:rPr>
            </w:pPr>
            <w:r>
              <w:rPr>
                <w:rFonts w:hint="eastAsia" w:ascii="宋体" w:hAnsi="宋体" w:cs="宋体"/>
                <w:kern w:val="0"/>
                <w:szCs w:val="21"/>
                <w:highlight w:val="yellow"/>
                <w:lang w:bidi="ar"/>
              </w:rPr>
              <w:t>质量保证措施（10分）</w:t>
            </w:r>
          </w:p>
        </w:tc>
        <w:tc>
          <w:tcPr>
            <w:tcW w:w="6208" w:type="dxa"/>
            <w:shd w:val="clear" w:color="auto" w:fill="auto"/>
            <w:vAlign w:val="center"/>
          </w:tcPr>
          <w:p>
            <w:pPr>
              <w:pStyle w:val="80"/>
              <w:spacing w:after="0" w:afterLines="0" w:line="240" w:lineRule="auto"/>
              <w:ind w:firstLine="0" w:firstLineChars="0"/>
              <w:rPr>
                <w:rFonts w:hint="eastAsia" w:ascii="宋体" w:hAnsi="宋体" w:eastAsia="宋体"/>
                <w:color w:val="FF0000"/>
                <w:kern w:val="0"/>
                <w:sz w:val="21"/>
                <w:szCs w:val="21"/>
                <w:highlight w:val="none"/>
                <w:lang w:val="en-US" w:bidi="ar"/>
              </w:rPr>
            </w:pPr>
            <w:r>
              <w:rPr>
                <w:rFonts w:hint="eastAsia" w:ascii="宋体" w:hAnsi="宋体" w:eastAsia="宋体"/>
                <w:color w:val="FF0000"/>
                <w:kern w:val="0"/>
                <w:sz w:val="21"/>
                <w:szCs w:val="21"/>
                <w:highlight w:val="none"/>
                <w:lang w:val="en-US" w:bidi="ar"/>
              </w:rPr>
              <w:t>认证资质：提供方需提供ISO9001质量管理体系认证或制冷行业专项认证</w:t>
            </w:r>
            <w:r>
              <w:rPr>
                <w:rFonts w:hint="eastAsia" w:ascii="宋体" w:hAnsi="宋体" w:eastAsia="宋体"/>
                <w:color w:val="FF0000"/>
                <w:kern w:val="0"/>
                <w:sz w:val="21"/>
                <w:szCs w:val="21"/>
                <w:highlight w:val="none"/>
                <w:lang w:val="en-US" w:eastAsia="zh-CN" w:bidi="ar"/>
              </w:rPr>
              <w:t>或近三年有获得甲方书面表扬的</w:t>
            </w:r>
            <w:r>
              <w:rPr>
                <w:rFonts w:hint="eastAsia" w:ascii="宋体" w:hAnsi="宋体" w:eastAsia="宋体"/>
                <w:color w:val="FF0000"/>
                <w:kern w:val="0"/>
                <w:sz w:val="21"/>
                <w:szCs w:val="21"/>
                <w:highlight w:val="none"/>
                <w:lang w:val="en-US" w:bidi="ar"/>
              </w:rPr>
              <w:t xml:space="preserve"> 得</w:t>
            </w:r>
            <w:r>
              <w:rPr>
                <w:rFonts w:hint="eastAsia" w:ascii="宋体" w:hAnsi="宋体" w:eastAsia="宋体"/>
                <w:color w:val="FF0000"/>
                <w:kern w:val="0"/>
                <w:sz w:val="21"/>
                <w:szCs w:val="21"/>
                <w:highlight w:val="none"/>
                <w:lang w:val="en-US" w:eastAsia="zh-CN" w:bidi="ar"/>
              </w:rPr>
              <w:t>10</w:t>
            </w:r>
            <w:r>
              <w:rPr>
                <w:rFonts w:hint="eastAsia" w:ascii="宋体" w:hAnsi="宋体" w:eastAsia="宋体"/>
                <w:color w:val="FF0000"/>
                <w:kern w:val="0"/>
                <w:sz w:val="21"/>
                <w:szCs w:val="21"/>
                <w:highlight w:val="none"/>
                <w:lang w:val="en-US"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highlight w:val="yellow"/>
              </w:rPr>
            </w:pPr>
          </w:p>
        </w:tc>
        <w:tc>
          <w:tcPr>
            <w:tcW w:w="1819" w:type="dxa"/>
            <w:vAlign w:val="center"/>
          </w:tcPr>
          <w:p>
            <w:pPr>
              <w:widowControl/>
              <w:textAlignment w:val="center"/>
              <w:rPr>
                <w:rFonts w:hint="eastAsia" w:ascii="宋体" w:hAnsi="宋体" w:cs="宋体"/>
                <w:szCs w:val="21"/>
                <w:highlight w:val="yellow"/>
              </w:rPr>
            </w:pPr>
            <w:bookmarkStart w:id="511" w:name="OLE_LINK1"/>
            <w:r>
              <w:rPr>
                <w:rFonts w:hint="eastAsia" w:ascii="宋体" w:hAnsi="宋体" w:cs="宋体"/>
                <w:kern w:val="0"/>
                <w:szCs w:val="21"/>
                <w:highlight w:val="yellow"/>
                <w:lang w:bidi="ar"/>
              </w:rPr>
              <w:t>售后服务内容与计划（</w:t>
            </w:r>
            <w:r>
              <w:rPr>
                <w:rFonts w:hint="eastAsia" w:ascii="宋体" w:hAnsi="宋体" w:cs="宋体"/>
                <w:kern w:val="0"/>
                <w:szCs w:val="21"/>
                <w:highlight w:val="yellow"/>
                <w:lang w:val="en-US" w:eastAsia="zh-CN" w:bidi="ar"/>
              </w:rPr>
              <w:t>20</w:t>
            </w:r>
            <w:r>
              <w:rPr>
                <w:rFonts w:hint="eastAsia" w:ascii="宋体" w:hAnsi="宋体" w:cs="宋体"/>
                <w:kern w:val="0"/>
                <w:szCs w:val="21"/>
                <w:highlight w:val="yellow"/>
                <w:lang w:bidi="ar"/>
              </w:rPr>
              <w:t>分）</w:t>
            </w:r>
            <w:bookmarkEnd w:id="511"/>
          </w:p>
        </w:tc>
        <w:tc>
          <w:tcPr>
            <w:tcW w:w="6208" w:type="dxa"/>
            <w:shd w:val="clear" w:color="auto" w:fill="auto"/>
            <w:vAlign w:val="center"/>
          </w:tcPr>
          <w:p>
            <w:pPr>
              <w:pStyle w:val="80"/>
              <w:spacing w:after="0" w:afterLines="0" w:line="240" w:lineRule="auto"/>
              <w:ind w:firstLine="0" w:firstLineChars="0"/>
              <w:rPr>
                <w:rFonts w:hint="default" w:ascii="宋体" w:hAnsi="宋体" w:eastAsia="宋体"/>
                <w:color w:val="FF0000"/>
                <w:kern w:val="0"/>
                <w:sz w:val="21"/>
                <w:szCs w:val="21"/>
                <w:highlight w:val="none"/>
                <w:lang w:val="en-US" w:eastAsia="zh-CN" w:bidi="ar"/>
              </w:rPr>
            </w:pPr>
            <w:r>
              <w:rPr>
                <w:rFonts w:hint="eastAsia" w:ascii="宋体" w:hAnsi="宋体" w:eastAsia="宋体"/>
                <w:color w:val="FF0000"/>
                <w:kern w:val="0"/>
                <w:sz w:val="21"/>
                <w:szCs w:val="21"/>
                <w:highlight w:val="none"/>
                <w:lang w:val="en-US" w:bidi="ar"/>
              </w:rPr>
              <w:t>提供7*24h</w:t>
            </w:r>
            <w:r>
              <w:rPr>
                <w:rFonts w:hint="eastAsia" w:ascii="宋体" w:hAnsi="宋体" w:eastAsia="宋体"/>
                <w:color w:val="FF0000"/>
                <w:kern w:val="0"/>
                <w:sz w:val="21"/>
                <w:szCs w:val="21"/>
                <w:highlight w:val="none"/>
                <w:lang w:val="en-US" w:eastAsia="zh-CN" w:bidi="ar"/>
              </w:rPr>
              <w:t>应急运维</w:t>
            </w:r>
            <w:r>
              <w:rPr>
                <w:rFonts w:hint="eastAsia" w:ascii="宋体" w:hAnsi="宋体" w:eastAsia="宋体"/>
                <w:color w:val="FF0000"/>
                <w:kern w:val="0"/>
                <w:sz w:val="21"/>
                <w:szCs w:val="21"/>
                <w:highlight w:val="none"/>
                <w:lang w:val="en-US" w:bidi="ar"/>
              </w:rPr>
              <w:t>服务</w:t>
            </w:r>
            <w:r>
              <w:rPr>
                <w:rFonts w:hint="eastAsia" w:ascii="宋体" w:hAnsi="宋体" w:eastAsia="宋体"/>
                <w:color w:val="FF0000"/>
                <w:kern w:val="0"/>
                <w:sz w:val="21"/>
                <w:szCs w:val="21"/>
                <w:highlight w:val="none"/>
                <w:lang w:val="en-US" w:eastAsia="zh-CN" w:bidi="ar"/>
              </w:rPr>
              <w:t>得</w:t>
            </w:r>
            <w:r>
              <w:rPr>
                <w:rFonts w:hint="eastAsia" w:ascii="宋体" w:hAnsi="宋体" w:eastAsia="宋体"/>
                <w:color w:val="FF0000"/>
                <w:kern w:val="0"/>
                <w:sz w:val="21"/>
                <w:szCs w:val="21"/>
                <w:highlight w:val="yellow"/>
                <w:lang w:val="en-US" w:eastAsia="zh-CN" w:bidi="ar"/>
              </w:rPr>
              <w:t>5</w:t>
            </w:r>
            <w:r>
              <w:rPr>
                <w:rFonts w:hint="eastAsia" w:ascii="宋体" w:hAnsi="宋体" w:eastAsia="宋体"/>
                <w:color w:val="FF0000"/>
                <w:kern w:val="0"/>
                <w:sz w:val="21"/>
                <w:szCs w:val="21"/>
                <w:highlight w:val="none"/>
                <w:lang w:val="en-US" w:bidi="ar"/>
              </w:rPr>
              <w:t>分，</w:t>
            </w:r>
            <w:r>
              <w:rPr>
                <w:rFonts w:hint="eastAsia" w:ascii="宋体" w:hAnsi="宋体" w:eastAsia="宋体"/>
                <w:color w:val="FF0000"/>
                <w:kern w:val="0"/>
                <w:sz w:val="21"/>
                <w:szCs w:val="21"/>
                <w:highlight w:val="none"/>
                <w:lang w:val="en-US" w:eastAsia="zh-CN" w:bidi="ar"/>
              </w:rPr>
              <w:t>仅提供工作时间应急运维服务得</w:t>
            </w:r>
            <w:r>
              <w:rPr>
                <w:rFonts w:hint="eastAsia" w:ascii="宋体" w:hAnsi="宋体" w:eastAsia="宋体"/>
                <w:color w:val="FF0000"/>
                <w:kern w:val="0"/>
                <w:sz w:val="21"/>
                <w:szCs w:val="21"/>
                <w:highlight w:val="yellow"/>
                <w:lang w:val="en-US" w:eastAsia="zh-CN" w:bidi="ar"/>
              </w:rPr>
              <w:t>5</w:t>
            </w:r>
            <w:r>
              <w:rPr>
                <w:rFonts w:hint="eastAsia" w:ascii="宋体" w:hAnsi="宋体" w:eastAsia="宋体"/>
                <w:color w:val="FF0000"/>
                <w:kern w:val="0"/>
                <w:sz w:val="21"/>
                <w:szCs w:val="21"/>
                <w:highlight w:val="none"/>
                <w:lang w:val="en-US" w:bidi="ar"/>
              </w:rPr>
              <w:t>分</w:t>
            </w:r>
            <w:r>
              <w:rPr>
                <w:rFonts w:hint="eastAsia" w:ascii="宋体" w:hAnsi="宋体" w:eastAsia="宋体"/>
                <w:color w:val="FF0000"/>
                <w:kern w:val="0"/>
                <w:sz w:val="21"/>
                <w:szCs w:val="21"/>
                <w:highlight w:val="none"/>
                <w:lang w:val="en-US" w:eastAsia="zh-CN" w:bidi="ar"/>
              </w:rPr>
              <w:t>；维保后无免费应急服务的0分；</w:t>
            </w:r>
          </w:p>
          <w:p>
            <w:pPr>
              <w:pStyle w:val="80"/>
              <w:spacing w:after="0" w:afterLines="0" w:line="240" w:lineRule="auto"/>
              <w:ind w:firstLine="0" w:firstLineChars="0"/>
              <w:rPr>
                <w:rFonts w:hint="eastAsia" w:ascii="宋体" w:hAnsi="宋体" w:eastAsia="宋体"/>
                <w:color w:val="FF0000"/>
                <w:kern w:val="0"/>
                <w:sz w:val="21"/>
                <w:szCs w:val="21"/>
                <w:highlight w:val="none"/>
                <w:lang w:val="en-US" w:bidi="ar"/>
              </w:rPr>
            </w:pPr>
            <w:r>
              <w:rPr>
                <w:rFonts w:hint="eastAsia" w:ascii="宋体" w:hAnsi="宋体" w:eastAsia="宋体"/>
                <w:color w:val="FF0000"/>
                <w:kern w:val="0"/>
                <w:sz w:val="21"/>
                <w:szCs w:val="21"/>
                <w:highlight w:val="none"/>
                <w:lang w:val="en-US" w:eastAsia="zh-CN" w:bidi="ar"/>
              </w:rPr>
              <w:t>服务期间，</w:t>
            </w:r>
            <w:r>
              <w:rPr>
                <w:rFonts w:hint="eastAsia" w:ascii="宋体" w:hAnsi="宋体" w:eastAsia="宋体"/>
                <w:color w:val="FF0000"/>
                <w:kern w:val="0"/>
                <w:sz w:val="21"/>
                <w:szCs w:val="21"/>
                <w:highlight w:val="none"/>
                <w:lang w:val="en-US" w:bidi="ar"/>
              </w:rPr>
              <w:t>承诺</w:t>
            </w:r>
            <w:r>
              <w:rPr>
                <w:rFonts w:hint="eastAsia" w:ascii="宋体" w:hAnsi="宋体" w:eastAsia="宋体"/>
                <w:color w:val="FF0000"/>
                <w:kern w:val="0"/>
                <w:sz w:val="21"/>
                <w:szCs w:val="21"/>
                <w:highlight w:val="none"/>
                <w:lang w:val="en-US" w:eastAsia="zh-CN" w:bidi="ar"/>
              </w:rPr>
              <w:t>收到需求信息</w:t>
            </w:r>
            <w:r>
              <w:rPr>
                <w:rFonts w:hint="eastAsia" w:ascii="宋体" w:hAnsi="宋体" w:eastAsia="宋体"/>
                <w:color w:val="FF0000"/>
                <w:kern w:val="0"/>
                <w:sz w:val="21"/>
                <w:szCs w:val="21"/>
                <w:highlight w:val="none"/>
                <w:lang w:val="en-US" w:bidi="ar"/>
              </w:rPr>
              <w:t>60分钟内到场得</w:t>
            </w:r>
            <w:r>
              <w:rPr>
                <w:rFonts w:hint="eastAsia" w:ascii="宋体" w:hAnsi="宋体" w:eastAsia="宋体"/>
                <w:color w:val="FF0000"/>
                <w:kern w:val="0"/>
                <w:sz w:val="21"/>
                <w:szCs w:val="21"/>
                <w:highlight w:val="none"/>
                <w:lang w:val="en-US" w:eastAsia="zh-CN" w:bidi="ar"/>
              </w:rPr>
              <w:t>10</w:t>
            </w:r>
            <w:r>
              <w:rPr>
                <w:rFonts w:hint="eastAsia" w:ascii="宋体" w:hAnsi="宋体" w:eastAsia="宋体"/>
                <w:color w:val="FF0000"/>
                <w:kern w:val="0"/>
                <w:sz w:val="21"/>
                <w:szCs w:val="21"/>
                <w:highlight w:val="none"/>
                <w:lang w:val="en-US" w:bidi="ar"/>
              </w:rPr>
              <w:t>分，</w:t>
            </w:r>
            <w:r>
              <w:rPr>
                <w:rFonts w:hint="eastAsia" w:ascii="宋体" w:hAnsi="宋体" w:eastAsia="宋体"/>
                <w:color w:val="FF0000"/>
                <w:kern w:val="0"/>
                <w:sz w:val="21"/>
                <w:szCs w:val="21"/>
                <w:highlight w:val="yellow"/>
                <w:lang w:val="en-US" w:eastAsia="zh-CN" w:bidi="ar"/>
              </w:rPr>
              <w:t>每</w:t>
            </w:r>
            <w:r>
              <w:rPr>
                <w:rFonts w:hint="eastAsia" w:ascii="宋体" w:hAnsi="宋体" w:eastAsia="宋体"/>
                <w:color w:val="FF0000"/>
                <w:kern w:val="0"/>
                <w:sz w:val="21"/>
                <w:szCs w:val="21"/>
                <w:highlight w:val="none"/>
                <w:lang w:val="en-US" w:bidi="ar"/>
              </w:rPr>
              <w:t>延迟30分钟扣</w:t>
            </w:r>
            <w:r>
              <w:rPr>
                <w:rFonts w:hint="eastAsia" w:ascii="宋体" w:hAnsi="宋体" w:eastAsia="宋体"/>
                <w:color w:val="FF0000"/>
                <w:kern w:val="0"/>
                <w:sz w:val="21"/>
                <w:szCs w:val="21"/>
                <w:highlight w:val="yellow"/>
                <w:lang w:val="en-US" w:eastAsia="zh-CN" w:bidi="ar"/>
              </w:rPr>
              <w:t>2</w:t>
            </w:r>
            <w:r>
              <w:rPr>
                <w:rFonts w:hint="eastAsia" w:ascii="宋体" w:hAnsi="宋体" w:eastAsia="宋体"/>
                <w:color w:val="FF0000"/>
                <w:kern w:val="0"/>
                <w:sz w:val="21"/>
                <w:szCs w:val="21"/>
                <w:highlight w:val="none"/>
                <w:lang w:val="en-US" w:bidi="ar"/>
              </w:rPr>
              <w:t>分</w:t>
            </w:r>
            <w:r>
              <w:rPr>
                <w:rFonts w:hint="eastAsia" w:ascii="宋体" w:hAnsi="宋体" w:eastAsia="宋体"/>
                <w:color w:val="FF0000"/>
                <w:sz w:val="21"/>
                <w:szCs w:val="21"/>
                <w:highlight w:val="none"/>
                <w:lang w:val="en-US" w:bidi="ar-SA"/>
              </w:rPr>
              <w:t>，扣完为止</w:t>
            </w:r>
            <w:r>
              <w:rPr>
                <w:rFonts w:hint="eastAsia" w:ascii="宋体" w:hAnsi="宋体" w:eastAsia="宋体"/>
                <w:color w:val="FF0000"/>
                <w:kern w:val="0"/>
                <w:sz w:val="21"/>
                <w:szCs w:val="21"/>
                <w:highlight w:val="none"/>
                <w:lang w:val="en-US"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09" w:type="dxa"/>
            <w:vAlign w:val="center"/>
          </w:tcPr>
          <w:p>
            <w:pPr>
              <w:jc w:val="center"/>
              <w:rPr>
                <w:rFonts w:hint="eastAsia" w:ascii="宋体" w:hAnsi="宋体" w:cs="宋体"/>
                <w:bCs/>
                <w:szCs w:val="21"/>
              </w:rPr>
            </w:pPr>
            <w:r>
              <w:rPr>
                <w:rFonts w:hint="eastAsia" w:ascii="宋体" w:hAnsi="宋体" w:cs="宋体"/>
                <w:bCs/>
                <w:szCs w:val="21"/>
              </w:rPr>
              <w:t>2.2.3（3）</w:t>
            </w:r>
          </w:p>
        </w:tc>
        <w:tc>
          <w:tcPr>
            <w:tcW w:w="756" w:type="dxa"/>
            <w:vAlign w:val="center"/>
          </w:tcPr>
          <w:p>
            <w:pPr>
              <w:ind w:left="-107" w:leftChars="-51" w:right="-107" w:rightChars="-51"/>
              <w:jc w:val="center"/>
              <w:rPr>
                <w:rFonts w:hint="eastAsia" w:ascii="宋体" w:hAnsi="宋体" w:cs="宋体"/>
                <w:bCs/>
                <w:szCs w:val="21"/>
              </w:rPr>
            </w:pPr>
            <w:r>
              <w:rPr>
                <w:rFonts w:hint="eastAsia" w:ascii="宋体" w:hAnsi="宋体" w:cs="宋体"/>
                <w:bCs/>
                <w:szCs w:val="21"/>
              </w:rPr>
              <w:t>价格部分评分标准</w:t>
            </w:r>
          </w:p>
        </w:tc>
        <w:tc>
          <w:tcPr>
            <w:tcW w:w="8027" w:type="dxa"/>
            <w:gridSpan w:val="2"/>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评标价格分数=（评标基准价/投标报价）×价格权重（30%）×100</w:t>
            </w:r>
          </w:p>
          <w:p>
            <w:pPr>
              <w:rPr>
                <w:rFonts w:hint="eastAsia" w:ascii="宋体" w:hAnsi="宋体" w:cs="宋体"/>
                <w:b/>
                <w:szCs w:val="21"/>
              </w:rPr>
            </w:pPr>
            <w:r>
              <w:rPr>
                <w:rFonts w:hint="eastAsia" w:ascii="宋体" w:hAnsi="宋体" w:cs="宋体"/>
                <w:b/>
                <w:kern w:val="0"/>
                <w:szCs w:val="21"/>
              </w:rPr>
              <w:t>（注：实质性响应招标文件要求且价格最低的投标报价为评标基准价）</w:t>
            </w:r>
            <w:r>
              <w:rPr>
                <w:rFonts w:hint="eastAsia" w:ascii="宋体" w:hAnsi="宋体" w:cs="宋体"/>
                <w:szCs w:val="21"/>
              </w:rPr>
              <w:t>。</w:t>
            </w:r>
          </w:p>
        </w:tc>
      </w:tr>
    </w:tbl>
    <w:p>
      <w:pPr>
        <w:pStyle w:val="2"/>
      </w:pPr>
    </w:p>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highlight w:val="yellow"/>
        </w:rPr>
      </w:pPr>
      <w:bookmarkStart w:id="512" w:name="_Toc31714"/>
      <w:r>
        <w:rPr>
          <w:rFonts w:hint="eastAsia" w:ascii="宋体" w:hAnsi="宋体"/>
          <w:b/>
          <w:bCs/>
          <w:sz w:val="24"/>
          <w:highlight w:val="yellow"/>
        </w:rPr>
        <w:t xml:space="preserve">第六章 </w:t>
      </w:r>
      <w:bookmarkEnd w:id="507"/>
      <w:r>
        <w:rPr>
          <w:rFonts w:hint="eastAsia" w:ascii="宋体" w:hAnsi="宋体"/>
          <w:b/>
          <w:bCs/>
          <w:sz w:val="24"/>
          <w:highlight w:val="yellow"/>
        </w:rPr>
        <w:t>货物需求一览表及技术要求</w:t>
      </w:r>
      <w:bookmarkEnd w:id="508"/>
      <w:bookmarkEnd w:id="509"/>
      <w:bookmarkEnd w:id="510"/>
      <w:bookmarkEnd w:id="512"/>
    </w:p>
    <w:p>
      <w:pPr>
        <w:spacing w:before="120" w:beforeLines="50" w:after="120" w:afterLines="50" w:line="360" w:lineRule="auto"/>
        <w:outlineLvl w:val="1"/>
        <w:rPr>
          <w:rFonts w:hint="eastAsia" w:ascii="宋体" w:hAnsi="宋体"/>
          <w:b/>
          <w:kern w:val="0"/>
          <w:szCs w:val="21"/>
        </w:rPr>
      </w:pPr>
      <w:bookmarkStart w:id="513" w:name="_Toc9053"/>
      <w:bookmarkStart w:id="514" w:name="_Toc73707880"/>
      <w:bookmarkStart w:id="515" w:name="_Toc77629056"/>
      <w:bookmarkStart w:id="516" w:name="_Toc77628640"/>
      <w:bookmarkStart w:id="517" w:name="_Toc32235246"/>
      <w:bookmarkStart w:id="518" w:name="_Toc77628976"/>
      <w:r>
        <w:rPr>
          <w:rFonts w:hint="eastAsia" w:ascii="宋体" w:hAnsi="宋体"/>
          <w:b/>
          <w:kern w:val="0"/>
          <w:szCs w:val="21"/>
        </w:rPr>
        <w:t>一</w:t>
      </w:r>
      <w:r>
        <w:rPr>
          <w:rFonts w:ascii="宋体" w:hAnsi="宋体"/>
          <w:b/>
          <w:kern w:val="0"/>
          <w:szCs w:val="21"/>
        </w:rPr>
        <w:t>、</w:t>
      </w:r>
      <w:r>
        <w:rPr>
          <w:rFonts w:hint="eastAsia" w:ascii="宋体" w:hAnsi="宋体"/>
          <w:b/>
          <w:kern w:val="0"/>
          <w:szCs w:val="21"/>
        </w:rPr>
        <w:t>货物</w:t>
      </w:r>
      <w:r>
        <w:rPr>
          <w:rFonts w:ascii="宋体" w:hAnsi="宋体"/>
          <w:b/>
          <w:kern w:val="0"/>
          <w:szCs w:val="21"/>
        </w:rPr>
        <w:t>需求一览表</w:t>
      </w:r>
      <w:bookmarkEnd w:id="513"/>
      <w:bookmarkEnd w:id="514"/>
      <w:bookmarkEnd w:id="515"/>
      <w:bookmarkEnd w:id="516"/>
      <w:bookmarkEnd w:id="517"/>
      <w:bookmarkEnd w:id="518"/>
    </w:p>
    <w:tbl>
      <w:tblPr>
        <w:tblStyle w:val="41"/>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1"/>
        <w:gridCol w:w="1234"/>
        <w:gridCol w:w="981"/>
        <w:gridCol w:w="227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8" w:type="dxa"/>
            <w:vAlign w:val="center"/>
          </w:tcPr>
          <w:p>
            <w:pPr>
              <w:widowControl/>
              <w:jc w:val="center"/>
              <w:rPr>
                <w:rFonts w:hint="eastAsia" w:ascii="宋体" w:hAnsi="宋体" w:cs="宋体"/>
                <w:b/>
                <w:bCs/>
                <w:kern w:val="0"/>
                <w:szCs w:val="21"/>
              </w:rPr>
            </w:pPr>
            <w:r>
              <w:rPr>
                <w:rFonts w:hint="eastAsia" w:ascii="宋体" w:hAnsi="宋体"/>
                <w:b/>
                <w:bCs/>
                <w:szCs w:val="21"/>
              </w:rPr>
              <w:t>序号</w:t>
            </w:r>
          </w:p>
        </w:tc>
        <w:tc>
          <w:tcPr>
            <w:tcW w:w="1701" w:type="dxa"/>
            <w:vAlign w:val="center"/>
          </w:tcPr>
          <w:p>
            <w:pPr>
              <w:widowControl/>
              <w:jc w:val="center"/>
              <w:rPr>
                <w:rFonts w:hint="eastAsia" w:ascii="宋体" w:hAnsi="宋体" w:cs="宋体"/>
                <w:b/>
                <w:bCs/>
                <w:kern w:val="0"/>
                <w:szCs w:val="21"/>
              </w:rPr>
            </w:pPr>
            <w:r>
              <w:rPr>
                <w:rFonts w:hint="eastAsia" w:ascii="宋体" w:hAnsi="宋体"/>
                <w:b/>
                <w:bCs/>
                <w:szCs w:val="21"/>
              </w:rPr>
              <w:t>名称</w:t>
            </w:r>
          </w:p>
        </w:tc>
        <w:tc>
          <w:tcPr>
            <w:tcW w:w="1234" w:type="dxa"/>
            <w:vAlign w:val="center"/>
          </w:tcPr>
          <w:p>
            <w:pPr>
              <w:widowControl/>
              <w:jc w:val="center"/>
              <w:rPr>
                <w:rFonts w:hint="eastAsia" w:ascii="宋体" w:hAnsi="宋体" w:cs="宋体"/>
                <w:b/>
                <w:bCs/>
                <w:kern w:val="0"/>
                <w:szCs w:val="21"/>
              </w:rPr>
            </w:pPr>
            <w:r>
              <w:rPr>
                <w:rFonts w:hint="eastAsia" w:ascii="宋体" w:hAnsi="宋体"/>
                <w:b/>
                <w:bCs/>
                <w:szCs w:val="21"/>
              </w:rPr>
              <w:t>规格</w:t>
            </w:r>
          </w:p>
        </w:tc>
        <w:tc>
          <w:tcPr>
            <w:tcW w:w="981" w:type="dxa"/>
            <w:vAlign w:val="center"/>
          </w:tcPr>
          <w:p>
            <w:pPr>
              <w:widowControl/>
              <w:jc w:val="center"/>
              <w:rPr>
                <w:rFonts w:hint="eastAsia" w:ascii="宋体" w:hAnsi="宋体" w:cs="宋体"/>
                <w:b/>
                <w:bCs/>
                <w:kern w:val="0"/>
                <w:szCs w:val="21"/>
              </w:rPr>
            </w:pPr>
            <w:r>
              <w:rPr>
                <w:rFonts w:hint="eastAsia" w:ascii="宋体" w:hAnsi="宋体"/>
                <w:b/>
                <w:bCs/>
                <w:szCs w:val="21"/>
              </w:rPr>
              <w:t>单位</w:t>
            </w:r>
          </w:p>
        </w:tc>
        <w:tc>
          <w:tcPr>
            <w:tcW w:w="22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交货</w:t>
            </w:r>
            <w:r>
              <w:rPr>
                <w:rFonts w:ascii="宋体" w:hAnsi="宋体" w:cs="宋体"/>
                <w:b/>
                <w:bCs/>
                <w:kern w:val="0"/>
                <w:szCs w:val="21"/>
              </w:rPr>
              <w:t>期</w:t>
            </w:r>
          </w:p>
        </w:tc>
        <w:tc>
          <w:tcPr>
            <w:tcW w:w="1656"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vAlign w:val="center"/>
          </w:tcPr>
          <w:p>
            <w:pPr>
              <w:widowControl/>
              <w:jc w:val="center"/>
              <w:rPr>
                <w:rFonts w:hint="eastAsia" w:ascii="宋体" w:hAnsi="宋体" w:cs="宋体"/>
                <w:kern w:val="0"/>
                <w:szCs w:val="21"/>
              </w:rPr>
            </w:pPr>
            <w:r>
              <w:rPr>
                <w:rFonts w:hint="eastAsia" w:ascii="宋体" w:hAnsi="宋体"/>
                <w:szCs w:val="21"/>
              </w:rPr>
              <w:t>1</w:t>
            </w:r>
          </w:p>
        </w:tc>
        <w:tc>
          <w:tcPr>
            <w:tcW w:w="1701" w:type="dxa"/>
            <w:vAlign w:val="center"/>
          </w:tcPr>
          <w:p>
            <w:pPr>
              <w:spacing w:line="360" w:lineRule="auto"/>
              <w:jc w:val="center"/>
              <w:rPr>
                <w:rFonts w:hint="eastAsia" w:ascii="宋体" w:hAnsi="宋体"/>
                <w:szCs w:val="21"/>
              </w:rPr>
            </w:pPr>
            <w:r>
              <w:rPr>
                <w:rFonts w:hint="eastAsia" w:ascii="宋体" w:hAnsi="宋体"/>
                <w:szCs w:val="21"/>
              </w:rPr>
              <w:t>年度螺杆式水冷机组维修保养</w:t>
            </w:r>
          </w:p>
        </w:tc>
        <w:tc>
          <w:tcPr>
            <w:tcW w:w="1234" w:type="dxa"/>
            <w:vAlign w:val="center"/>
          </w:tcPr>
          <w:p>
            <w:pPr>
              <w:spacing w:line="360" w:lineRule="auto"/>
              <w:jc w:val="center"/>
              <w:rPr>
                <w:rFonts w:hint="eastAsia" w:ascii="宋体" w:hAnsi="宋体" w:cs="宋体"/>
                <w:kern w:val="0"/>
                <w:szCs w:val="21"/>
              </w:rPr>
            </w:pPr>
            <w:r>
              <w:rPr>
                <w:rFonts w:hint="eastAsia"/>
                <w:kern w:val="0"/>
                <w:szCs w:val="21"/>
              </w:rPr>
              <w:t>见下文</w:t>
            </w:r>
          </w:p>
        </w:tc>
        <w:tc>
          <w:tcPr>
            <w:tcW w:w="981" w:type="dxa"/>
            <w:vAlign w:val="center"/>
          </w:tcPr>
          <w:p>
            <w:pPr>
              <w:widowControl/>
              <w:jc w:val="center"/>
              <w:rPr>
                <w:rFonts w:hint="eastAsia" w:ascii="宋体" w:hAnsi="宋体" w:cs="宋体"/>
                <w:kern w:val="0"/>
                <w:szCs w:val="21"/>
              </w:rPr>
            </w:pPr>
            <w:r>
              <w:rPr>
                <w:rFonts w:hint="eastAsia" w:ascii="宋体" w:hAnsi="宋体" w:cs="宋体"/>
                <w:kern w:val="0"/>
                <w:szCs w:val="21"/>
              </w:rPr>
              <w:t>项</w:t>
            </w:r>
          </w:p>
        </w:tc>
        <w:tc>
          <w:tcPr>
            <w:tcW w:w="2272" w:type="dxa"/>
            <w:vAlign w:val="center"/>
          </w:tcPr>
          <w:p>
            <w:pPr>
              <w:widowControl/>
              <w:jc w:val="center"/>
              <w:rPr>
                <w:rFonts w:hint="eastAsia" w:ascii="宋体" w:hAnsi="宋体" w:cs="宋体"/>
                <w:kern w:val="0"/>
                <w:szCs w:val="21"/>
              </w:rPr>
            </w:pPr>
            <w:r>
              <w:rPr>
                <w:rFonts w:hint="eastAsia" w:ascii="宋体" w:hAnsi="宋体" w:cs="宋体"/>
                <w:kern w:val="0"/>
                <w:szCs w:val="21"/>
                <w:lang w:val="zh-CN"/>
              </w:rPr>
              <w:t>根据</w:t>
            </w:r>
            <w:r>
              <w:rPr>
                <w:rFonts w:hint="eastAsia" w:ascii="宋体" w:hAnsi="宋体" w:cs="宋体"/>
                <w:kern w:val="0"/>
                <w:szCs w:val="21"/>
              </w:rPr>
              <w:t>招标人单次</w:t>
            </w:r>
            <w:r>
              <w:rPr>
                <w:rFonts w:hint="eastAsia" w:ascii="宋体" w:hAnsi="宋体" w:cs="宋体"/>
                <w:kern w:val="0"/>
                <w:szCs w:val="21"/>
                <w:lang w:val="zh-CN"/>
              </w:rPr>
              <w:t>订单要求</w:t>
            </w:r>
            <w:r>
              <w:rPr>
                <w:rFonts w:hint="eastAsia" w:ascii="宋体" w:hAnsi="宋体" w:cs="宋体"/>
                <w:kern w:val="0"/>
                <w:szCs w:val="21"/>
              </w:rPr>
              <w:t>的</w:t>
            </w:r>
            <w:r>
              <w:rPr>
                <w:rFonts w:hint="eastAsia" w:ascii="宋体" w:hAnsi="宋体" w:cs="宋体"/>
                <w:kern w:val="0"/>
                <w:szCs w:val="21"/>
                <w:lang w:val="zh-CN"/>
              </w:rPr>
              <w:t>时间</w:t>
            </w:r>
            <w:r>
              <w:rPr>
                <w:rFonts w:hint="eastAsia" w:ascii="宋体" w:hAnsi="宋体" w:cs="宋体"/>
                <w:kern w:val="0"/>
                <w:szCs w:val="21"/>
              </w:rPr>
              <w:t>完成配送</w:t>
            </w:r>
          </w:p>
        </w:tc>
        <w:tc>
          <w:tcPr>
            <w:tcW w:w="1656" w:type="dxa"/>
            <w:vAlign w:val="center"/>
          </w:tcPr>
          <w:p>
            <w:pPr>
              <w:widowControl/>
              <w:jc w:val="center"/>
              <w:rPr>
                <w:rFonts w:hint="eastAsia" w:ascii="宋体" w:hAnsi="宋体" w:cs="宋体"/>
                <w:kern w:val="0"/>
                <w:szCs w:val="21"/>
              </w:rPr>
            </w:pPr>
            <w:r>
              <w:rPr>
                <w:rFonts w:hint="eastAsia" w:ascii="宋体" w:hAnsi="宋体"/>
                <w:szCs w:val="21"/>
              </w:rPr>
              <w:t>招标人指定项目现场</w:t>
            </w:r>
          </w:p>
        </w:tc>
      </w:tr>
    </w:tbl>
    <w:p>
      <w:pPr>
        <w:numPr>
          <w:ilvl w:val="0"/>
          <w:numId w:val="10"/>
        </w:numPr>
        <w:spacing w:line="360" w:lineRule="auto"/>
        <w:outlineLvl w:val="1"/>
        <w:rPr>
          <w:rFonts w:hint="eastAsia" w:ascii="宋体" w:hAnsi="宋体"/>
          <w:b/>
          <w:kern w:val="0"/>
          <w:sz w:val="22"/>
          <w:szCs w:val="22"/>
        </w:rPr>
      </w:pPr>
      <w:bookmarkStart w:id="519" w:name="_Toc77628641"/>
      <w:bookmarkStart w:id="520" w:name="_Toc77628977"/>
      <w:bookmarkStart w:id="521" w:name="_Toc21254"/>
      <w:bookmarkStart w:id="522" w:name="_Toc77629057"/>
      <w:r>
        <w:rPr>
          <w:rFonts w:hint="eastAsia" w:ascii="宋体" w:hAnsi="宋体"/>
          <w:b/>
          <w:kern w:val="0"/>
          <w:sz w:val="22"/>
          <w:szCs w:val="22"/>
        </w:rPr>
        <w:t>技术要求</w:t>
      </w:r>
      <w:bookmarkEnd w:id="519"/>
      <w:bookmarkEnd w:id="520"/>
      <w:bookmarkEnd w:id="521"/>
      <w:bookmarkEnd w:id="522"/>
    </w:p>
    <w:tbl>
      <w:tblPr>
        <w:tblStyle w:val="41"/>
        <w:tblW w:w="5000" w:type="pct"/>
        <w:tblInd w:w="0" w:type="dxa"/>
        <w:tblLayout w:type="fixed"/>
        <w:tblCellMar>
          <w:top w:w="0" w:type="dxa"/>
          <w:left w:w="0" w:type="dxa"/>
          <w:bottom w:w="0" w:type="dxa"/>
          <w:right w:w="0" w:type="dxa"/>
        </w:tblCellMar>
      </w:tblPr>
      <w:tblGrid>
        <w:gridCol w:w="818"/>
        <w:gridCol w:w="940"/>
        <w:gridCol w:w="7734"/>
      </w:tblGrid>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编号</w:t>
            </w:r>
          </w:p>
        </w:tc>
        <w:tc>
          <w:tcPr>
            <w:tcW w:w="4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需求类型</w:t>
            </w: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需求明细</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w:t>
            </w:r>
          </w:p>
        </w:tc>
        <w:tc>
          <w:tcPr>
            <w:tcW w:w="49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总体要求</w:t>
            </w: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投标单位具备为专业冷冻机组维保及维修专业技能和资质</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URS1.2</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投标单位应具备冷冻机组维修持证专业人员</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URS1.3</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需每半年进行一次回访，对所有螺杆式冷水机组进行预防性检查</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URS1.4</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招标范围内的所有机组按运行时间先后顺序保养</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URS1.5</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确保招标范围内的每台机组每年内至少进行</w:t>
            </w:r>
            <w:r>
              <w:rPr>
                <w:rFonts w:hint="eastAsia" w:asciiTheme="minorEastAsia" w:hAnsiTheme="minorEastAsia" w:eastAsiaTheme="minorEastAsia" w:cstheme="minorEastAsia"/>
                <w:kern w:val="0"/>
                <w:szCs w:val="21"/>
                <w:lang w:bidi="ar"/>
              </w:rPr>
              <w:t>一</w:t>
            </w:r>
            <w:r>
              <w:rPr>
                <w:rFonts w:hint="eastAsia" w:asciiTheme="minorEastAsia" w:hAnsiTheme="minorEastAsia" w:eastAsiaTheme="minorEastAsia" w:cstheme="minorEastAsia"/>
                <w:color w:val="000000"/>
                <w:kern w:val="0"/>
                <w:szCs w:val="21"/>
                <w:lang w:bidi="ar"/>
              </w:rPr>
              <w:t>次年度保养</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URS1.6</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每次完成维修或维保工作后，清理作业场地，并将垃圾带走，保持主机各部分清洁</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URS1.7</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投标方维保步骤必须按照严格设备使用手册进行</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URS1.8</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因投标方未按照设备使用手册进行维保，造成的损失由投标方承担</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URS1.9</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对通用及常用配件投标方应设有相应库存，预防紧急维修</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URS1.10</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投标方需24小时提供咨询和远程指导服务，确保招标方设备正常运行</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URS1.11</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机组出现不可预测的维修或异常，投标方接到通知后将以最快的速度到达现场，最迟不超过4小时。</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URS1.12</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kern w:val="0"/>
                <w:szCs w:val="21"/>
                <w:lang w:bidi="ar"/>
              </w:rPr>
              <w:t>紧急维修过程中产生的人工费全免，材料可由招标方提供或投标方代买，事后按采购价结算。</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URS1.13</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投标文件中需列明常用备件的价格清单</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URS2.1</w:t>
            </w:r>
          </w:p>
        </w:tc>
        <w:tc>
          <w:tcPr>
            <w:tcW w:w="495"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设备检查</w:t>
            </w:r>
          </w:p>
        </w:tc>
        <w:tc>
          <w:tcPr>
            <w:tcW w:w="40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检查电源三相电压是否正常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URS2.2</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检查机体各部有无漏水、渗油现象。</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URS2.3</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检查温控探头是否正常。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URS2.4</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检查机组运行中各参数是否在标准值。</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URS2.5</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检查机组正常运行时的温度是否正常（包括主电机、压缩机、排气温度、油温等）。　</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URS2.6</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测量主电机绝缘电阻，检查其是否符合机组规定的数值。　</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URS2.7</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检查主电机与压缩机间密封是否正常。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URS2.8</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检查各安全保护装置的整定位是否符合规定要求。　</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w:t>
            </w:r>
          </w:p>
        </w:tc>
        <w:tc>
          <w:tcPr>
            <w:tcW w:w="49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制冷系统</w:t>
            </w: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检查机组液位是否正常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URS3.2</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检查确认机组制冷剂是否需要补充,调整机组各部压力</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URS3.3</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检查机组供油回油系统是否正常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URS3.4</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检查主机系统中的各阀门</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URS3.5</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主电机轴承加注润滑脂。</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URS3.6</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根据机组表面情况进行除锈刷漆。　</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URS3.7</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校正压力传感器。</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URS3.8</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添加或更换电控冷冻液。</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URS3.9</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更换制冷机组润滑油、油过滤器</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URS3.10</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更换制冷机组干燥过滤器芯并补充制冷剂</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URS3.11</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检查机组保温情况，及时修复破损保温</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URS3.12</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记录机组运行参数</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URS3.13</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检查压缩机运行震动及噪音是否正常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URS4.1</w:t>
            </w:r>
          </w:p>
        </w:tc>
        <w:tc>
          <w:tcPr>
            <w:tcW w:w="49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电气系统</w:t>
            </w: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检查主机内部电器连接，电缆、电气控制、三相电源安全情况</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URS4.2</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检查并记录主控制器的设定值</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URS4.3</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检查记录机组运行时的各种数据是否正常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URS4.4</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测量压缩机电机绕组阻值，绝缘阻值</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URS4.5</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检查压缩机接触器触点是否正常，检查紧固电器柜内各接线端子</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URS4.6</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检查压缩机加载卸载运行功能</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URS4.7</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检查各加热带运行是否正常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URS4.8</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检查机组的安全保护和运行控制系统是否正常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URS4.9</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检查并校正机组各保护开关及传感器显示值</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URS5.1</w:t>
            </w:r>
          </w:p>
        </w:tc>
        <w:tc>
          <w:tcPr>
            <w:tcW w:w="49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水系统</w:t>
            </w: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检查机组蒸发器及冷凝器换热效果是否良好</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URS5.2</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检查冷冻及冷却水的流量及水温是否符合要求</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URS5.3</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检查水流保护开关动作是否正常，动作失灵要及时修理或更换</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URS5.4</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对冷凝器进行物理及化学清洗，确保冷凝器的换热效果</w:t>
            </w:r>
          </w:p>
        </w:tc>
      </w:tr>
    </w:tbl>
    <w:p>
      <w:pPr>
        <w:spacing w:line="360" w:lineRule="auto"/>
        <w:rPr>
          <w:rFonts w:hint="eastAsia" w:ascii="宋体" w:hAnsi="宋体"/>
          <w:szCs w:val="21"/>
        </w:rPr>
      </w:pPr>
    </w:p>
    <w:p>
      <w:pPr>
        <w:pStyle w:val="2"/>
      </w:pPr>
      <w:r>
        <w:rPr>
          <w:rFonts w:hint="eastAsia" w:ascii="宋体" w:hAnsi="宋体"/>
          <w:szCs w:val="21"/>
        </w:rPr>
        <w:t>螺杆式水冷机组清单</w:t>
      </w:r>
    </w:p>
    <w:tbl>
      <w:tblPr>
        <w:tblStyle w:val="41"/>
        <w:tblW w:w="5000" w:type="pct"/>
        <w:tblInd w:w="0" w:type="dxa"/>
        <w:tblLayout w:type="fixed"/>
        <w:tblCellMar>
          <w:top w:w="0" w:type="dxa"/>
          <w:left w:w="0" w:type="dxa"/>
          <w:bottom w:w="0" w:type="dxa"/>
          <w:right w:w="0" w:type="dxa"/>
        </w:tblCellMar>
      </w:tblPr>
      <w:tblGrid>
        <w:gridCol w:w="369"/>
        <w:gridCol w:w="1161"/>
        <w:gridCol w:w="1472"/>
        <w:gridCol w:w="4172"/>
        <w:gridCol w:w="1295"/>
        <w:gridCol w:w="1023"/>
      </w:tblGrid>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序号</w:t>
            </w:r>
          </w:p>
        </w:tc>
        <w:tc>
          <w:tcPr>
            <w:tcW w:w="6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设备名称</w:t>
            </w:r>
          </w:p>
        </w:tc>
        <w:tc>
          <w:tcPr>
            <w:tcW w:w="7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设备型号</w:t>
            </w:r>
          </w:p>
        </w:tc>
        <w:tc>
          <w:tcPr>
            <w:tcW w:w="21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设备厂家</w:t>
            </w:r>
          </w:p>
        </w:tc>
        <w:tc>
          <w:tcPr>
            <w:tcW w:w="53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备注</w:t>
            </w:r>
          </w:p>
        </w:tc>
      </w:tr>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6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水冷螺杆式冷水机组</w:t>
            </w:r>
          </w:p>
        </w:tc>
        <w:tc>
          <w:tcPr>
            <w:tcW w:w="7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PFSV5M8LSF/F3010-PH-2/C2610-2L-2-NAHCA</w:t>
            </w:r>
          </w:p>
        </w:tc>
        <w:tc>
          <w:tcPr>
            <w:tcW w:w="21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客户工况制冷量：1241kw客户工况输入功率：237.3kw客户工况性能参数：5.23制冷剂：R134a 润滑油：B油</w:t>
            </w: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苏州麦克维尔空调有限公司</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活苗车间工艺冷冻水机组</w:t>
            </w:r>
          </w:p>
        </w:tc>
      </w:tr>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6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水冷螺杆式冷水机组</w:t>
            </w:r>
          </w:p>
        </w:tc>
        <w:tc>
          <w:tcPr>
            <w:tcW w:w="7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PFSY5L2KSF/F2612-KH-2/C2212-5L-2-NHCA</w:t>
            </w:r>
          </w:p>
        </w:tc>
        <w:tc>
          <w:tcPr>
            <w:tcW w:w="21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客户工况制冷量：1207kw客户工况输入功率：198.6kw客户工况性能参数：6.08制冷剂：R134a 润滑油：B油</w:t>
            </w: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苏州麦克维尔空调有限公司</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活苗车间工艺冷冻水机组</w:t>
            </w:r>
          </w:p>
        </w:tc>
      </w:tr>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6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一体化水冷式冷水机组</w:t>
            </w:r>
          </w:p>
        </w:tc>
        <w:tc>
          <w:tcPr>
            <w:tcW w:w="7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YT-CUWD190CS5YZ</w:t>
            </w:r>
          </w:p>
        </w:tc>
        <w:tc>
          <w:tcPr>
            <w:tcW w:w="21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客户工况制冷量：655kw客户工况输入功率：130.5kw客户工况性能参数：5.02制冷剂：R134a</w:t>
            </w: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苏州麦克维尔空调有限公司</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综合车间工艺冷冻水机组</w:t>
            </w:r>
          </w:p>
        </w:tc>
      </w:tr>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6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一体化水冷式冷水机组</w:t>
            </w:r>
          </w:p>
        </w:tc>
        <w:tc>
          <w:tcPr>
            <w:tcW w:w="7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YT-CUWD190CS5YZ</w:t>
            </w:r>
          </w:p>
        </w:tc>
        <w:tc>
          <w:tcPr>
            <w:tcW w:w="21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客户工况制冷量：655kw客户工况输入功率：130.5kw客户工况性能参数：5.02制冷剂：R134a</w:t>
            </w: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苏州麦克维尔空调有限公司</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综合车间工艺冷冻水机组</w:t>
            </w:r>
          </w:p>
        </w:tc>
      </w:tr>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w:t>
            </w:r>
          </w:p>
        </w:tc>
        <w:tc>
          <w:tcPr>
            <w:tcW w:w="6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水冷螺杆式冷水机组</w:t>
            </w:r>
          </w:p>
        </w:tc>
        <w:tc>
          <w:tcPr>
            <w:tcW w:w="7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RTHDD1F1F2</w:t>
            </w:r>
          </w:p>
        </w:tc>
        <w:tc>
          <w:tcPr>
            <w:tcW w:w="21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客户工况制冷量：1077.6kw客户工况输入功率：193.2kw客户工况性能参数：5058制冷剂：R134a</w:t>
            </w: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特灵空调系统（中国）有限公司</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综合车间空调冷冻水机组</w:t>
            </w:r>
          </w:p>
        </w:tc>
      </w:tr>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w:t>
            </w:r>
          </w:p>
        </w:tc>
        <w:tc>
          <w:tcPr>
            <w:tcW w:w="6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水冷螺杆式冷水机组</w:t>
            </w:r>
          </w:p>
        </w:tc>
        <w:tc>
          <w:tcPr>
            <w:tcW w:w="7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RTHDD1F1F2</w:t>
            </w:r>
          </w:p>
        </w:tc>
        <w:tc>
          <w:tcPr>
            <w:tcW w:w="21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客户工况制冷量：1077.6kw客户工况输入功率：193.2kw客户工况性能参数：5058制冷剂：R134a</w:t>
            </w: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特灵空调系统（中国）有限公司</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综合车间空调冷冻水机组</w:t>
            </w:r>
          </w:p>
        </w:tc>
      </w:tr>
    </w:tbl>
    <w:p>
      <w:pPr>
        <w:pStyle w:val="2"/>
      </w:pPr>
    </w:p>
    <w:sectPr>
      <w:pgSz w:w="11906" w:h="16838"/>
      <w:pgMar w:top="1440" w:right="1080" w:bottom="1440" w:left="1080" w:header="454" w:footer="624" w:gutter="284"/>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5"/>
      </w:rPr>
    </w:pPr>
    <w:r>
      <w:fldChar w:fldCharType="begin"/>
    </w:r>
    <w:r>
      <w:rPr>
        <w:rStyle w:val="45"/>
      </w:rPr>
      <w:instrText xml:space="preserve">PAGE  </w:instrText>
    </w:r>
    <w:r>
      <w:fldChar w:fldCharType="end"/>
    </w:r>
  </w:p>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3JEz3LAQAAl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1WSp/dQY9azx7w4PLgBl2a+B7xMrAcZTPoiH4JxFPd4FlcMkfD0qFpWVYkhjrHZQfzi5bkP&#10;EN8LZ0gyGhpwellUdvgIcUydU1I16x6V1nmC2pIeUa+r2+v84hxCdG2xSGIxdpusOGyHidrWtUdk&#10;1uMKNNTixlOiP1hUOG3LbITZ2E5GKg/+fh+xhdxZQh2hpmI4r8xt2q20EH/7Oevlf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NyRM9ywEAAJcDAAAOAAAAAAAAAAEAIAAAACIBAABkcnMv&#10;ZTJvRG9jLnhtbFBLBQYAAAAABgAGAFkBAABfBQ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0288"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4" name="图片 6"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rPr>
        <w:rFonts w:hint="eastAsia" w:ascii="宋体" w:hAnsi="宋体"/>
      </w:rPr>
    </w:pPr>
    <w:r>
      <w:rPr>
        <w:rFonts w:hint="eastAsia" w:ascii="宋体" w:hAnsi="宋体"/>
      </w:rPr>
      <w:drawing>
        <wp:anchor distT="0" distB="0" distL="114300" distR="114300" simplePos="0" relativeHeight="251659264"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3" name="图片 3"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中国科学器材有限公司 </w:t>
    </w:r>
    <w:r>
      <w:rPr>
        <w:rFonts w:ascii="宋体" w:hAnsi="宋体"/>
      </w:rPr>
      <w:t xml:space="preserve">                                                            </w:t>
    </w:r>
    <w:r>
      <w:rPr>
        <w:rFonts w:hint="eastAsia" w:ascii="宋体" w:hAnsi="宋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1312"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5" name="图片 7"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9F1E"/>
    <w:multiLevelType w:val="singleLevel"/>
    <w:tmpl w:val="8FA49F1E"/>
    <w:lvl w:ilvl="0" w:tentative="0">
      <w:start w:val="2"/>
      <w:numFmt w:val="chineseCounting"/>
      <w:suff w:val="nothing"/>
      <w:lvlText w:val="%1、"/>
      <w:lvlJc w:val="left"/>
      <w:rPr>
        <w:rFonts w:hint="eastAsia"/>
      </w:rPr>
    </w:lvl>
  </w:abstractNum>
  <w:abstractNum w:abstractNumId="1">
    <w:nsid w:val="E9591E48"/>
    <w:multiLevelType w:val="singleLevel"/>
    <w:tmpl w:val="E9591E48"/>
    <w:lvl w:ilvl="0" w:tentative="0">
      <w:start w:val="1"/>
      <w:numFmt w:val="decimal"/>
      <w:suff w:val="nothing"/>
      <w:lvlText w:val="%1．"/>
      <w:lvlJc w:val="left"/>
      <w:pPr>
        <w:ind w:left="-210" w:firstLine="400"/>
      </w:pPr>
      <w:rPr>
        <w:rFonts w:hint="default"/>
        <w:highlight w:val="none"/>
      </w:rPr>
    </w:lvl>
  </w:abstractNum>
  <w:abstractNum w:abstractNumId="2">
    <w:nsid w:val="00000017"/>
    <w:multiLevelType w:val="singleLevel"/>
    <w:tmpl w:val="00000017"/>
    <w:lvl w:ilvl="0" w:tentative="0">
      <w:start w:val="1"/>
      <w:numFmt w:val="decimal"/>
      <w:pStyle w:val="23"/>
      <w:lvlText w:val="%1."/>
      <w:lvlJc w:val="left"/>
      <w:pPr>
        <w:tabs>
          <w:tab w:val="left" w:pos="360"/>
        </w:tabs>
        <w:ind w:left="360" w:hanging="360"/>
      </w:pPr>
    </w:lvl>
  </w:abstractNum>
  <w:abstractNum w:abstractNumId="3">
    <w:nsid w:val="0B6366DE"/>
    <w:multiLevelType w:val="singleLevel"/>
    <w:tmpl w:val="0B6366DE"/>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suff w:val="nothing"/>
      <w:lvlText w:val="（%1）"/>
      <w:lvlJc w:val="left"/>
      <w:pPr>
        <w:ind w:left="1571" w:hanging="720"/>
      </w:pPr>
      <w:rPr>
        <w:rFonts w:hint="eastAsia" w:ascii="仿宋_GB2312" w:hAnsi="宋体" w:eastAsia="仿宋_GB2312" w:cs="Times New Roman"/>
      </w:rPr>
    </w:lvl>
    <w:lvl w:ilvl="1" w:tentative="0">
      <w:start w:val="1"/>
      <w:numFmt w:val="lowerLetter"/>
      <w:lvlText w:val="%2)"/>
      <w:lvlJc w:val="left"/>
      <w:pPr>
        <w:tabs>
          <w:tab w:val="left" w:pos="1739"/>
        </w:tabs>
        <w:ind w:left="1739" w:hanging="420"/>
      </w:pPr>
      <w:rPr>
        <w:rFonts w:hint="eastAsia"/>
      </w:rPr>
    </w:lvl>
    <w:lvl w:ilvl="2" w:tentative="0">
      <w:start w:val="1"/>
      <w:numFmt w:val="lowerRoman"/>
      <w:lvlText w:val="%3."/>
      <w:lvlJc w:val="right"/>
      <w:pPr>
        <w:tabs>
          <w:tab w:val="left" w:pos="2159"/>
        </w:tabs>
        <w:ind w:left="2159" w:hanging="420"/>
      </w:pPr>
      <w:rPr>
        <w:rFonts w:hint="eastAsia"/>
      </w:rPr>
    </w:lvl>
    <w:lvl w:ilvl="3" w:tentative="0">
      <w:start w:val="1"/>
      <w:numFmt w:val="decimal"/>
      <w:lvlText w:val="%4."/>
      <w:lvlJc w:val="left"/>
      <w:pPr>
        <w:tabs>
          <w:tab w:val="left" w:pos="2579"/>
        </w:tabs>
        <w:ind w:left="2579" w:hanging="420"/>
      </w:pPr>
      <w:rPr>
        <w:rFonts w:hint="eastAsia"/>
      </w:rPr>
    </w:lvl>
    <w:lvl w:ilvl="4" w:tentative="0">
      <w:start w:val="1"/>
      <w:numFmt w:val="lowerLetter"/>
      <w:lvlText w:val="%5)"/>
      <w:lvlJc w:val="left"/>
      <w:pPr>
        <w:tabs>
          <w:tab w:val="left" w:pos="2999"/>
        </w:tabs>
        <w:ind w:left="2999" w:hanging="420"/>
      </w:pPr>
      <w:rPr>
        <w:rFonts w:hint="eastAsia"/>
      </w:rPr>
    </w:lvl>
    <w:lvl w:ilvl="5" w:tentative="0">
      <w:start w:val="1"/>
      <w:numFmt w:val="lowerRoman"/>
      <w:lvlText w:val="%6."/>
      <w:lvlJc w:val="right"/>
      <w:pPr>
        <w:tabs>
          <w:tab w:val="left" w:pos="3419"/>
        </w:tabs>
        <w:ind w:left="3419" w:hanging="420"/>
      </w:pPr>
      <w:rPr>
        <w:rFonts w:hint="eastAsia"/>
      </w:rPr>
    </w:lvl>
    <w:lvl w:ilvl="6" w:tentative="0">
      <w:start w:val="1"/>
      <w:numFmt w:val="decimal"/>
      <w:lvlText w:val="%7."/>
      <w:lvlJc w:val="left"/>
      <w:pPr>
        <w:tabs>
          <w:tab w:val="left" w:pos="3839"/>
        </w:tabs>
        <w:ind w:left="3839" w:hanging="420"/>
      </w:pPr>
      <w:rPr>
        <w:rFonts w:hint="eastAsia"/>
      </w:rPr>
    </w:lvl>
    <w:lvl w:ilvl="7" w:tentative="0">
      <w:start w:val="1"/>
      <w:numFmt w:val="lowerLetter"/>
      <w:lvlText w:val="%8)"/>
      <w:lvlJc w:val="left"/>
      <w:pPr>
        <w:tabs>
          <w:tab w:val="left" w:pos="4259"/>
        </w:tabs>
        <w:ind w:left="4259" w:hanging="420"/>
      </w:pPr>
      <w:rPr>
        <w:rFonts w:hint="eastAsia"/>
      </w:rPr>
    </w:lvl>
    <w:lvl w:ilvl="8" w:tentative="0">
      <w:start w:val="1"/>
      <w:numFmt w:val="lowerRoman"/>
      <w:lvlText w:val="%9."/>
      <w:lvlJc w:val="right"/>
      <w:pPr>
        <w:tabs>
          <w:tab w:val="left" w:pos="4679"/>
        </w:tabs>
        <w:ind w:left="4679" w:hanging="420"/>
      </w:pPr>
      <w:rPr>
        <w:rFonts w:hint="eastAsia"/>
      </w:rPr>
    </w:lvl>
  </w:abstractNum>
  <w:abstractNum w:abstractNumId="5">
    <w:nsid w:val="284C25F4"/>
    <w:multiLevelType w:val="multilevel"/>
    <w:tmpl w:val="284C25F4"/>
    <w:lvl w:ilvl="0" w:tentative="0">
      <w:start w:val="1"/>
      <w:numFmt w:val="decimal"/>
      <w:pStyle w:val="93"/>
      <w:lvlText w:val="%1."/>
      <w:lvlJc w:val="left"/>
      <w:pPr>
        <w:ind w:left="425" w:hanging="425"/>
      </w:pPr>
    </w:lvl>
    <w:lvl w:ilvl="1" w:tentative="0">
      <w:start w:val="1"/>
      <w:numFmt w:val="decimal"/>
      <w:pStyle w:val="92"/>
      <w:lvlText w:val="%1.%2."/>
      <w:lvlJc w:val="left"/>
      <w:pPr>
        <w:ind w:left="567" w:hanging="567"/>
      </w:pPr>
      <w:rPr>
        <w:b w:val="0"/>
        <w:bCs w:val="0"/>
      </w:rPr>
    </w:lvl>
    <w:lvl w:ilvl="2" w:tentative="0">
      <w:start w:val="1"/>
      <w:numFmt w:val="decimal"/>
      <w:pStyle w:val="9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2CE4618A"/>
    <w:multiLevelType w:val="multilevel"/>
    <w:tmpl w:val="2CE4618A"/>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50191B74"/>
    <w:multiLevelType w:val="multilevel"/>
    <w:tmpl w:val="50191B74"/>
    <w:lvl w:ilvl="0" w:tentative="0">
      <w:start w:val="7"/>
      <w:numFmt w:val="decimal"/>
      <w:lvlText w:val="第%1条"/>
      <w:lvlJc w:val="left"/>
      <w:pPr>
        <w:tabs>
          <w:tab w:val="left" w:pos="1320"/>
        </w:tabs>
        <w:ind w:left="1320" w:hanging="9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8">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9">
    <w:nsid w:val="66E4770E"/>
    <w:multiLevelType w:val="multilevel"/>
    <w:tmpl w:val="66E4770E"/>
    <w:lvl w:ilvl="0" w:tentative="0">
      <w:start w:val="1"/>
      <w:numFmt w:val="japaneseCounting"/>
      <w:pStyle w:val="144"/>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5"/>
  </w:num>
  <w:num w:numId="3">
    <w:abstractNumId w:val="9"/>
  </w:num>
  <w:num w:numId="4">
    <w:abstractNumId w:val="1"/>
  </w:num>
  <w:num w:numId="5">
    <w:abstractNumId w:val="8"/>
  </w:num>
  <w:num w:numId="6">
    <w:abstractNumId w:val="3"/>
  </w:num>
  <w:num w:numId="7">
    <w:abstractNumId w:val="4"/>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NGM2ZjhmYWFmNDAxZmRkNjQzYjk4Y2ZiZTg3N2UifQ=="/>
  </w:docVars>
  <w:rsids>
    <w:rsidRoot w:val="00172A27"/>
    <w:rsid w:val="00000759"/>
    <w:rsid w:val="00000D8E"/>
    <w:rsid w:val="00000FBD"/>
    <w:rsid w:val="00003312"/>
    <w:rsid w:val="00003D83"/>
    <w:rsid w:val="0000526C"/>
    <w:rsid w:val="00005CDD"/>
    <w:rsid w:val="00005DA2"/>
    <w:rsid w:val="000067CE"/>
    <w:rsid w:val="00007806"/>
    <w:rsid w:val="00007883"/>
    <w:rsid w:val="00007ACD"/>
    <w:rsid w:val="000105BF"/>
    <w:rsid w:val="00012168"/>
    <w:rsid w:val="000122B6"/>
    <w:rsid w:val="000127E6"/>
    <w:rsid w:val="00012F65"/>
    <w:rsid w:val="000135C1"/>
    <w:rsid w:val="00014B30"/>
    <w:rsid w:val="000152D9"/>
    <w:rsid w:val="000153AE"/>
    <w:rsid w:val="000155AC"/>
    <w:rsid w:val="0001751C"/>
    <w:rsid w:val="00017EEF"/>
    <w:rsid w:val="000205FB"/>
    <w:rsid w:val="0002084C"/>
    <w:rsid w:val="00021E21"/>
    <w:rsid w:val="00022032"/>
    <w:rsid w:val="00023A78"/>
    <w:rsid w:val="000248AB"/>
    <w:rsid w:val="00026432"/>
    <w:rsid w:val="00026451"/>
    <w:rsid w:val="0003091D"/>
    <w:rsid w:val="00030A62"/>
    <w:rsid w:val="0003118D"/>
    <w:rsid w:val="000358ED"/>
    <w:rsid w:val="00035FFF"/>
    <w:rsid w:val="00036327"/>
    <w:rsid w:val="00036DFA"/>
    <w:rsid w:val="000370CC"/>
    <w:rsid w:val="000373AC"/>
    <w:rsid w:val="00037558"/>
    <w:rsid w:val="00037DD6"/>
    <w:rsid w:val="00040C14"/>
    <w:rsid w:val="00041EDA"/>
    <w:rsid w:val="00042953"/>
    <w:rsid w:val="00042D20"/>
    <w:rsid w:val="00043416"/>
    <w:rsid w:val="00043699"/>
    <w:rsid w:val="00046160"/>
    <w:rsid w:val="000515B7"/>
    <w:rsid w:val="000518AA"/>
    <w:rsid w:val="0005256D"/>
    <w:rsid w:val="000526A9"/>
    <w:rsid w:val="0005409B"/>
    <w:rsid w:val="00054F7C"/>
    <w:rsid w:val="00055FE2"/>
    <w:rsid w:val="00056814"/>
    <w:rsid w:val="0005783E"/>
    <w:rsid w:val="000578AD"/>
    <w:rsid w:val="00057E64"/>
    <w:rsid w:val="000602EE"/>
    <w:rsid w:val="00061056"/>
    <w:rsid w:val="000615E7"/>
    <w:rsid w:val="000617D6"/>
    <w:rsid w:val="00062238"/>
    <w:rsid w:val="0006284F"/>
    <w:rsid w:val="000637B2"/>
    <w:rsid w:val="0006721D"/>
    <w:rsid w:val="000715C4"/>
    <w:rsid w:val="00071BBF"/>
    <w:rsid w:val="00071E0A"/>
    <w:rsid w:val="000729F7"/>
    <w:rsid w:val="00073101"/>
    <w:rsid w:val="00075DEE"/>
    <w:rsid w:val="00076D02"/>
    <w:rsid w:val="00077BB6"/>
    <w:rsid w:val="00080BD8"/>
    <w:rsid w:val="00081A80"/>
    <w:rsid w:val="00082523"/>
    <w:rsid w:val="000825E1"/>
    <w:rsid w:val="00082BEB"/>
    <w:rsid w:val="00084564"/>
    <w:rsid w:val="00084813"/>
    <w:rsid w:val="00085275"/>
    <w:rsid w:val="0008531C"/>
    <w:rsid w:val="000853B2"/>
    <w:rsid w:val="00086661"/>
    <w:rsid w:val="00087017"/>
    <w:rsid w:val="000877B4"/>
    <w:rsid w:val="00087D98"/>
    <w:rsid w:val="00090342"/>
    <w:rsid w:val="00090E4E"/>
    <w:rsid w:val="0009138A"/>
    <w:rsid w:val="0009193F"/>
    <w:rsid w:val="00091E9C"/>
    <w:rsid w:val="00092740"/>
    <w:rsid w:val="00093111"/>
    <w:rsid w:val="00093BE6"/>
    <w:rsid w:val="0009408B"/>
    <w:rsid w:val="0009492F"/>
    <w:rsid w:val="00095409"/>
    <w:rsid w:val="000957F4"/>
    <w:rsid w:val="00095916"/>
    <w:rsid w:val="00095C20"/>
    <w:rsid w:val="000962CB"/>
    <w:rsid w:val="00096B0B"/>
    <w:rsid w:val="00096C12"/>
    <w:rsid w:val="00097F1D"/>
    <w:rsid w:val="000A066B"/>
    <w:rsid w:val="000A069D"/>
    <w:rsid w:val="000A2FA4"/>
    <w:rsid w:val="000A3801"/>
    <w:rsid w:val="000A61A0"/>
    <w:rsid w:val="000B02F2"/>
    <w:rsid w:val="000B047C"/>
    <w:rsid w:val="000B072D"/>
    <w:rsid w:val="000B10FD"/>
    <w:rsid w:val="000B124E"/>
    <w:rsid w:val="000B20ED"/>
    <w:rsid w:val="000B25FD"/>
    <w:rsid w:val="000B2AEE"/>
    <w:rsid w:val="000B39FC"/>
    <w:rsid w:val="000B3B54"/>
    <w:rsid w:val="000B3CAA"/>
    <w:rsid w:val="000B4349"/>
    <w:rsid w:val="000B5A2B"/>
    <w:rsid w:val="000B6414"/>
    <w:rsid w:val="000B68E0"/>
    <w:rsid w:val="000B711B"/>
    <w:rsid w:val="000B7F7C"/>
    <w:rsid w:val="000C0372"/>
    <w:rsid w:val="000C1A53"/>
    <w:rsid w:val="000C3737"/>
    <w:rsid w:val="000C48C7"/>
    <w:rsid w:val="000C5ED6"/>
    <w:rsid w:val="000C6FEF"/>
    <w:rsid w:val="000C7F19"/>
    <w:rsid w:val="000D17D9"/>
    <w:rsid w:val="000D21F0"/>
    <w:rsid w:val="000D23F2"/>
    <w:rsid w:val="000D24CA"/>
    <w:rsid w:val="000D3016"/>
    <w:rsid w:val="000D3991"/>
    <w:rsid w:val="000D3E9B"/>
    <w:rsid w:val="000D4AED"/>
    <w:rsid w:val="000D5A2F"/>
    <w:rsid w:val="000D6A7D"/>
    <w:rsid w:val="000D6E1A"/>
    <w:rsid w:val="000D6E1F"/>
    <w:rsid w:val="000D759C"/>
    <w:rsid w:val="000E054A"/>
    <w:rsid w:val="000E07D5"/>
    <w:rsid w:val="000E0A8A"/>
    <w:rsid w:val="000E0F20"/>
    <w:rsid w:val="000E11AE"/>
    <w:rsid w:val="000E1E05"/>
    <w:rsid w:val="000E2149"/>
    <w:rsid w:val="000E2D65"/>
    <w:rsid w:val="000E4C84"/>
    <w:rsid w:val="000E73EE"/>
    <w:rsid w:val="000F0037"/>
    <w:rsid w:val="000F0BE4"/>
    <w:rsid w:val="000F14BA"/>
    <w:rsid w:val="000F1C9E"/>
    <w:rsid w:val="000F27BF"/>
    <w:rsid w:val="000F37B9"/>
    <w:rsid w:val="001036AD"/>
    <w:rsid w:val="00105227"/>
    <w:rsid w:val="001059C8"/>
    <w:rsid w:val="00105B69"/>
    <w:rsid w:val="00106879"/>
    <w:rsid w:val="00107293"/>
    <w:rsid w:val="001103AA"/>
    <w:rsid w:val="00111213"/>
    <w:rsid w:val="001115F0"/>
    <w:rsid w:val="00112621"/>
    <w:rsid w:val="0011302F"/>
    <w:rsid w:val="00113A63"/>
    <w:rsid w:val="00115546"/>
    <w:rsid w:val="0011651F"/>
    <w:rsid w:val="00116EB6"/>
    <w:rsid w:val="00116F15"/>
    <w:rsid w:val="00117A79"/>
    <w:rsid w:val="001206B6"/>
    <w:rsid w:val="0012198A"/>
    <w:rsid w:val="00121C6C"/>
    <w:rsid w:val="001228E8"/>
    <w:rsid w:val="00122D2A"/>
    <w:rsid w:val="0012359F"/>
    <w:rsid w:val="00125175"/>
    <w:rsid w:val="0012666E"/>
    <w:rsid w:val="0012750C"/>
    <w:rsid w:val="00131C04"/>
    <w:rsid w:val="001322D9"/>
    <w:rsid w:val="00133386"/>
    <w:rsid w:val="0013349A"/>
    <w:rsid w:val="00133991"/>
    <w:rsid w:val="0013750A"/>
    <w:rsid w:val="00137A05"/>
    <w:rsid w:val="001406B4"/>
    <w:rsid w:val="00141E39"/>
    <w:rsid w:val="00143CDC"/>
    <w:rsid w:val="00145509"/>
    <w:rsid w:val="0014563A"/>
    <w:rsid w:val="00145C55"/>
    <w:rsid w:val="00150308"/>
    <w:rsid w:val="00150C8D"/>
    <w:rsid w:val="001513C0"/>
    <w:rsid w:val="001513FE"/>
    <w:rsid w:val="001517BA"/>
    <w:rsid w:val="00151919"/>
    <w:rsid w:val="00151C63"/>
    <w:rsid w:val="00151DFF"/>
    <w:rsid w:val="00152086"/>
    <w:rsid w:val="00152134"/>
    <w:rsid w:val="001535EF"/>
    <w:rsid w:val="00153BFE"/>
    <w:rsid w:val="00153C8E"/>
    <w:rsid w:val="00153D5B"/>
    <w:rsid w:val="0015475C"/>
    <w:rsid w:val="00155546"/>
    <w:rsid w:val="00155842"/>
    <w:rsid w:val="00156410"/>
    <w:rsid w:val="001565AF"/>
    <w:rsid w:val="001570F8"/>
    <w:rsid w:val="00161564"/>
    <w:rsid w:val="00161EA0"/>
    <w:rsid w:val="00161F93"/>
    <w:rsid w:val="0016237F"/>
    <w:rsid w:val="00163648"/>
    <w:rsid w:val="001640D3"/>
    <w:rsid w:val="001645EE"/>
    <w:rsid w:val="001646D2"/>
    <w:rsid w:val="00164CF3"/>
    <w:rsid w:val="0016657E"/>
    <w:rsid w:val="00166EF3"/>
    <w:rsid w:val="00167B7A"/>
    <w:rsid w:val="00170B0E"/>
    <w:rsid w:val="00171006"/>
    <w:rsid w:val="001711E2"/>
    <w:rsid w:val="00171553"/>
    <w:rsid w:val="001724B0"/>
    <w:rsid w:val="00172A27"/>
    <w:rsid w:val="00175854"/>
    <w:rsid w:val="00175E14"/>
    <w:rsid w:val="00177979"/>
    <w:rsid w:val="00177F2D"/>
    <w:rsid w:val="001801B0"/>
    <w:rsid w:val="001801BD"/>
    <w:rsid w:val="00181951"/>
    <w:rsid w:val="001826FD"/>
    <w:rsid w:val="00182982"/>
    <w:rsid w:val="00184698"/>
    <w:rsid w:val="00184A81"/>
    <w:rsid w:val="0018598C"/>
    <w:rsid w:val="001867C4"/>
    <w:rsid w:val="00186895"/>
    <w:rsid w:val="001868C0"/>
    <w:rsid w:val="00187255"/>
    <w:rsid w:val="00190376"/>
    <w:rsid w:val="00190F37"/>
    <w:rsid w:val="001915D4"/>
    <w:rsid w:val="0019172F"/>
    <w:rsid w:val="00191A4D"/>
    <w:rsid w:val="00193952"/>
    <w:rsid w:val="00193AD7"/>
    <w:rsid w:val="0019469D"/>
    <w:rsid w:val="0019508E"/>
    <w:rsid w:val="001959E0"/>
    <w:rsid w:val="001968CD"/>
    <w:rsid w:val="00196978"/>
    <w:rsid w:val="00197B29"/>
    <w:rsid w:val="001A02D9"/>
    <w:rsid w:val="001A1E68"/>
    <w:rsid w:val="001A23A6"/>
    <w:rsid w:val="001A39D1"/>
    <w:rsid w:val="001A513C"/>
    <w:rsid w:val="001A5E8C"/>
    <w:rsid w:val="001A674E"/>
    <w:rsid w:val="001A69C5"/>
    <w:rsid w:val="001A7D1E"/>
    <w:rsid w:val="001B1176"/>
    <w:rsid w:val="001B165E"/>
    <w:rsid w:val="001B1F5B"/>
    <w:rsid w:val="001B4157"/>
    <w:rsid w:val="001B5A99"/>
    <w:rsid w:val="001B71CB"/>
    <w:rsid w:val="001B7BE0"/>
    <w:rsid w:val="001B7C36"/>
    <w:rsid w:val="001C051C"/>
    <w:rsid w:val="001C10D9"/>
    <w:rsid w:val="001C1554"/>
    <w:rsid w:val="001C1BF0"/>
    <w:rsid w:val="001C2B48"/>
    <w:rsid w:val="001C346F"/>
    <w:rsid w:val="001C3772"/>
    <w:rsid w:val="001C45F5"/>
    <w:rsid w:val="001C72F0"/>
    <w:rsid w:val="001C76E3"/>
    <w:rsid w:val="001C799D"/>
    <w:rsid w:val="001D098C"/>
    <w:rsid w:val="001D199C"/>
    <w:rsid w:val="001D25C8"/>
    <w:rsid w:val="001D2E92"/>
    <w:rsid w:val="001D3071"/>
    <w:rsid w:val="001D3E67"/>
    <w:rsid w:val="001D41D9"/>
    <w:rsid w:val="001D479A"/>
    <w:rsid w:val="001D54C8"/>
    <w:rsid w:val="001D5BF5"/>
    <w:rsid w:val="001D6A46"/>
    <w:rsid w:val="001D7AE8"/>
    <w:rsid w:val="001E08F6"/>
    <w:rsid w:val="001E1594"/>
    <w:rsid w:val="001E2680"/>
    <w:rsid w:val="001E2C4A"/>
    <w:rsid w:val="001E3E70"/>
    <w:rsid w:val="001E4A9C"/>
    <w:rsid w:val="001E4B8E"/>
    <w:rsid w:val="001E6B9F"/>
    <w:rsid w:val="001F01CE"/>
    <w:rsid w:val="001F1325"/>
    <w:rsid w:val="001F2AEA"/>
    <w:rsid w:val="001F302B"/>
    <w:rsid w:val="001F3946"/>
    <w:rsid w:val="001F5053"/>
    <w:rsid w:val="001F5694"/>
    <w:rsid w:val="001F58E3"/>
    <w:rsid w:val="001F69B6"/>
    <w:rsid w:val="001F727C"/>
    <w:rsid w:val="001F7D3C"/>
    <w:rsid w:val="00202259"/>
    <w:rsid w:val="00207E23"/>
    <w:rsid w:val="002103E0"/>
    <w:rsid w:val="0021188C"/>
    <w:rsid w:val="0021195C"/>
    <w:rsid w:val="002132A8"/>
    <w:rsid w:val="002140BD"/>
    <w:rsid w:val="00214306"/>
    <w:rsid w:val="00214340"/>
    <w:rsid w:val="00216082"/>
    <w:rsid w:val="002173ED"/>
    <w:rsid w:val="0021758C"/>
    <w:rsid w:val="002210F4"/>
    <w:rsid w:val="002216BE"/>
    <w:rsid w:val="00221FDB"/>
    <w:rsid w:val="0022216D"/>
    <w:rsid w:val="0022418D"/>
    <w:rsid w:val="00224790"/>
    <w:rsid w:val="00224974"/>
    <w:rsid w:val="00226A4A"/>
    <w:rsid w:val="002304A5"/>
    <w:rsid w:val="00231B21"/>
    <w:rsid w:val="00232213"/>
    <w:rsid w:val="00232557"/>
    <w:rsid w:val="00232AD5"/>
    <w:rsid w:val="00232C88"/>
    <w:rsid w:val="0023464D"/>
    <w:rsid w:val="00234C9D"/>
    <w:rsid w:val="00235B02"/>
    <w:rsid w:val="00235CE6"/>
    <w:rsid w:val="0023667E"/>
    <w:rsid w:val="00236754"/>
    <w:rsid w:val="00236860"/>
    <w:rsid w:val="002403F8"/>
    <w:rsid w:val="00240D41"/>
    <w:rsid w:val="00241BD7"/>
    <w:rsid w:val="00241C02"/>
    <w:rsid w:val="00241FE3"/>
    <w:rsid w:val="00242033"/>
    <w:rsid w:val="00242470"/>
    <w:rsid w:val="00242C95"/>
    <w:rsid w:val="0024338F"/>
    <w:rsid w:val="00243718"/>
    <w:rsid w:val="00243973"/>
    <w:rsid w:val="00243FDC"/>
    <w:rsid w:val="00244588"/>
    <w:rsid w:val="00245145"/>
    <w:rsid w:val="00245766"/>
    <w:rsid w:val="002457F2"/>
    <w:rsid w:val="0024595F"/>
    <w:rsid w:val="0024667C"/>
    <w:rsid w:val="00246D66"/>
    <w:rsid w:val="002506BE"/>
    <w:rsid w:val="00250DBB"/>
    <w:rsid w:val="002517F1"/>
    <w:rsid w:val="0025397E"/>
    <w:rsid w:val="00253EA4"/>
    <w:rsid w:val="00254C01"/>
    <w:rsid w:val="002555F2"/>
    <w:rsid w:val="002570BE"/>
    <w:rsid w:val="00257354"/>
    <w:rsid w:val="002578A6"/>
    <w:rsid w:val="0026070D"/>
    <w:rsid w:val="00262275"/>
    <w:rsid w:val="002636B5"/>
    <w:rsid w:val="002666FE"/>
    <w:rsid w:val="00273A09"/>
    <w:rsid w:val="00273E97"/>
    <w:rsid w:val="00274C1B"/>
    <w:rsid w:val="00274E1A"/>
    <w:rsid w:val="00276038"/>
    <w:rsid w:val="00276291"/>
    <w:rsid w:val="00276768"/>
    <w:rsid w:val="00276ACA"/>
    <w:rsid w:val="00277580"/>
    <w:rsid w:val="00280B50"/>
    <w:rsid w:val="00281900"/>
    <w:rsid w:val="00281B4E"/>
    <w:rsid w:val="00281FAF"/>
    <w:rsid w:val="002825C3"/>
    <w:rsid w:val="00284489"/>
    <w:rsid w:val="002847F4"/>
    <w:rsid w:val="00286C4C"/>
    <w:rsid w:val="0028731E"/>
    <w:rsid w:val="00291780"/>
    <w:rsid w:val="00296E22"/>
    <w:rsid w:val="00297A45"/>
    <w:rsid w:val="002A109A"/>
    <w:rsid w:val="002A241D"/>
    <w:rsid w:val="002A2D1E"/>
    <w:rsid w:val="002A4982"/>
    <w:rsid w:val="002A4CC5"/>
    <w:rsid w:val="002A52DF"/>
    <w:rsid w:val="002A5BB4"/>
    <w:rsid w:val="002A5F84"/>
    <w:rsid w:val="002A5FB9"/>
    <w:rsid w:val="002A608A"/>
    <w:rsid w:val="002A69C6"/>
    <w:rsid w:val="002A6FD2"/>
    <w:rsid w:val="002A7239"/>
    <w:rsid w:val="002A7245"/>
    <w:rsid w:val="002A7312"/>
    <w:rsid w:val="002B0900"/>
    <w:rsid w:val="002B11A0"/>
    <w:rsid w:val="002B1384"/>
    <w:rsid w:val="002B16A6"/>
    <w:rsid w:val="002B2F7F"/>
    <w:rsid w:val="002B325B"/>
    <w:rsid w:val="002B36D9"/>
    <w:rsid w:val="002B424B"/>
    <w:rsid w:val="002B432E"/>
    <w:rsid w:val="002B4628"/>
    <w:rsid w:val="002B4DCA"/>
    <w:rsid w:val="002B6B48"/>
    <w:rsid w:val="002B795F"/>
    <w:rsid w:val="002C1641"/>
    <w:rsid w:val="002C30C0"/>
    <w:rsid w:val="002C3DC6"/>
    <w:rsid w:val="002C3F27"/>
    <w:rsid w:val="002C411D"/>
    <w:rsid w:val="002C41A4"/>
    <w:rsid w:val="002C4213"/>
    <w:rsid w:val="002C4824"/>
    <w:rsid w:val="002C4FB8"/>
    <w:rsid w:val="002C55B4"/>
    <w:rsid w:val="002D09D1"/>
    <w:rsid w:val="002D30EF"/>
    <w:rsid w:val="002D4644"/>
    <w:rsid w:val="002D46C3"/>
    <w:rsid w:val="002D48AA"/>
    <w:rsid w:val="002D6BA1"/>
    <w:rsid w:val="002D7870"/>
    <w:rsid w:val="002E02A9"/>
    <w:rsid w:val="002E03B8"/>
    <w:rsid w:val="002E10EE"/>
    <w:rsid w:val="002E1D6E"/>
    <w:rsid w:val="002E313E"/>
    <w:rsid w:val="002E34D7"/>
    <w:rsid w:val="002E3523"/>
    <w:rsid w:val="002E4EE0"/>
    <w:rsid w:val="002E521F"/>
    <w:rsid w:val="002E63C7"/>
    <w:rsid w:val="002E6ABE"/>
    <w:rsid w:val="002E7583"/>
    <w:rsid w:val="002F08B2"/>
    <w:rsid w:val="002F179E"/>
    <w:rsid w:val="002F3087"/>
    <w:rsid w:val="002F6709"/>
    <w:rsid w:val="002F6FE9"/>
    <w:rsid w:val="003009C0"/>
    <w:rsid w:val="00301428"/>
    <w:rsid w:val="00301B00"/>
    <w:rsid w:val="00302CA5"/>
    <w:rsid w:val="00302CAC"/>
    <w:rsid w:val="0030546C"/>
    <w:rsid w:val="00307E8F"/>
    <w:rsid w:val="00310F9A"/>
    <w:rsid w:val="003114FA"/>
    <w:rsid w:val="00311B57"/>
    <w:rsid w:val="003124A0"/>
    <w:rsid w:val="0031325A"/>
    <w:rsid w:val="00313ED2"/>
    <w:rsid w:val="00314009"/>
    <w:rsid w:val="0031427A"/>
    <w:rsid w:val="003147BA"/>
    <w:rsid w:val="00314F29"/>
    <w:rsid w:val="003155A3"/>
    <w:rsid w:val="00320880"/>
    <w:rsid w:val="00321940"/>
    <w:rsid w:val="00322313"/>
    <w:rsid w:val="00322BA1"/>
    <w:rsid w:val="00323753"/>
    <w:rsid w:val="003237D3"/>
    <w:rsid w:val="00323C0E"/>
    <w:rsid w:val="00324010"/>
    <w:rsid w:val="003257EE"/>
    <w:rsid w:val="003269E9"/>
    <w:rsid w:val="00327A2E"/>
    <w:rsid w:val="00330589"/>
    <w:rsid w:val="003309B4"/>
    <w:rsid w:val="00330A40"/>
    <w:rsid w:val="00331767"/>
    <w:rsid w:val="00331D2E"/>
    <w:rsid w:val="00332775"/>
    <w:rsid w:val="00332DBB"/>
    <w:rsid w:val="0033366B"/>
    <w:rsid w:val="003339AA"/>
    <w:rsid w:val="00333B8F"/>
    <w:rsid w:val="0033412B"/>
    <w:rsid w:val="003353D5"/>
    <w:rsid w:val="00335E4E"/>
    <w:rsid w:val="00335F32"/>
    <w:rsid w:val="003361C3"/>
    <w:rsid w:val="00336F78"/>
    <w:rsid w:val="00337A6B"/>
    <w:rsid w:val="00337BF7"/>
    <w:rsid w:val="003411BE"/>
    <w:rsid w:val="00341E04"/>
    <w:rsid w:val="00344223"/>
    <w:rsid w:val="003449A7"/>
    <w:rsid w:val="0034648C"/>
    <w:rsid w:val="00347ED8"/>
    <w:rsid w:val="00350083"/>
    <w:rsid w:val="00350818"/>
    <w:rsid w:val="00351443"/>
    <w:rsid w:val="003526F7"/>
    <w:rsid w:val="0035316B"/>
    <w:rsid w:val="00353482"/>
    <w:rsid w:val="00353733"/>
    <w:rsid w:val="00354535"/>
    <w:rsid w:val="003547D5"/>
    <w:rsid w:val="00354D1D"/>
    <w:rsid w:val="00355EDF"/>
    <w:rsid w:val="00357612"/>
    <w:rsid w:val="003603ED"/>
    <w:rsid w:val="00360883"/>
    <w:rsid w:val="003616F8"/>
    <w:rsid w:val="00363877"/>
    <w:rsid w:val="003639A5"/>
    <w:rsid w:val="0036472B"/>
    <w:rsid w:val="00364D41"/>
    <w:rsid w:val="003654E8"/>
    <w:rsid w:val="00366BFD"/>
    <w:rsid w:val="00366EDF"/>
    <w:rsid w:val="003679AD"/>
    <w:rsid w:val="003707E5"/>
    <w:rsid w:val="003717C2"/>
    <w:rsid w:val="00371D8E"/>
    <w:rsid w:val="0037280C"/>
    <w:rsid w:val="00372ABE"/>
    <w:rsid w:val="00375EE9"/>
    <w:rsid w:val="003774C3"/>
    <w:rsid w:val="00377B3A"/>
    <w:rsid w:val="00380569"/>
    <w:rsid w:val="003807EE"/>
    <w:rsid w:val="003809DF"/>
    <w:rsid w:val="00382BD5"/>
    <w:rsid w:val="00384825"/>
    <w:rsid w:val="00384D89"/>
    <w:rsid w:val="00385028"/>
    <w:rsid w:val="00385981"/>
    <w:rsid w:val="00386153"/>
    <w:rsid w:val="00387D89"/>
    <w:rsid w:val="00390F52"/>
    <w:rsid w:val="003919C0"/>
    <w:rsid w:val="00392701"/>
    <w:rsid w:val="003937E9"/>
    <w:rsid w:val="003955A2"/>
    <w:rsid w:val="00395BBC"/>
    <w:rsid w:val="0039657B"/>
    <w:rsid w:val="003A043E"/>
    <w:rsid w:val="003A05A1"/>
    <w:rsid w:val="003A0C97"/>
    <w:rsid w:val="003A1903"/>
    <w:rsid w:val="003A1F7C"/>
    <w:rsid w:val="003A24E2"/>
    <w:rsid w:val="003A2980"/>
    <w:rsid w:val="003A2A4B"/>
    <w:rsid w:val="003A34E3"/>
    <w:rsid w:val="003A3D49"/>
    <w:rsid w:val="003A406C"/>
    <w:rsid w:val="003A4B10"/>
    <w:rsid w:val="003A4E8A"/>
    <w:rsid w:val="003A5645"/>
    <w:rsid w:val="003A5935"/>
    <w:rsid w:val="003A5E70"/>
    <w:rsid w:val="003A63FD"/>
    <w:rsid w:val="003A74AF"/>
    <w:rsid w:val="003B1AFB"/>
    <w:rsid w:val="003B3367"/>
    <w:rsid w:val="003B34DB"/>
    <w:rsid w:val="003B5465"/>
    <w:rsid w:val="003B55DE"/>
    <w:rsid w:val="003B6633"/>
    <w:rsid w:val="003B66B3"/>
    <w:rsid w:val="003C0D70"/>
    <w:rsid w:val="003C1309"/>
    <w:rsid w:val="003C177D"/>
    <w:rsid w:val="003C6FC8"/>
    <w:rsid w:val="003C7BEA"/>
    <w:rsid w:val="003D090D"/>
    <w:rsid w:val="003D1D4D"/>
    <w:rsid w:val="003D313C"/>
    <w:rsid w:val="003D3B99"/>
    <w:rsid w:val="003D3E13"/>
    <w:rsid w:val="003E0374"/>
    <w:rsid w:val="003E04F3"/>
    <w:rsid w:val="003E0972"/>
    <w:rsid w:val="003E2B27"/>
    <w:rsid w:val="003E3F24"/>
    <w:rsid w:val="003E3FC3"/>
    <w:rsid w:val="003F156B"/>
    <w:rsid w:val="003F192E"/>
    <w:rsid w:val="003F23F0"/>
    <w:rsid w:val="003F24B4"/>
    <w:rsid w:val="003F295E"/>
    <w:rsid w:val="003F3212"/>
    <w:rsid w:val="003F470A"/>
    <w:rsid w:val="003F5C04"/>
    <w:rsid w:val="003F67A4"/>
    <w:rsid w:val="003F6AB5"/>
    <w:rsid w:val="003F7F44"/>
    <w:rsid w:val="0040115E"/>
    <w:rsid w:val="0040171A"/>
    <w:rsid w:val="00401D55"/>
    <w:rsid w:val="00401E88"/>
    <w:rsid w:val="00401EAE"/>
    <w:rsid w:val="004049A5"/>
    <w:rsid w:val="00404A8C"/>
    <w:rsid w:val="00404F6C"/>
    <w:rsid w:val="00405820"/>
    <w:rsid w:val="00405DA2"/>
    <w:rsid w:val="0040791B"/>
    <w:rsid w:val="004105B0"/>
    <w:rsid w:val="00411F32"/>
    <w:rsid w:val="00413050"/>
    <w:rsid w:val="004139F2"/>
    <w:rsid w:val="00414A77"/>
    <w:rsid w:val="004159FD"/>
    <w:rsid w:val="00417736"/>
    <w:rsid w:val="004209AA"/>
    <w:rsid w:val="004212EF"/>
    <w:rsid w:val="00422082"/>
    <w:rsid w:val="004236AC"/>
    <w:rsid w:val="0042436F"/>
    <w:rsid w:val="004254CB"/>
    <w:rsid w:val="0042697C"/>
    <w:rsid w:val="004269CD"/>
    <w:rsid w:val="00427969"/>
    <w:rsid w:val="00427B4F"/>
    <w:rsid w:val="00431049"/>
    <w:rsid w:val="00431445"/>
    <w:rsid w:val="00432FDD"/>
    <w:rsid w:val="00433A55"/>
    <w:rsid w:val="00434756"/>
    <w:rsid w:val="00435E65"/>
    <w:rsid w:val="00435F9D"/>
    <w:rsid w:val="0043711E"/>
    <w:rsid w:val="00437A1E"/>
    <w:rsid w:val="00437BA1"/>
    <w:rsid w:val="0044026D"/>
    <w:rsid w:val="004412B9"/>
    <w:rsid w:val="00441347"/>
    <w:rsid w:val="004414EA"/>
    <w:rsid w:val="0044163C"/>
    <w:rsid w:val="004418F8"/>
    <w:rsid w:val="00442084"/>
    <w:rsid w:val="004421DA"/>
    <w:rsid w:val="00442B73"/>
    <w:rsid w:val="00443578"/>
    <w:rsid w:val="00443F3F"/>
    <w:rsid w:val="00444093"/>
    <w:rsid w:val="00446436"/>
    <w:rsid w:val="00446CC3"/>
    <w:rsid w:val="00447326"/>
    <w:rsid w:val="004474A9"/>
    <w:rsid w:val="00447B0E"/>
    <w:rsid w:val="004501DE"/>
    <w:rsid w:val="00450CF8"/>
    <w:rsid w:val="0045198E"/>
    <w:rsid w:val="004531D4"/>
    <w:rsid w:val="00455668"/>
    <w:rsid w:val="00457BB5"/>
    <w:rsid w:val="00457F0C"/>
    <w:rsid w:val="004616B6"/>
    <w:rsid w:val="00464623"/>
    <w:rsid w:val="00464841"/>
    <w:rsid w:val="004658AE"/>
    <w:rsid w:val="00466571"/>
    <w:rsid w:val="00466FBA"/>
    <w:rsid w:val="004678C2"/>
    <w:rsid w:val="00470575"/>
    <w:rsid w:val="00470EF2"/>
    <w:rsid w:val="004715F6"/>
    <w:rsid w:val="00471840"/>
    <w:rsid w:val="00473DE0"/>
    <w:rsid w:val="00475A30"/>
    <w:rsid w:val="00476954"/>
    <w:rsid w:val="00480148"/>
    <w:rsid w:val="004811C9"/>
    <w:rsid w:val="004818BE"/>
    <w:rsid w:val="00484E8D"/>
    <w:rsid w:val="00485138"/>
    <w:rsid w:val="00485C6D"/>
    <w:rsid w:val="0048630F"/>
    <w:rsid w:val="00486E58"/>
    <w:rsid w:val="00487D18"/>
    <w:rsid w:val="0049219A"/>
    <w:rsid w:val="004925F8"/>
    <w:rsid w:val="004933C6"/>
    <w:rsid w:val="00493AF0"/>
    <w:rsid w:val="0049483E"/>
    <w:rsid w:val="0049702A"/>
    <w:rsid w:val="00497DCF"/>
    <w:rsid w:val="004A28C9"/>
    <w:rsid w:val="004A39BF"/>
    <w:rsid w:val="004A3BB2"/>
    <w:rsid w:val="004A5E74"/>
    <w:rsid w:val="004A61D9"/>
    <w:rsid w:val="004A669C"/>
    <w:rsid w:val="004A71D8"/>
    <w:rsid w:val="004B12CB"/>
    <w:rsid w:val="004B2848"/>
    <w:rsid w:val="004B2CB1"/>
    <w:rsid w:val="004B3044"/>
    <w:rsid w:val="004B31E9"/>
    <w:rsid w:val="004B34BF"/>
    <w:rsid w:val="004B44B0"/>
    <w:rsid w:val="004B45A9"/>
    <w:rsid w:val="004B52F1"/>
    <w:rsid w:val="004B588B"/>
    <w:rsid w:val="004B5FF9"/>
    <w:rsid w:val="004B6329"/>
    <w:rsid w:val="004B67CA"/>
    <w:rsid w:val="004B73F5"/>
    <w:rsid w:val="004B785C"/>
    <w:rsid w:val="004B78D1"/>
    <w:rsid w:val="004C0060"/>
    <w:rsid w:val="004C0A56"/>
    <w:rsid w:val="004C17D1"/>
    <w:rsid w:val="004C2926"/>
    <w:rsid w:val="004C2C9C"/>
    <w:rsid w:val="004C4005"/>
    <w:rsid w:val="004C5A2B"/>
    <w:rsid w:val="004C5D65"/>
    <w:rsid w:val="004C6CDC"/>
    <w:rsid w:val="004C7229"/>
    <w:rsid w:val="004C7F3B"/>
    <w:rsid w:val="004D0A75"/>
    <w:rsid w:val="004D33BD"/>
    <w:rsid w:val="004D3CFF"/>
    <w:rsid w:val="004D48F0"/>
    <w:rsid w:val="004D5799"/>
    <w:rsid w:val="004E03C8"/>
    <w:rsid w:val="004E0A87"/>
    <w:rsid w:val="004E2291"/>
    <w:rsid w:val="004E2717"/>
    <w:rsid w:val="004E29D4"/>
    <w:rsid w:val="004E2CB2"/>
    <w:rsid w:val="004E3FD9"/>
    <w:rsid w:val="004E5814"/>
    <w:rsid w:val="004E5F13"/>
    <w:rsid w:val="004E694C"/>
    <w:rsid w:val="004E7557"/>
    <w:rsid w:val="004E7DE8"/>
    <w:rsid w:val="004E7E4B"/>
    <w:rsid w:val="004F015D"/>
    <w:rsid w:val="004F01A5"/>
    <w:rsid w:val="004F0A6D"/>
    <w:rsid w:val="004F25A8"/>
    <w:rsid w:val="004F2DBB"/>
    <w:rsid w:val="004F341D"/>
    <w:rsid w:val="004F4859"/>
    <w:rsid w:val="004F67F2"/>
    <w:rsid w:val="004F6875"/>
    <w:rsid w:val="00500388"/>
    <w:rsid w:val="00500AFC"/>
    <w:rsid w:val="00500D01"/>
    <w:rsid w:val="005010D4"/>
    <w:rsid w:val="00502E3F"/>
    <w:rsid w:val="005036DC"/>
    <w:rsid w:val="005045AE"/>
    <w:rsid w:val="00504B69"/>
    <w:rsid w:val="00504B87"/>
    <w:rsid w:val="00506F9D"/>
    <w:rsid w:val="005109F3"/>
    <w:rsid w:val="00510E11"/>
    <w:rsid w:val="00512ADE"/>
    <w:rsid w:val="00512FD0"/>
    <w:rsid w:val="00512FD6"/>
    <w:rsid w:val="00513560"/>
    <w:rsid w:val="005151E7"/>
    <w:rsid w:val="00515258"/>
    <w:rsid w:val="0051556F"/>
    <w:rsid w:val="005156E9"/>
    <w:rsid w:val="005161B3"/>
    <w:rsid w:val="0051669B"/>
    <w:rsid w:val="00517456"/>
    <w:rsid w:val="005178B6"/>
    <w:rsid w:val="00520466"/>
    <w:rsid w:val="005222C8"/>
    <w:rsid w:val="005229F2"/>
    <w:rsid w:val="005249A5"/>
    <w:rsid w:val="0052521A"/>
    <w:rsid w:val="005265BD"/>
    <w:rsid w:val="0052743D"/>
    <w:rsid w:val="0053178F"/>
    <w:rsid w:val="00532129"/>
    <w:rsid w:val="00532513"/>
    <w:rsid w:val="00532894"/>
    <w:rsid w:val="005329EC"/>
    <w:rsid w:val="00532C6B"/>
    <w:rsid w:val="00532ED7"/>
    <w:rsid w:val="00535AF8"/>
    <w:rsid w:val="00535D46"/>
    <w:rsid w:val="0053608B"/>
    <w:rsid w:val="00536668"/>
    <w:rsid w:val="00536E0B"/>
    <w:rsid w:val="0054089C"/>
    <w:rsid w:val="005412D4"/>
    <w:rsid w:val="00541474"/>
    <w:rsid w:val="00542DDB"/>
    <w:rsid w:val="00543C7B"/>
    <w:rsid w:val="00543F85"/>
    <w:rsid w:val="0054455E"/>
    <w:rsid w:val="0054585C"/>
    <w:rsid w:val="00546077"/>
    <w:rsid w:val="00546B0D"/>
    <w:rsid w:val="0054750A"/>
    <w:rsid w:val="005477D9"/>
    <w:rsid w:val="00551552"/>
    <w:rsid w:val="005527DB"/>
    <w:rsid w:val="00553474"/>
    <w:rsid w:val="00557513"/>
    <w:rsid w:val="0056132C"/>
    <w:rsid w:val="00562148"/>
    <w:rsid w:val="005622CD"/>
    <w:rsid w:val="0056241F"/>
    <w:rsid w:val="00562D1B"/>
    <w:rsid w:val="0056431B"/>
    <w:rsid w:val="00564EAC"/>
    <w:rsid w:val="00564FC8"/>
    <w:rsid w:val="00565906"/>
    <w:rsid w:val="00565F7F"/>
    <w:rsid w:val="005670D4"/>
    <w:rsid w:val="005675AA"/>
    <w:rsid w:val="00567A51"/>
    <w:rsid w:val="005705D2"/>
    <w:rsid w:val="00570867"/>
    <w:rsid w:val="005726C3"/>
    <w:rsid w:val="0057349D"/>
    <w:rsid w:val="00573FDB"/>
    <w:rsid w:val="00574694"/>
    <w:rsid w:val="00576880"/>
    <w:rsid w:val="00576FE5"/>
    <w:rsid w:val="005805EC"/>
    <w:rsid w:val="005806EB"/>
    <w:rsid w:val="00580D61"/>
    <w:rsid w:val="00581A8B"/>
    <w:rsid w:val="00583989"/>
    <w:rsid w:val="0058471E"/>
    <w:rsid w:val="00584A82"/>
    <w:rsid w:val="00584FF4"/>
    <w:rsid w:val="00585374"/>
    <w:rsid w:val="005863E0"/>
    <w:rsid w:val="00586773"/>
    <w:rsid w:val="005872E4"/>
    <w:rsid w:val="00587536"/>
    <w:rsid w:val="00587636"/>
    <w:rsid w:val="00590924"/>
    <w:rsid w:val="0059094E"/>
    <w:rsid w:val="00591B7B"/>
    <w:rsid w:val="00593978"/>
    <w:rsid w:val="00593FFF"/>
    <w:rsid w:val="005947E1"/>
    <w:rsid w:val="00595047"/>
    <w:rsid w:val="005950D7"/>
    <w:rsid w:val="00596793"/>
    <w:rsid w:val="005969F3"/>
    <w:rsid w:val="005977E1"/>
    <w:rsid w:val="005A06FD"/>
    <w:rsid w:val="005A1184"/>
    <w:rsid w:val="005A311F"/>
    <w:rsid w:val="005A4121"/>
    <w:rsid w:val="005A4256"/>
    <w:rsid w:val="005A50BB"/>
    <w:rsid w:val="005B0694"/>
    <w:rsid w:val="005B0B82"/>
    <w:rsid w:val="005B187B"/>
    <w:rsid w:val="005B19F7"/>
    <w:rsid w:val="005B1EC2"/>
    <w:rsid w:val="005B31E4"/>
    <w:rsid w:val="005B386E"/>
    <w:rsid w:val="005B4163"/>
    <w:rsid w:val="005B4D15"/>
    <w:rsid w:val="005B56D8"/>
    <w:rsid w:val="005B59B9"/>
    <w:rsid w:val="005C145A"/>
    <w:rsid w:val="005C1918"/>
    <w:rsid w:val="005C191A"/>
    <w:rsid w:val="005C2327"/>
    <w:rsid w:val="005C302F"/>
    <w:rsid w:val="005C30EB"/>
    <w:rsid w:val="005C3F7B"/>
    <w:rsid w:val="005C51A6"/>
    <w:rsid w:val="005C63C1"/>
    <w:rsid w:val="005C7754"/>
    <w:rsid w:val="005D1712"/>
    <w:rsid w:val="005D2739"/>
    <w:rsid w:val="005D2FCD"/>
    <w:rsid w:val="005D33E8"/>
    <w:rsid w:val="005D3F8C"/>
    <w:rsid w:val="005D44F8"/>
    <w:rsid w:val="005D4804"/>
    <w:rsid w:val="005D5656"/>
    <w:rsid w:val="005D5FCF"/>
    <w:rsid w:val="005D7511"/>
    <w:rsid w:val="005D7E36"/>
    <w:rsid w:val="005E2E47"/>
    <w:rsid w:val="005E4825"/>
    <w:rsid w:val="005E573D"/>
    <w:rsid w:val="005F1287"/>
    <w:rsid w:val="005F15E4"/>
    <w:rsid w:val="005F2CEA"/>
    <w:rsid w:val="005F4E69"/>
    <w:rsid w:val="005F5675"/>
    <w:rsid w:val="005F56E2"/>
    <w:rsid w:val="005F6CCE"/>
    <w:rsid w:val="005F7E19"/>
    <w:rsid w:val="006011CF"/>
    <w:rsid w:val="00602407"/>
    <w:rsid w:val="00602BAF"/>
    <w:rsid w:val="0060330B"/>
    <w:rsid w:val="00603872"/>
    <w:rsid w:val="0060524D"/>
    <w:rsid w:val="00605A55"/>
    <w:rsid w:val="00605BF0"/>
    <w:rsid w:val="006075F8"/>
    <w:rsid w:val="00607C48"/>
    <w:rsid w:val="00607DC4"/>
    <w:rsid w:val="00607E08"/>
    <w:rsid w:val="00610378"/>
    <w:rsid w:val="006103F8"/>
    <w:rsid w:val="00610696"/>
    <w:rsid w:val="00610748"/>
    <w:rsid w:val="00610D57"/>
    <w:rsid w:val="00611B2D"/>
    <w:rsid w:val="006129BD"/>
    <w:rsid w:val="00613BFC"/>
    <w:rsid w:val="00614B47"/>
    <w:rsid w:val="006211EA"/>
    <w:rsid w:val="00621C81"/>
    <w:rsid w:val="00622309"/>
    <w:rsid w:val="006242CD"/>
    <w:rsid w:val="00624E9E"/>
    <w:rsid w:val="006254EF"/>
    <w:rsid w:val="00625CFF"/>
    <w:rsid w:val="00626055"/>
    <w:rsid w:val="00626C85"/>
    <w:rsid w:val="00627E09"/>
    <w:rsid w:val="00627E1D"/>
    <w:rsid w:val="00630C8D"/>
    <w:rsid w:val="00632F1E"/>
    <w:rsid w:val="006346F8"/>
    <w:rsid w:val="00635927"/>
    <w:rsid w:val="00635C22"/>
    <w:rsid w:val="006364A9"/>
    <w:rsid w:val="00636B18"/>
    <w:rsid w:val="00636B2A"/>
    <w:rsid w:val="00637492"/>
    <w:rsid w:val="00637A81"/>
    <w:rsid w:val="00637E72"/>
    <w:rsid w:val="00640218"/>
    <w:rsid w:val="00640924"/>
    <w:rsid w:val="00640AA8"/>
    <w:rsid w:val="00641104"/>
    <w:rsid w:val="006412DF"/>
    <w:rsid w:val="006415A4"/>
    <w:rsid w:val="0064178E"/>
    <w:rsid w:val="00642310"/>
    <w:rsid w:val="00644383"/>
    <w:rsid w:val="006450DB"/>
    <w:rsid w:val="006469D1"/>
    <w:rsid w:val="0064754A"/>
    <w:rsid w:val="00647667"/>
    <w:rsid w:val="00647FD1"/>
    <w:rsid w:val="006503A0"/>
    <w:rsid w:val="00650AC9"/>
    <w:rsid w:val="00651270"/>
    <w:rsid w:val="00654259"/>
    <w:rsid w:val="00656167"/>
    <w:rsid w:val="00657C54"/>
    <w:rsid w:val="00663DBC"/>
    <w:rsid w:val="00664F94"/>
    <w:rsid w:val="00665B04"/>
    <w:rsid w:val="006664FD"/>
    <w:rsid w:val="006665E0"/>
    <w:rsid w:val="0066726D"/>
    <w:rsid w:val="00667B0F"/>
    <w:rsid w:val="00667D76"/>
    <w:rsid w:val="0067156E"/>
    <w:rsid w:val="00675A60"/>
    <w:rsid w:val="00676BE8"/>
    <w:rsid w:val="00677820"/>
    <w:rsid w:val="006778CE"/>
    <w:rsid w:val="00677DB3"/>
    <w:rsid w:val="00680061"/>
    <w:rsid w:val="0068009D"/>
    <w:rsid w:val="00680E56"/>
    <w:rsid w:val="00681112"/>
    <w:rsid w:val="00682426"/>
    <w:rsid w:val="006832C0"/>
    <w:rsid w:val="00683C8B"/>
    <w:rsid w:val="00684165"/>
    <w:rsid w:val="00684C49"/>
    <w:rsid w:val="00685657"/>
    <w:rsid w:val="0069038E"/>
    <w:rsid w:val="0069070A"/>
    <w:rsid w:val="0069092B"/>
    <w:rsid w:val="006910B6"/>
    <w:rsid w:val="00691328"/>
    <w:rsid w:val="00691442"/>
    <w:rsid w:val="00691A31"/>
    <w:rsid w:val="00691A55"/>
    <w:rsid w:val="006936DE"/>
    <w:rsid w:val="00696966"/>
    <w:rsid w:val="006A1101"/>
    <w:rsid w:val="006A23AC"/>
    <w:rsid w:val="006A3E32"/>
    <w:rsid w:val="006A79D9"/>
    <w:rsid w:val="006B0DAF"/>
    <w:rsid w:val="006B17C7"/>
    <w:rsid w:val="006B2481"/>
    <w:rsid w:val="006B2854"/>
    <w:rsid w:val="006B2F01"/>
    <w:rsid w:val="006B4112"/>
    <w:rsid w:val="006B42C6"/>
    <w:rsid w:val="006B490F"/>
    <w:rsid w:val="006B51FC"/>
    <w:rsid w:val="006B553B"/>
    <w:rsid w:val="006B605A"/>
    <w:rsid w:val="006B635E"/>
    <w:rsid w:val="006B70E4"/>
    <w:rsid w:val="006C0F36"/>
    <w:rsid w:val="006C0FEF"/>
    <w:rsid w:val="006C14DB"/>
    <w:rsid w:val="006C2531"/>
    <w:rsid w:val="006C270B"/>
    <w:rsid w:val="006C31FA"/>
    <w:rsid w:val="006C375D"/>
    <w:rsid w:val="006C5FD4"/>
    <w:rsid w:val="006C7C48"/>
    <w:rsid w:val="006C7F73"/>
    <w:rsid w:val="006D1050"/>
    <w:rsid w:val="006D434C"/>
    <w:rsid w:val="006D50FB"/>
    <w:rsid w:val="006D700E"/>
    <w:rsid w:val="006D7A32"/>
    <w:rsid w:val="006E00CD"/>
    <w:rsid w:val="006E38BE"/>
    <w:rsid w:val="006E663D"/>
    <w:rsid w:val="006E7B8B"/>
    <w:rsid w:val="006F028B"/>
    <w:rsid w:val="006F0ADF"/>
    <w:rsid w:val="006F2183"/>
    <w:rsid w:val="006F2C74"/>
    <w:rsid w:val="006F2D64"/>
    <w:rsid w:val="006F3A31"/>
    <w:rsid w:val="006F3C3E"/>
    <w:rsid w:val="006F4C43"/>
    <w:rsid w:val="006F5E80"/>
    <w:rsid w:val="006F6A4E"/>
    <w:rsid w:val="006F76E8"/>
    <w:rsid w:val="007004FC"/>
    <w:rsid w:val="00701617"/>
    <w:rsid w:val="00701C9E"/>
    <w:rsid w:val="00702E91"/>
    <w:rsid w:val="00703F79"/>
    <w:rsid w:val="00703F9C"/>
    <w:rsid w:val="00704914"/>
    <w:rsid w:val="00705C56"/>
    <w:rsid w:val="00705DF4"/>
    <w:rsid w:val="00707BAB"/>
    <w:rsid w:val="007129FD"/>
    <w:rsid w:val="00713452"/>
    <w:rsid w:val="00713E08"/>
    <w:rsid w:val="0071523A"/>
    <w:rsid w:val="00717665"/>
    <w:rsid w:val="00717A7F"/>
    <w:rsid w:val="0072242D"/>
    <w:rsid w:val="00724070"/>
    <w:rsid w:val="00725BD5"/>
    <w:rsid w:val="00725EE4"/>
    <w:rsid w:val="007266B6"/>
    <w:rsid w:val="00727803"/>
    <w:rsid w:val="007309E0"/>
    <w:rsid w:val="0073137B"/>
    <w:rsid w:val="007313F8"/>
    <w:rsid w:val="00731A9C"/>
    <w:rsid w:val="007322EA"/>
    <w:rsid w:val="00732EA0"/>
    <w:rsid w:val="00732FE3"/>
    <w:rsid w:val="00735C41"/>
    <w:rsid w:val="007375E4"/>
    <w:rsid w:val="00740D0F"/>
    <w:rsid w:val="00741FCA"/>
    <w:rsid w:val="00742FF7"/>
    <w:rsid w:val="007434B9"/>
    <w:rsid w:val="00744078"/>
    <w:rsid w:val="00745DCE"/>
    <w:rsid w:val="007475C0"/>
    <w:rsid w:val="00750377"/>
    <w:rsid w:val="00752066"/>
    <w:rsid w:val="00752111"/>
    <w:rsid w:val="0075231A"/>
    <w:rsid w:val="007537A4"/>
    <w:rsid w:val="0075504A"/>
    <w:rsid w:val="007565A3"/>
    <w:rsid w:val="0075684D"/>
    <w:rsid w:val="00757039"/>
    <w:rsid w:val="007601B5"/>
    <w:rsid w:val="00761142"/>
    <w:rsid w:val="0076135F"/>
    <w:rsid w:val="00761D8E"/>
    <w:rsid w:val="00761EBF"/>
    <w:rsid w:val="0076299B"/>
    <w:rsid w:val="00763158"/>
    <w:rsid w:val="00763985"/>
    <w:rsid w:val="00763A93"/>
    <w:rsid w:val="00763B3A"/>
    <w:rsid w:val="00763F77"/>
    <w:rsid w:val="0076469B"/>
    <w:rsid w:val="00765480"/>
    <w:rsid w:val="0076558E"/>
    <w:rsid w:val="00766BBA"/>
    <w:rsid w:val="007672E0"/>
    <w:rsid w:val="00767995"/>
    <w:rsid w:val="00772531"/>
    <w:rsid w:val="00773723"/>
    <w:rsid w:val="00774194"/>
    <w:rsid w:val="00774C2D"/>
    <w:rsid w:val="00774FEE"/>
    <w:rsid w:val="00775B0D"/>
    <w:rsid w:val="00775B79"/>
    <w:rsid w:val="00776D9D"/>
    <w:rsid w:val="007770F4"/>
    <w:rsid w:val="0078043C"/>
    <w:rsid w:val="00780B56"/>
    <w:rsid w:val="00782061"/>
    <w:rsid w:val="007821E4"/>
    <w:rsid w:val="007826C4"/>
    <w:rsid w:val="0078366C"/>
    <w:rsid w:val="0078435D"/>
    <w:rsid w:val="007848B7"/>
    <w:rsid w:val="00784C21"/>
    <w:rsid w:val="007852AB"/>
    <w:rsid w:val="007860B1"/>
    <w:rsid w:val="00786274"/>
    <w:rsid w:val="007867E3"/>
    <w:rsid w:val="007872E1"/>
    <w:rsid w:val="00787FE6"/>
    <w:rsid w:val="0079051D"/>
    <w:rsid w:val="007907A9"/>
    <w:rsid w:val="00792B17"/>
    <w:rsid w:val="00792F3F"/>
    <w:rsid w:val="0079342A"/>
    <w:rsid w:val="00793648"/>
    <w:rsid w:val="00794B3D"/>
    <w:rsid w:val="007960EA"/>
    <w:rsid w:val="007A03C4"/>
    <w:rsid w:val="007A0584"/>
    <w:rsid w:val="007A0B4F"/>
    <w:rsid w:val="007A0CA9"/>
    <w:rsid w:val="007A1EAA"/>
    <w:rsid w:val="007A21CF"/>
    <w:rsid w:val="007A3655"/>
    <w:rsid w:val="007A3C14"/>
    <w:rsid w:val="007A3C22"/>
    <w:rsid w:val="007B036C"/>
    <w:rsid w:val="007B0F37"/>
    <w:rsid w:val="007B17E2"/>
    <w:rsid w:val="007B1BA6"/>
    <w:rsid w:val="007B1D7A"/>
    <w:rsid w:val="007B33FA"/>
    <w:rsid w:val="007B43DB"/>
    <w:rsid w:val="007B543F"/>
    <w:rsid w:val="007B712B"/>
    <w:rsid w:val="007B73E7"/>
    <w:rsid w:val="007B77A9"/>
    <w:rsid w:val="007C0129"/>
    <w:rsid w:val="007C2B1C"/>
    <w:rsid w:val="007C2B42"/>
    <w:rsid w:val="007C3536"/>
    <w:rsid w:val="007C3E47"/>
    <w:rsid w:val="007C45AF"/>
    <w:rsid w:val="007C50FF"/>
    <w:rsid w:val="007C57B9"/>
    <w:rsid w:val="007C6084"/>
    <w:rsid w:val="007C6AC7"/>
    <w:rsid w:val="007C7508"/>
    <w:rsid w:val="007C7C67"/>
    <w:rsid w:val="007C7EE6"/>
    <w:rsid w:val="007D0090"/>
    <w:rsid w:val="007D2E12"/>
    <w:rsid w:val="007D3622"/>
    <w:rsid w:val="007D3CD6"/>
    <w:rsid w:val="007D402E"/>
    <w:rsid w:val="007D4345"/>
    <w:rsid w:val="007D4501"/>
    <w:rsid w:val="007D4A8B"/>
    <w:rsid w:val="007D4E1C"/>
    <w:rsid w:val="007D6BBD"/>
    <w:rsid w:val="007D7098"/>
    <w:rsid w:val="007D70FB"/>
    <w:rsid w:val="007D7911"/>
    <w:rsid w:val="007E03ED"/>
    <w:rsid w:val="007E0595"/>
    <w:rsid w:val="007E2404"/>
    <w:rsid w:val="007E2501"/>
    <w:rsid w:val="007E2AEA"/>
    <w:rsid w:val="007E3659"/>
    <w:rsid w:val="007E4136"/>
    <w:rsid w:val="007E51F5"/>
    <w:rsid w:val="007E609F"/>
    <w:rsid w:val="007E6C4A"/>
    <w:rsid w:val="007E7318"/>
    <w:rsid w:val="007E7FCA"/>
    <w:rsid w:val="007F088D"/>
    <w:rsid w:val="007F1046"/>
    <w:rsid w:val="007F12A7"/>
    <w:rsid w:val="007F1CE5"/>
    <w:rsid w:val="007F2283"/>
    <w:rsid w:val="007F3F44"/>
    <w:rsid w:val="007F4339"/>
    <w:rsid w:val="007F456A"/>
    <w:rsid w:val="007F56C3"/>
    <w:rsid w:val="007F59AB"/>
    <w:rsid w:val="007F63E0"/>
    <w:rsid w:val="007F71DB"/>
    <w:rsid w:val="007F764E"/>
    <w:rsid w:val="0080056B"/>
    <w:rsid w:val="00800897"/>
    <w:rsid w:val="00800B32"/>
    <w:rsid w:val="00801679"/>
    <w:rsid w:val="008028BB"/>
    <w:rsid w:val="008031AE"/>
    <w:rsid w:val="00803A84"/>
    <w:rsid w:val="00805908"/>
    <w:rsid w:val="00805B20"/>
    <w:rsid w:val="0080618A"/>
    <w:rsid w:val="0081104A"/>
    <w:rsid w:val="0081139F"/>
    <w:rsid w:val="0081150A"/>
    <w:rsid w:val="008122C6"/>
    <w:rsid w:val="008125AA"/>
    <w:rsid w:val="00814053"/>
    <w:rsid w:val="00816F4D"/>
    <w:rsid w:val="0081757E"/>
    <w:rsid w:val="008202E0"/>
    <w:rsid w:val="00821858"/>
    <w:rsid w:val="00821A85"/>
    <w:rsid w:val="00822479"/>
    <w:rsid w:val="00822DFA"/>
    <w:rsid w:val="008236BD"/>
    <w:rsid w:val="00823B80"/>
    <w:rsid w:val="008243BD"/>
    <w:rsid w:val="00824908"/>
    <w:rsid w:val="00824996"/>
    <w:rsid w:val="008304E9"/>
    <w:rsid w:val="00830823"/>
    <w:rsid w:val="00830CEA"/>
    <w:rsid w:val="00832BB4"/>
    <w:rsid w:val="00833087"/>
    <w:rsid w:val="00833202"/>
    <w:rsid w:val="00833DC5"/>
    <w:rsid w:val="00834527"/>
    <w:rsid w:val="008348AD"/>
    <w:rsid w:val="00835D06"/>
    <w:rsid w:val="00837FB5"/>
    <w:rsid w:val="008409F2"/>
    <w:rsid w:val="00840E3A"/>
    <w:rsid w:val="008417F9"/>
    <w:rsid w:val="00842056"/>
    <w:rsid w:val="00842DCE"/>
    <w:rsid w:val="00842ED9"/>
    <w:rsid w:val="00843E36"/>
    <w:rsid w:val="008441B7"/>
    <w:rsid w:val="008449B6"/>
    <w:rsid w:val="0084683F"/>
    <w:rsid w:val="00847324"/>
    <w:rsid w:val="0084753B"/>
    <w:rsid w:val="00850B1F"/>
    <w:rsid w:val="00852AFD"/>
    <w:rsid w:val="00854D0D"/>
    <w:rsid w:val="00855A20"/>
    <w:rsid w:val="00857636"/>
    <w:rsid w:val="008612C5"/>
    <w:rsid w:val="008627BE"/>
    <w:rsid w:val="00863187"/>
    <w:rsid w:val="00864333"/>
    <w:rsid w:val="00865278"/>
    <w:rsid w:val="008675FE"/>
    <w:rsid w:val="0086762B"/>
    <w:rsid w:val="00867D5F"/>
    <w:rsid w:val="008701D7"/>
    <w:rsid w:val="008703C1"/>
    <w:rsid w:val="008709D7"/>
    <w:rsid w:val="0087392D"/>
    <w:rsid w:val="00875402"/>
    <w:rsid w:val="00875A1F"/>
    <w:rsid w:val="00875F99"/>
    <w:rsid w:val="00876B05"/>
    <w:rsid w:val="00877582"/>
    <w:rsid w:val="008801C0"/>
    <w:rsid w:val="00880E80"/>
    <w:rsid w:val="00880F7D"/>
    <w:rsid w:val="00881685"/>
    <w:rsid w:val="00882AD0"/>
    <w:rsid w:val="00883E9C"/>
    <w:rsid w:val="00884087"/>
    <w:rsid w:val="008861EA"/>
    <w:rsid w:val="00890559"/>
    <w:rsid w:val="00890F7C"/>
    <w:rsid w:val="0089143B"/>
    <w:rsid w:val="00893B4F"/>
    <w:rsid w:val="00895286"/>
    <w:rsid w:val="00896820"/>
    <w:rsid w:val="00896D86"/>
    <w:rsid w:val="00896F6B"/>
    <w:rsid w:val="008972F7"/>
    <w:rsid w:val="00897362"/>
    <w:rsid w:val="008A2799"/>
    <w:rsid w:val="008A37E4"/>
    <w:rsid w:val="008A3E60"/>
    <w:rsid w:val="008A3F61"/>
    <w:rsid w:val="008A45D3"/>
    <w:rsid w:val="008A497D"/>
    <w:rsid w:val="008A64AA"/>
    <w:rsid w:val="008A6979"/>
    <w:rsid w:val="008A6DE9"/>
    <w:rsid w:val="008A6E31"/>
    <w:rsid w:val="008B0067"/>
    <w:rsid w:val="008B1581"/>
    <w:rsid w:val="008B16EB"/>
    <w:rsid w:val="008B1D22"/>
    <w:rsid w:val="008B1D91"/>
    <w:rsid w:val="008B372C"/>
    <w:rsid w:val="008B37D6"/>
    <w:rsid w:val="008B4738"/>
    <w:rsid w:val="008B5374"/>
    <w:rsid w:val="008B551D"/>
    <w:rsid w:val="008C2410"/>
    <w:rsid w:val="008C3280"/>
    <w:rsid w:val="008C3312"/>
    <w:rsid w:val="008C3504"/>
    <w:rsid w:val="008C3A13"/>
    <w:rsid w:val="008C3B93"/>
    <w:rsid w:val="008C4048"/>
    <w:rsid w:val="008C4704"/>
    <w:rsid w:val="008C5D7D"/>
    <w:rsid w:val="008C5F81"/>
    <w:rsid w:val="008C6D90"/>
    <w:rsid w:val="008C6EE3"/>
    <w:rsid w:val="008C79F9"/>
    <w:rsid w:val="008D0A59"/>
    <w:rsid w:val="008D18BD"/>
    <w:rsid w:val="008D3207"/>
    <w:rsid w:val="008D360A"/>
    <w:rsid w:val="008D57C3"/>
    <w:rsid w:val="008D58C1"/>
    <w:rsid w:val="008D5955"/>
    <w:rsid w:val="008D5C21"/>
    <w:rsid w:val="008D685E"/>
    <w:rsid w:val="008D6A72"/>
    <w:rsid w:val="008D6CF8"/>
    <w:rsid w:val="008D789C"/>
    <w:rsid w:val="008D7972"/>
    <w:rsid w:val="008E095B"/>
    <w:rsid w:val="008E09DE"/>
    <w:rsid w:val="008E18D8"/>
    <w:rsid w:val="008E1A3F"/>
    <w:rsid w:val="008E1D0B"/>
    <w:rsid w:val="008E2206"/>
    <w:rsid w:val="008E2257"/>
    <w:rsid w:val="008E3F9F"/>
    <w:rsid w:val="008E4089"/>
    <w:rsid w:val="008E435B"/>
    <w:rsid w:val="008E4475"/>
    <w:rsid w:val="008E4D72"/>
    <w:rsid w:val="008E56E9"/>
    <w:rsid w:val="008E7487"/>
    <w:rsid w:val="008E7FB9"/>
    <w:rsid w:val="008F16F4"/>
    <w:rsid w:val="008F1CE6"/>
    <w:rsid w:val="008F21E8"/>
    <w:rsid w:val="008F264F"/>
    <w:rsid w:val="008F2F14"/>
    <w:rsid w:val="008F39FE"/>
    <w:rsid w:val="008F5443"/>
    <w:rsid w:val="008F61BA"/>
    <w:rsid w:val="009001AD"/>
    <w:rsid w:val="00902736"/>
    <w:rsid w:val="00906249"/>
    <w:rsid w:val="00906575"/>
    <w:rsid w:val="009066FB"/>
    <w:rsid w:val="00906BF4"/>
    <w:rsid w:val="00907B9F"/>
    <w:rsid w:val="00907CE2"/>
    <w:rsid w:val="00912767"/>
    <w:rsid w:val="0091363D"/>
    <w:rsid w:val="00913F5A"/>
    <w:rsid w:val="00916A05"/>
    <w:rsid w:val="009178DA"/>
    <w:rsid w:val="00920968"/>
    <w:rsid w:val="009210A7"/>
    <w:rsid w:val="009216F6"/>
    <w:rsid w:val="00921D01"/>
    <w:rsid w:val="00921FB7"/>
    <w:rsid w:val="009226BF"/>
    <w:rsid w:val="0092305E"/>
    <w:rsid w:val="00924D54"/>
    <w:rsid w:val="0092505F"/>
    <w:rsid w:val="009254DF"/>
    <w:rsid w:val="00925836"/>
    <w:rsid w:val="00925937"/>
    <w:rsid w:val="0092702E"/>
    <w:rsid w:val="009271C0"/>
    <w:rsid w:val="009272EC"/>
    <w:rsid w:val="009304AA"/>
    <w:rsid w:val="009315C1"/>
    <w:rsid w:val="0093206B"/>
    <w:rsid w:val="00932549"/>
    <w:rsid w:val="00932999"/>
    <w:rsid w:val="0093301D"/>
    <w:rsid w:val="0093314F"/>
    <w:rsid w:val="00933974"/>
    <w:rsid w:val="00933E99"/>
    <w:rsid w:val="00934445"/>
    <w:rsid w:val="00936928"/>
    <w:rsid w:val="00936BC7"/>
    <w:rsid w:val="009370C6"/>
    <w:rsid w:val="00937516"/>
    <w:rsid w:val="00942882"/>
    <w:rsid w:val="00942F0F"/>
    <w:rsid w:val="00943006"/>
    <w:rsid w:val="00943429"/>
    <w:rsid w:val="00943D2D"/>
    <w:rsid w:val="00947DF4"/>
    <w:rsid w:val="00950F25"/>
    <w:rsid w:val="0095198A"/>
    <w:rsid w:val="00951DA9"/>
    <w:rsid w:val="00952B15"/>
    <w:rsid w:val="0095329F"/>
    <w:rsid w:val="0095355D"/>
    <w:rsid w:val="00954CCA"/>
    <w:rsid w:val="00954F65"/>
    <w:rsid w:val="009556B3"/>
    <w:rsid w:val="00956255"/>
    <w:rsid w:val="00957036"/>
    <w:rsid w:val="00957423"/>
    <w:rsid w:val="00957CBE"/>
    <w:rsid w:val="009614AE"/>
    <w:rsid w:val="0096234F"/>
    <w:rsid w:val="00963293"/>
    <w:rsid w:val="009636CA"/>
    <w:rsid w:val="00963F5B"/>
    <w:rsid w:val="00964377"/>
    <w:rsid w:val="00964A77"/>
    <w:rsid w:val="009655D5"/>
    <w:rsid w:val="0096671B"/>
    <w:rsid w:val="009667B9"/>
    <w:rsid w:val="00966A57"/>
    <w:rsid w:val="00971B96"/>
    <w:rsid w:val="00971F97"/>
    <w:rsid w:val="009754AA"/>
    <w:rsid w:val="009759B9"/>
    <w:rsid w:val="00976515"/>
    <w:rsid w:val="009772E7"/>
    <w:rsid w:val="00980659"/>
    <w:rsid w:val="00980DFF"/>
    <w:rsid w:val="00983180"/>
    <w:rsid w:val="00983A6C"/>
    <w:rsid w:val="009847E8"/>
    <w:rsid w:val="009865FE"/>
    <w:rsid w:val="009871C3"/>
    <w:rsid w:val="0098791A"/>
    <w:rsid w:val="00990AEB"/>
    <w:rsid w:val="00990D52"/>
    <w:rsid w:val="00991D46"/>
    <w:rsid w:val="009924B3"/>
    <w:rsid w:val="009929D7"/>
    <w:rsid w:val="00992AC1"/>
    <w:rsid w:val="0099377B"/>
    <w:rsid w:val="00994010"/>
    <w:rsid w:val="009949C0"/>
    <w:rsid w:val="00996D8D"/>
    <w:rsid w:val="00997F12"/>
    <w:rsid w:val="009A0782"/>
    <w:rsid w:val="009A22F5"/>
    <w:rsid w:val="009A2428"/>
    <w:rsid w:val="009A2C5A"/>
    <w:rsid w:val="009A3713"/>
    <w:rsid w:val="009A534E"/>
    <w:rsid w:val="009A6255"/>
    <w:rsid w:val="009A7782"/>
    <w:rsid w:val="009A7CB6"/>
    <w:rsid w:val="009B09FB"/>
    <w:rsid w:val="009B0A46"/>
    <w:rsid w:val="009B0F01"/>
    <w:rsid w:val="009B2295"/>
    <w:rsid w:val="009B2D2D"/>
    <w:rsid w:val="009B501B"/>
    <w:rsid w:val="009B54FD"/>
    <w:rsid w:val="009B5CE9"/>
    <w:rsid w:val="009B749D"/>
    <w:rsid w:val="009C04BB"/>
    <w:rsid w:val="009C0F4C"/>
    <w:rsid w:val="009C13EE"/>
    <w:rsid w:val="009C27A8"/>
    <w:rsid w:val="009C4226"/>
    <w:rsid w:val="009C42AB"/>
    <w:rsid w:val="009C5549"/>
    <w:rsid w:val="009C5E7F"/>
    <w:rsid w:val="009C6B08"/>
    <w:rsid w:val="009C6F43"/>
    <w:rsid w:val="009D002A"/>
    <w:rsid w:val="009D0538"/>
    <w:rsid w:val="009D068D"/>
    <w:rsid w:val="009D2940"/>
    <w:rsid w:val="009D3036"/>
    <w:rsid w:val="009D30D9"/>
    <w:rsid w:val="009D32F0"/>
    <w:rsid w:val="009D3AEB"/>
    <w:rsid w:val="009D3F6D"/>
    <w:rsid w:val="009D522A"/>
    <w:rsid w:val="009D5258"/>
    <w:rsid w:val="009D56D0"/>
    <w:rsid w:val="009D5BD1"/>
    <w:rsid w:val="009D645B"/>
    <w:rsid w:val="009D6C9A"/>
    <w:rsid w:val="009D740F"/>
    <w:rsid w:val="009D74FA"/>
    <w:rsid w:val="009D78DA"/>
    <w:rsid w:val="009E0B97"/>
    <w:rsid w:val="009E11B5"/>
    <w:rsid w:val="009E2D5D"/>
    <w:rsid w:val="009E2E43"/>
    <w:rsid w:val="009E40BA"/>
    <w:rsid w:val="009E4924"/>
    <w:rsid w:val="009E4E03"/>
    <w:rsid w:val="009E5072"/>
    <w:rsid w:val="009E56F1"/>
    <w:rsid w:val="009E5CDC"/>
    <w:rsid w:val="009E667F"/>
    <w:rsid w:val="009E697F"/>
    <w:rsid w:val="009E6AC9"/>
    <w:rsid w:val="009E6D34"/>
    <w:rsid w:val="009F0EB4"/>
    <w:rsid w:val="009F263C"/>
    <w:rsid w:val="009F2B7B"/>
    <w:rsid w:val="009F2F1F"/>
    <w:rsid w:val="009F4D12"/>
    <w:rsid w:val="009F532E"/>
    <w:rsid w:val="009F5A17"/>
    <w:rsid w:val="009F60F8"/>
    <w:rsid w:val="009F652E"/>
    <w:rsid w:val="009F75EF"/>
    <w:rsid w:val="00A0007C"/>
    <w:rsid w:val="00A0035C"/>
    <w:rsid w:val="00A007D2"/>
    <w:rsid w:val="00A00EE3"/>
    <w:rsid w:val="00A01784"/>
    <w:rsid w:val="00A027BA"/>
    <w:rsid w:val="00A0300E"/>
    <w:rsid w:val="00A03104"/>
    <w:rsid w:val="00A05B83"/>
    <w:rsid w:val="00A061EA"/>
    <w:rsid w:val="00A074E6"/>
    <w:rsid w:val="00A07893"/>
    <w:rsid w:val="00A100FC"/>
    <w:rsid w:val="00A10C1E"/>
    <w:rsid w:val="00A124C1"/>
    <w:rsid w:val="00A1369B"/>
    <w:rsid w:val="00A14310"/>
    <w:rsid w:val="00A14855"/>
    <w:rsid w:val="00A154D5"/>
    <w:rsid w:val="00A156AB"/>
    <w:rsid w:val="00A15DD6"/>
    <w:rsid w:val="00A17D51"/>
    <w:rsid w:val="00A2124E"/>
    <w:rsid w:val="00A21F66"/>
    <w:rsid w:val="00A22161"/>
    <w:rsid w:val="00A27F9A"/>
    <w:rsid w:val="00A352FB"/>
    <w:rsid w:val="00A37671"/>
    <w:rsid w:val="00A37775"/>
    <w:rsid w:val="00A41075"/>
    <w:rsid w:val="00A420C4"/>
    <w:rsid w:val="00A427E9"/>
    <w:rsid w:val="00A46BEA"/>
    <w:rsid w:val="00A4781F"/>
    <w:rsid w:val="00A514A7"/>
    <w:rsid w:val="00A51A61"/>
    <w:rsid w:val="00A54917"/>
    <w:rsid w:val="00A55535"/>
    <w:rsid w:val="00A55C75"/>
    <w:rsid w:val="00A56616"/>
    <w:rsid w:val="00A56EB6"/>
    <w:rsid w:val="00A57FEB"/>
    <w:rsid w:val="00A6018F"/>
    <w:rsid w:val="00A60F6E"/>
    <w:rsid w:val="00A61E21"/>
    <w:rsid w:val="00A61E81"/>
    <w:rsid w:val="00A64449"/>
    <w:rsid w:val="00A64E7C"/>
    <w:rsid w:val="00A653A7"/>
    <w:rsid w:val="00A653FB"/>
    <w:rsid w:val="00A6718D"/>
    <w:rsid w:val="00A70699"/>
    <w:rsid w:val="00A70763"/>
    <w:rsid w:val="00A71058"/>
    <w:rsid w:val="00A715FE"/>
    <w:rsid w:val="00A7442B"/>
    <w:rsid w:val="00A77032"/>
    <w:rsid w:val="00A77F84"/>
    <w:rsid w:val="00A80C6A"/>
    <w:rsid w:val="00A81700"/>
    <w:rsid w:val="00A83D19"/>
    <w:rsid w:val="00A86B94"/>
    <w:rsid w:val="00A904FB"/>
    <w:rsid w:val="00A90B2B"/>
    <w:rsid w:val="00A930D8"/>
    <w:rsid w:val="00A93FC6"/>
    <w:rsid w:val="00A949E5"/>
    <w:rsid w:val="00A94FE4"/>
    <w:rsid w:val="00A96588"/>
    <w:rsid w:val="00A97CC0"/>
    <w:rsid w:val="00AA4151"/>
    <w:rsid w:val="00AA4935"/>
    <w:rsid w:val="00AA56D0"/>
    <w:rsid w:val="00AA78AD"/>
    <w:rsid w:val="00AB046E"/>
    <w:rsid w:val="00AB0FD7"/>
    <w:rsid w:val="00AB182E"/>
    <w:rsid w:val="00AB4755"/>
    <w:rsid w:val="00AB4A0D"/>
    <w:rsid w:val="00AB4FDB"/>
    <w:rsid w:val="00AB516B"/>
    <w:rsid w:val="00AB6879"/>
    <w:rsid w:val="00AB69CD"/>
    <w:rsid w:val="00AB6D3B"/>
    <w:rsid w:val="00AB74C5"/>
    <w:rsid w:val="00AB7F16"/>
    <w:rsid w:val="00AC0E70"/>
    <w:rsid w:val="00AC17A7"/>
    <w:rsid w:val="00AC302C"/>
    <w:rsid w:val="00AC4B55"/>
    <w:rsid w:val="00AC515C"/>
    <w:rsid w:val="00AC57D6"/>
    <w:rsid w:val="00AC6045"/>
    <w:rsid w:val="00AD012D"/>
    <w:rsid w:val="00AD0DE0"/>
    <w:rsid w:val="00AD1ADC"/>
    <w:rsid w:val="00AD22BD"/>
    <w:rsid w:val="00AD2C80"/>
    <w:rsid w:val="00AD379F"/>
    <w:rsid w:val="00AD5095"/>
    <w:rsid w:val="00AD529E"/>
    <w:rsid w:val="00AD5950"/>
    <w:rsid w:val="00AD5AC6"/>
    <w:rsid w:val="00AD6511"/>
    <w:rsid w:val="00AD70A5"/>
    <w:rsid w:val="00AE0B19"/>
    <w:rsid w:val="00AE45EB"/>
    <w:rsid w:val="00AE6A05"/>
    <w:rsid w:val="00AE71E2"/>
    <w:rsid w:val="00AE7E7C"/>
    <w:rsid w:val="00AF07BA"/>
    <w:rsid w:val="00AF2149"/>
    <w:rsid w:val="00AF357A"/>
    <w:rsid w:val="00AF3EAD"/>
    <w:rsid w:val="00AF4BB8"/>
    <w:rsid w:val="00AF5BB9"/>
    <w:rsid w:val="00AF6670"/>
    <w:rsid w:val="00AF6788"/>
    <w:rsid w:val="00AF67A5"/>
    <w:rsid w:val="00AF6DE1"/>
    <w:rsid w:val="00AF7856"/>
    <w:rsid w:val="00AF7A7A"/>
    <w:rsid w:val="00B00C51"/>
    <w:rsid w:val="00B00D00"/>
    <w:rsid w:val="00B01983"/>
    <w:rsid w:val="00B026F6"/>
    <w:rsid w:val="00B03016"/>
    <w:rsid w:val="00B056FE"/>
    <w:rsid w:val="00B0594B"/>
    <w:rsid w:val="00B064C9"/>
    <w:rsid w:val="00B06F4A"/>
    <w:rsid w:val="00B07E7D"/>
    <w:rsid w:val="00B10AE2"/>
    <w:rsid w:val="00B14727"/>
    <w:rsid w:val="00B1494A"/>
    <w:rsid w:val="00B15A3A"/>
    <w:rsid w:val="00B15BCB"/>
    <w:rsid w:val="00B16607"/>
    <w:rsid w:val="00B16CF9"/>
    <w:rsid w:val="00B17481"/>
    <w:rsid w:val="00B174EF"/>
    <w:rsid w:val="00B1794D"/>
    <w:rsid w:val="00B17A5F"/>
    <w:rsid w:val="00B2049F"/>
    <w:rsid w:val="00B20950"/>
    <w:rsid w:val="00B209D6"/>
    <w:rsid w:val="00B2299B"/>
    <w:rsid w:val="00B22C66"/>
    <w:rsid w:val="00B22EB8"/>
    <w:rsid w:val="00B24019"/>
    <w:rsid w:val="00B2458C"/>
    <w:rsid w:val="00B26A78"/>
    <w:rsid w:val="00B26C12"/>
    <w:rsid w:val="00B26D0F"/>
    <w:rsid w:val="00B310CB"/>
    <w:rsid w:val="00B31ED9"/>
    <w:rsid w:val="00B32D46"/>
    <w:rsid w:val="00B34294"/>
    <w:rsid w:val="00B35468"/>
    <w:rsid w:val="00B35816"/>
    <w:rsid w:val="00B365F8"/>
    <w:rsid w:val="00B371E1"/>
    <w:rsid w:val="00B374E4"/>
    <w:rsid w:val="00B40729"/>
    <w:rsid w:val="00B40BB5"/>
    <w:rsid w:val="00B4223E"/>
    <w:rsid w:val="00B4254E"/>
    <w:rsid w:val="00B42E1D"/>
    <w:rsid w:val="00B50BB8"/>
    <w:rsid w:val="00B50FD2"/>
    <w:rsid w:val="00B51B57"/>
    <w:rsid w:val="00B5251F"/>
    <w:rsid w:val="00B52AFD"/>
    <w:rsid w:val="00B52E55"/>
    <w:rsid w:val="00B533CF"/>
    <w:rsid w:val="00B53A00"/>
    <w:rsid w:val="00B56263"/>
    <w:rsid w:val="00B57685"/>
    <w:rsid w:val="00B577E2"/>
    <w:rsid w:val="00B60BB9"/>
    <w:rsid w:val="00B6175F"/>
    <w:rsid w:val="00B6199C"/>
    <w:rsid w:val="00B624B2"/>
    <w:rsid w:val="00B63E0F"/>
    <w:rsid w:val="00B6400B"/>
    <w:rsid w:val="00B66E19"/>
    <w:rsid w:val="00B67D30"/>
    <w:rsid w:val="00B7093A"/>
    <w:rsid w:val="00B70B58"/>
    <w:rsid w:val="00B733C5"/>
    <w:rsid w:val="00B73B09"/>
    <w:rsid w:val="00B74454"/>
    <w:rsid w:val="00B7446D"/>
    <w:rsid w:val="00B748BD"/>
    <w:rsid w:val="00B74B29"/>
    <w:rsid w:val="00B80713"/>
    <w:rsid w:val="00B80784"/>
    <w:rsid w:val="00B8238C"/>
    <w:rsid w:val="00B83171"/>
    <w:rsid w:val="00B83AD5"/>
    <w:rsid w:val="00B83B52"/>
    <w:rsid w:val="00B847AD"/>
    <w:rsid w:val="00B86251"/>
    <w:rsid w:val="00B86578"/>
    <w:rsid w:val="00B87CB4"/>
    <w:rsid w:val="00B911B4"/>
    <w:rsid w:val="00B933A0"/>
    <w:rsid w:val="00B93615"/>
    <w:rsid w:val="00B950E7"/>
    <w:rsid w:val="00B95358"/>
    <w:rsid w:val="00B957BB"/>
    <w:rsid w:val="00B95E5C"/>
    <w:rsid w:val="00B9608B"/>
    <w:rsid w:val="00B96921"/>
    <w:rsid w:val="00B96B8E"/>
    <w:rsid w:val="00B97626"/>
    <w:rsid w:val="00BA008F"/>
    <w:rsid w:val="00BA1B5B"/>
    <w:rsid w:val="00BA1FF7"/>
    <w:rsid w:val="00BA2716"/>
    <w:rsid w:val="00BA2D84"/>
    <w:rsid w:val="00BA4208"/>
    <w:rsid w:val="00BA509C"/>
    <w:rsid w:val="00BA58BD"/>
    <w:rsid w:val="00BA59ED"/>
    <w:rsid w:val="00BA5AA3"/>
    <w:rsid w:val="00BA5E1C"/>
    <w:rsid w:val="00BA717B"/>
    <w:rsid w:val="00BA7624"/>
    <w:rsid w:val="00BA789B"/>
    <w:rsid w:val="00BB0C57"/>
    <w:rsid w:val="00BB14C3"/>
    <w:rsid w:val="00BB19C1"/>
    <w:rsid w:val="00BB21CA"/>
    <w:rsid w:val="00BB21FC"/>
    <w:rsid w:val="00BB2A9D"/>
    <w:rsid w:val="00BB3182"/>
    <w:rsid w:val="00BB3512"/>
    <w:rsid w:val="00BB36E5"/>
    <w:rsid w:val="00BB3E2D"/>
    <w:rsid w:val="00BB77BD"/>
    <w:rsid w:val="00BB7E65"/>
    <w:rsid w:val="00BC0694"/>
    <w:rsid w:val="00BC09EC"/>
    <w:rsid w:val="00BC26EC"/>
    <w:rsid w:val="00BC34A2"/>
    <w:rsid w:val="00BC4099"/>
    <w:rsid w:val="00BC7559"/>
    <w:rsid w:val="00BD0626"/>
    <w:rsid w:val="00BD06CF"/>
    <w:rsid w:val="00BD0AA2"/>
    <w:rsid w:val="00BD1ABA"/>
    <w:rsid w:val="00BD34C5"/>
    <w:rsid w:val="00BD618D"/>
    <w:rsid w:val="00BD6C28"/>
    <w:rsid w:val="00BD6C59"/>
    <w:rsid w:val="00BD70C7"/>
    <w:rsid w:val="00BD7D8A"/>
    <w:rsid w:val="00BE120F"/>
    <w:rsid w:val="00BE1A68"/>
    <w:rsid w:val="00BE2BC2"/>
    <w:rsid w:val="00BE346E"/>
    <w:rsid w:val="00BE5C3E"/>
    <w:rsid w:val="00BE75D8"/>
    <w:rsid w:val="00BF07E2"/>
    <w:rsid w:val="00BF13A2"/>
    <w:rsid w:val="00BF20F1"/>
    <w:rsid w:val="00BF2473"/>
    <w:rsid w:val="00BF4771"/>
    <w:rsid w:val="00BF4AFF"/>
    <w:rsid w:val="00BF7E9B"/>
    <w:rsid w:val="00C00610"/>
    <w:rsid w:val="00C02BEF"/>
    <w:rsid w:val="00C037DC"/>
    <w:rsid w:val="00C03B1B"/>
    <w:rsid w:val="00C0484C"/>
    <w:rsid w:val="00C04A80"/>
    <w:rsid w:val="00C04E30"/>
    <w:rsid w:val="00C063DA"/>
    <w:rsid w:val="00C06679"/>
    <w:rsid w:val="00C06765"/>
    <w:rsid w:val="00C070C6"/>
    <w:rsid w:val="00C07873"/>
    <w:rsid w:val="00C07ED6"/>
    <w:rsid w:val="00C10396"/>
    <w:rsid w:val="00C10F15"/>
    <w:rsid w:val="00C10F1C"/>
    <w:rsid w:val="00C11E3E"/>
    <w:rsid w:val="00C123CB"/>
    <w:rsid w:val="00C14C74"/>
    <w:rsid w:val="00C14D62"/>
    <w:rsid w:val="00C15938"/>
    <w:rsid w:val="00C1596B"/>
    <w:rsid w:val="00C159E5"/>
    <w:rsid w:val="00C16910"/>
    <w:rsid w:val="00C16A8A"/>
    <w:rsid w:val="00C17F6F"/>
    <w:rsid w:val="00C2039A"/>
    <w:rsid w:val="00C20EE7"/>
    <w:rsid w:val="00C2355B"/>
    <w:rsid w:val="00C2440C"/>
    <w:rsid w:val="00C26605"/>
    <w:rsid w:val="00C31A36"/>
    <w:rsid w:val="00C328F9"/>
    <w:rsid w:val="00C32BDF"/>
    <w:rsid w:val="00C330BC"/>
    <w:rsid w:val="00C33E9E"/>
    <w:rsid w:val="00C34300"/>
    <w:rsid w:val="00C34334"/>
    <w:rsid w:val="00C34568"/>
    <w:rsid w:val="00C347A9"/>
    <w:rsid w:val="00C34A8A"/>
    <w:rsid w:val="00C370B3"/>
    <w:rsid w:val="00C3747C"/>
    <w:rsid w:val="00C37FFE"/>
    <w:rsid w:val="00C40368"/>
    <w:rsid w:val="00C42A1C"/>
    <w:rsid w:val="00C42A89"/>
    <w:rsid w:val="00C430F3"/>
    <w:rsid w:val="00C43F2B"/>
    <w:rsid w:val="00C44925"/>
    <w:rsid w:val="00C4554C"/>
    <w:rsid w:val="00C457FF"/>
    <w:rsid w:val="00C45BE6"/>
    <w:rsid w:val="00C45D25"/>
    <w:rsid w:val="00C504C5"/>
    <w:rsid w:val="00C50977"/>
    <w:rsid w:val="00C522F9"/>
    <w:rsid w:val="00C526E6"/>
    <w:rsid w:val="00C52B12"/>
    <w:rsid w:val="00C54650"/>
    <w:rsid w:val="00C54719"/>
    <w:rsid w:val="00C55AD6"/>
    <w:rsid w:val="00C562EC"/>
    <w:rsid w:val="00C56B21"/>
    <w:rsid w:val="00C56F3F"/>
    <w:rsid w:val="00C60A3D"/>
    <w:rsid w:val="00C6234E"/>
    <w:rsid w:val="00C623C1"/>
    <w:rsid w:val="00C64676"/>
    <w:rsid w:val="00C64DD1"/>
    <w:rsid w:val="00C64F78"/>
    <w:rsid w:val="00C6579B"/>
    <w:rsid w:val="00C657EB"/>
    <w:rsid w:val="00C65A9A"/>
    <w:rsid w:val="00C66A14"/>
    <w:rsid w:val="00C67711"/>
    <w:rsid w:val="00C67D7D"/>
    <w:rsid w:val="00C702BB"/>
    <w:rsid w:val="00C711FD"/>
    <w:rsid w:val="00C7291A"/>
    <w:rsid w:val="00C73395"/>
    <w:rsid w:val="00C7393A"/>
    <w:rsid w:val="00C74987"/>
    <w:rsid w:val="00C7552B"/>
    <w:rsid w:val="00C75B7A"/>
    <w:rsid w:val="00C76BE0"/>
    <w:rsid w:val="00C774AC"/>
    <w:rsid w:val="00C83E17"/>
    <w:rsid w:val="00C844E3"/>
    <w:rsid w:val="00C85209"/>
    <w:rsid w:val="00C855ED"/>
    <w:rsid w:val="00C86682"/>
    <w:rsid w:val="00C87EE7"/>
    <w:rsid w:val="00C904D4"/>
    <w:rsid w:val="00C91DBC"/>
    <w:rsid w:val="00C9316F"/>
    <w:rsid w:val="00C94472"/>
    <w:rsid w:val="00C94BCA"/>
    <w:rsid w:val="00C94D77"/>
    <w:rsid w:val="00C95259"/>
    <w:rsid w:val="00C95469"/>
    <w:rsid w:val="00C95E39"/>
    <w:rsid w:val="00C9610E"/>
    <w:rsid w:val="00C964C8"/>
    <w:rsid w:val="00C96800"/>
    <w:rsid w:val="00CA00DB"/>
    <w:rsid w:val="00CA043C"/>
    <w:rsid w:val="00CA140B"/>
    <w:rsid w:val="00CA1C99"/>
    <w:rsid w:val="00CA2563"/>
    <w:rsid w:val="00CA3290"/>
    <w:rsid w:val="00CA3600"/>
    <w:rsid w:val="00CA416A"/>
    <w:rsid w:val="00CA5CDD"/>
    <w:rsid w:val="00CA5D45"/>
    <w:rsid w:val="00CA6133"/>
    <w:rsid w:val="00CA693D"/>
    <w:rsid w:val="00CA7827"/>
    <w:rsid w:val="00CB1704"/>
    <w:rsid w:val="00CB2B7B"/>
    <w:rsid w:val="00CB2F83"/>
    <w:rsid w:val="00CB3835"/>
    <w:rsid w:val="00CB3D5E"/>
    <w:rsid w:val="00CB412B"/>
    <w:rsid w:val="00CB4F6E"/>
    <w:rsid w:val="00CB5028"/>
    <w:rsid w:val="00CB50BA"/>
    <w:rsid w:val="00CB58C3"/>
    <w:rsid w:val="00CB60E0"/>
    <w:rsid w:val="00CB7B29"/>
    <w:rsid w:val="00CC1016"/>
    <w:rsid w:val="00CC1602"/>
    <w:rsid w:val="00CC1B17"/>
    <w:rsid w:val="00CC3070"/>
    <w:rsid w:val="00CC3231"/>
    <w:rsid w:val="00CC3A1E"/>
    <w:rsid w:val="00CC3B83"/>
    <w:rsid w:val="00CC68B1"/>
    <w:rsid w:val="00CC6C2B"/>
    <w:rsid w:val="00CC6CCD"/>
    <w:rsid w:val="00CC73EC"/>
    <w:rsid w:val="00CC7A0B"/>
    <w:rsid w:val="00CD140D"/>
    <w:rsid w:val="00CD353E"/>
    <w:rsid w:val="00CD39DA"/>
    <w:rsid w:val="00CD50A5"/>
    <w:rsid w:val="00CD5A03"/>
    <w:rsid w:val="00CD5AD6"/>
    <w:rsid w:val="00CD65DE"/>
    <w:rsid w:val="00CD74C7"/>
    <w:rsid w:val="00CE0DB7"/>
    <w:rsid w:val="00CE1F89"/>
    <w:rsid w:val="00CE2601"/>
    <w:rsid w:val="00CE2EB3"/>
    <w:rsid w:val="00CE30CE"/>
    <w:rsid w:val="00CE4EF3"/>
    <w:rsid w:val="00CE536E"/>
    <w:rsid w:val="00CE57F5"/>
    <w:rsid w:val="00CE653E"/>
    <w:rsid w:val="00CE6FD2"/>
    <w:rsid w:val="00CE7473"/>
    <w:rsid w:val="00CE78F2"/>
    <w:rsid w:val="00CF193D"/>
    <w:rsid w:val="00CF52CB"/>
    <w:rsid w:val="00CF6061"/>
    <w:rsid w:val="00CF687B"/>
    <w:rsid w:val="00CF76EB"/>
    <w:rsid w:val="00CF7B8E"/>
    <w:rsid w:val="00D0036C"/>
    <w:rsid w:val="00D02A7E"/>
    <w:rsid w:val="00D02AF6"/>
    <w:rsid w:val="00D042C0"/>
    <w:rsid w:val="00D052BD"/>
    <w:rsid w:val="00D05501"/>
    <w:rsid w:val="00D058E0"/>
    <w:rsid w:val="00D0617D"/>
    <w:rsid w:val="00D06562"/>
    <w:rsid w:val="00D10472"/>
    <w:rsid w:val="00D10477"/>
    <w:rsid w:val="00D11216"/>
    <w:rsid w:val="00D1188B"/>
    <w:rsid w:val="00D13CE8"/>
    <w:rsid w:val="00D1496C"/>
    <w:rsid w:val="00D14F07"/>
    <w:rsid w:val="00D16390"/>
    <w:rsid w:val="00D1643C"/>
    <w:rsid w:val="00D164ED"/>
    <w:rsid w:val="00D16B3A"/>
    <w:rsid w:val="00D206DA"/>
    <w:rsid w:val="00D21213"/>
    <w:rsid w:val="00D235F7"/>
    <w:rsid w:val="00D23D08"/>
    <w:rsid w:val="00D23EC1"/>
    <w:rsid w:val="00D24DA2"/>
    <w:rsid w:val="00D25086"/>
    <w:rsid w:val="00D2533D"/>
    <w:rsid w:val="00D25F34"/>
    <w:rsid w:val="00D25F84"/>
    <w:rsid w:val="00D26134"/>
    <w:rsid w:val="00D26AEB"/>
    <w:rsid w:val="00D3040C"/>
    <w:rsid w:val="00D32679"/>
    <w:rsid w:val="00D329A2"/>
    <w:rsid w:val="00D32D9D"/>
    <w:rsid w:val="00D33CA7"/>
    <w:rsid w:val="00D33EEA"/>
    <w:rsid w:val="00D344DB"/>
    <w:rsid w:val="00D347FF"/>
    <w:rsid w:val="00D34B17"/>
    <w:rsid w:val="00D34D2F"/>
    <w:rsid w:val="00D35430"/>
    <w:rsid w:val="00D37F00"/>
    <w:rsid w:val="00D40D62"/>
    <w:rsid w:val="00D421B1"/>
    <w:rsid w:val="00D43901"/>
    <w:rsid w:val="00D43DA8"/>
    <w:rsid w:val="00D44151"/>
    <w:rsid w:val="00D454B9"/>
    <w:rsid w:val="00D457D2"/>
    <w:rsid w:val="00D45A61"/>
    <w:rsid w:val="00D45D02"/>
    <w:rsid w:val="00D46138"/>
    <w:rsid w:val="00D46F15"/>
    <w:rsid w:val="00D47381"/>
    <w:rsid w:val="00D47F41"/>
    <w:rsid w:val="00D508EF"/>
    <w:rsid w:val="00D50BEE"/>
    <w:rsid w:val="00D52F10"/>
    <w:rsid w:val="00D5323A"/>
    <w:rsid w:val="00D53B15"/>
    <w:rsid w:val="00D5669E"/>
    <w:rsid w:val="00D5716D"/>
    <w:rsid w:val="00D57F14"/>
    <w:rsid w:val="00D608F5"/>
    <w:rsid w:val="00D6110C"/>
    <w:rsid w:val="00D61B39"/>
    <w:rsid w:val="00D61F57"/>
    <w:rsid w:val="00D6473D"/>
    <w:rsid w:val="00D64CA4"/>
    <w:rsid w:val="00D65CD5"/>
    <w:rsid w:val="00D66724"/>
    <w:rsid w:val="00D66772"/>
    <w:rsid w:val="00D67024"/>
    <w:rsid w:val="00D67CBA"/>
    <w:rsid w:val="00D70615"/>
    <w:rsid w:val="00D70C9C"/>
    <w:rsid w:val="00D72181"/>
    <w:rsid w:val="00D73C4B"/>
    <w:rsid w:val="00D74814"/>
    <w:rsid w:val="00D75B25"/>
    <w:rsid w:val="00D76EB9"/>
    <w:rsid w:val="00D77C81"/>
    <w:rsid w:val="00D77EB9"/>
    <w:rsid w:val="00D8081F"/>
    <w:rsid w:val="00D819FF"/>
    <w:rsid w:val="00D833C2"/>
    <w:rsid w:val="00D84857"/>
    <w:rsid w:val="00D84F3D"/>
    <w:rsid w:val="00D8582B"/>
    <w:rsid w:val="00D860AB"/>
    <w:rsid w:val="00D865C4"/>
    <w:rsid w:val="00D90DCF"/>
    <w:rsid w:val="00D91F10"/>
    <w:rsid w:val="00D92A34"/>
    <w:rsid w:val="00D92BF6"/>
    <w:rsid w:val="00D93512"/>
    <w:rsid w:val="00D93582"/>
    <w:rsid w:val="00D938EA"/>
    <w:rsid w:val="00D94034"/>
    <w:rsid w:val="00D943A6"/>
    <w:rsid w:val="00D97F40"/>
    <w:rsid w:val="00DA10EC"/>
    <w:rsid w:val="00DA12CC"/>
    <w:rsid w:val="00DA15F9"/>
    <w:rsid w:val="00DA1A96"/>
    <w:rsid w:val="00DA1F11"/>
    <w:rsid w:val="00DA1FDB"/>
    <w:rsid w:val="00DA3268"/>
    <w:rsid w:val="00DA3B35"/>
    <w:rsid w:val="00DA4CE7"/>
    <w:rsid w:val="00DA6245"/>
    <w:rsid w:val="00DA66EF"/>
    <w:rsid w:val="00DA676B"/>
    <w:rsid w:val="00DA7547"/>
    <w:rsid w:val="00DB007A"/>
    <w:rsid w:val="00DB049D"/>
    <w:rsid w:val="00DB14A4"/>
    <w:rsid w:val="00DB31AC"/>
    <w:rsid w:val="00DB32AB"/>
    <w:rsid w:val="00DB3385"/>
    <w:rsid w:val="00DB3E21"/>
    <w:rsid w:val="00DB44C9"/>
    <w:rsid w:val="00DB45D8"/>
    <w:rsid w:val="00DB4856"/>
    <w:rsid w:val="00DB54E6"/>
    <w:rsid w:val="00DB60CE"/>
    <w:rsid w:val="00DB6B69"/>
    <w:rsid w:val="00DC07BD"/>
    <w:rsid w:val="00DC0FEF"/>
    <w:rsid w:val="00DC1061"/>
    <w:rsid w:val="00DC1115"/>
    <w:rsid w:val="00DC2256"/>
    <w:rsid w:val="00DC241B"/>
    <w:rsid w:val="00DC4B80"/>
    <w:rsid w:val="00DC4BCA"/>
    <w:rsid w:val="00DC68AF"/>
    <w:rsid w:val="00DC6A9B"/>
    <w:rsid w:val="00DC7771"/>
    <w:rsid w:val="00DD015D"/>
    <w:rsid w:val="00DD05AE"/>
    <w:rsid w:val="00DD0D5D"/>
    <w:rsid w:val="00DD12B6"/>
    <w:rsid w:val="00DD181C"/>
    <w:rsid w:val="00DD2076"/>
    <w:rsid w:val="00DD2104"/>
    <w:rsid w:val="00DD2BB1"/>
    <w:rsid w:val="00DD3084"/>
    <w:rsid w:val="00DD30BD"/>
    <w:rsid w:val="00DD493C"/>
    <w:rsid w:val="00DD5AA3"/>
    <w:rsid w:val="00DD70D2"/>
    <w:rsid w:val="00DE0CB2"/>
    <w:rsid w:val="00DE2EDA"/>
    <w:rsid w:val="00DE375B"/>
    <w:rsid w:val="00DE54E7"/>
    <w:rsid w:val="00DE6F31"/>
    <w:rsid w:val="00DF053F"/>
    <w:rsid w:val="00DF1893"/>
    <w:rsid w:val="00DF1F13"/>
    <w:rsid w:val="00DF2E0B"/>
    <w:rsid w:val="00DF36E6"/>
    <w:rsid w:val="00DF3C94"/>
    <w:rsid w:val="00DF57D3"/>
    <w:rsid w:val="00DF5F3A"/>
    <w:rsid w:val="00DF6BFB"/>
    <w:rsid w:val="00DF7001"/>
    <w:rsid w:val="00E0073B"/>
    <w:rsid w:val="00E00CC3"/>
    <w:rsid w:val="00E0145E"/>
    <w:rsid w:val="00E015D3"/>
    <w:rsid w:val="00E020B6"/>
    <w:rsid w:val="00E024A3"/>
    <w:rsid w:val="00E029E1"/>
    <w:rsid w:val="00E03271"/>
    <w:rsid w:val="00E05E72"/>
    <w:rsid w:val="00E066FE"/>
    <w:rsid w:val="00E06DD5"/>
    <w:rsid w:val="00E07E36"/>
    <w:rsid w:val="00E1014C"/>
    <w:rsid w:val="00E102C5"/>
    <w:rsid w:val="00E103C2"/>
    <w:rsid w:val="00E1084B"/>
    <w:rsid w:val="00E10F3E"/>
    <w:rsid w:val="00E112FA"/>
    <w:rsid w:val="00E12A6E"/>
    <w:rsid w:val="00E12F3C"/>
    <w:rsid w:val="00E13499"/>
    <w:rsid w:val="00E139BB"/>
    <w:rsid w:val="00E13C40"/>
    <w:rsid w:val="00E16923"/>
    <w:rsid w:val="00E207C1"/>
    <w:rsid w:val="00E20A9A"/>
    <w:rsid w:val="00E221EC"/>
    <w:rsid w:val="00E22313"/>
    <w:rsid w:val="00E23092"/>
    <w:rsid w:val="00E23BD9"/>
    <w:rsid w:val="00E263E4"/>
    <w:rsid w:val="00E26591"/>
    <w:rsid w:val="00E26B7C"/>
    <w:rsid w:val="00E26E4C"/>
    <w:rsid w:val="00E27040"/>
    <w:rsid w:val="00E27A61"/>
    <w:rsid w:val="00E30007"/>
    <w:rsid w:val="00E30966"/>
    <w:rsid w:val="00E32D7E"/>
    <w:rsid w:val="00E340BD"/>
    <w:rsid w:val="00E34E53"/>
    <w:rsid w:val="00E35354"/>
    <w:rsid w:val="00E36E71"/>
    <w:rsid w:val="00E36EAC"/>
    <w:rsid w:val="00E378A6"/>
    <w:rsid w:val="00E37D18"/>
    <w:rsid w:val="00E401B9"/>
    <w:rsid w:val="00E40722"/>
    <w:rsid w:val="00E415E6"/>
    <w:rsid w:val="00E42434"/>
    <w:rsid w:val="00E431E5"/>
    <w:rsid w:val="00E46D4E"/>
    <w:rsid w:val="00E4751C"/>
    <w:rsid w:val="00E476B3"/>
    <w:rsid w:val="00E53380"/>
    <w:rsid w:val="00E54D56"/>
    <w:rsid w:val="00E55DD1"/>
    <w:rsid w:val="00E5654F"/>
    <w:rsid w:val="00E60012"/>
    <w:rsid w:val="00E61776"/>
    <w:rsid w:val="00E622F7"/>
    <w:rsid w:val="00E63FB7"/>
    <w:rsid w:val="00E640E1"/>
    <w:rsid w:val="00E64B87"/>
    <w:rsid w:val="00E665EA"/>
    <w:rsid w:val="00E6697A"/>
    <w:rsid w:val="00E671B9"/>
    <w:rsid w:val="00E7080E"/>
    <w:rsid w:val="00E71171"/>
    <w:rsid w:val="00E711E0"/>
    <w:rsid w:val="00E7278A"/>
    <w:rsid w:val="00E74351"/>
    <w:rsid w:val="00E743C9"/>
    <w:rsid w:val="00E75259"/>
    <w:rsid w:val="00E75C91"/>
    <w:rsid w:val="00E765DB"/>
    <w:rsid w:val="00E76B75"/>
    <w:rsid w:val="00E77206"/>
    <w:rsid w:val="00E825A5"/>
    <w:rsid w:val="00E85000"/>
    <w:rsid w:val="00E8769E"/>
    <w:rsid w:val="00E90141"/>
    <w:rsid w:val="00E93017"/>
    <w:rsid w:val="00E93BC6"/>
    <w:rsid w:val="00E94815"/>
    <w:rsid w:val="00E9564E"/>
    <w:rsid w:val="00E9647E"/>
    <w:rsid w:val="00E9652E"/>
    <w:rsid w:val="00E9751B"/>
    <w:rsid w:val="00E97FAD"/>
    <w:rsid w:val="00EA1184"/>
    <w:rsid w:val="00EA2264"/>
    <w:rsid w:val="00EA22A4"/>
    <w:rsid w:val="00EA2AEF"/>
    <w:rsid w:val="00EA3194"/>
    <w:rsid w:val="00EA349E"/>
    <w:rsid w:val="00EA3B51"/>
    <w:rsid w:val="00EA3EED"/>
    <w:rsid w:val="00EA43C5"/>
    <w:rsid w:val="00EA60D1"/>
    <w:rsid w:val="00EA7423"/>
    <w:rsid w:val="00EB04CD"/>
    <w:rsid w:val="00EB07DF"/>
    <w:rsid w:val="00EB12FF"/>
    <w:rsid w:val="00EB3B84"/>
    <w:rsid w:val="00EB3CDA"/>
    <w:rsid w:val="00EB46A4"/>
    <w:rsid w:val="00EB5254"/>
    <w:rsid w:val="00EB5D32"/>
    <w:rsid w:val="00EB6778"/>
    <w:rsid w:val="00EB6A7A"/>
    <w:rsid w:val="00EC081C"/>
    <w:rsid w:val="00EC208F"/>
    <w:rsid w:val="00EC29D0"/>
    <w:rsid w:val="00EC3783"/>
    <w:rsid w:val="00EC4A53"/>
    <w:rsid w:val="00EC5789"/>
    <w:rsid w:val="00EC5E99"/>
    <w:rsid w:val="00EC7381"/>
    <w:rsid w:val="00EC7840"/>
    <w:rsid w:val="00EC78A4"/>
    <w:rsid w:val="00ED0037"/>
    <w:rsid w:val="00ED0265"/>
    <w:rsid w:val="00ED026D"/>
    <w:rsid w:val="00ED04BD"/>
    <w:rsid w:val="00ED1F7A"/>
    <w:rsid w:val="00ED2012"/>
    <w:rsid w:val="00ED4610"/>
    <w:rsid w:val="00ED546B"/>
    <w:rsid w:val="00ED59E2"/>
    <w:rsid w:val="00ED6F58"/>
    <w:rsid w:val="00ED796E"/>
    <w:rsid w:val="00EE0EF3"/>
    <w:rsid w:val="00EE13D5"/>
    <w:rsid w:val="00EE1B40"/>
    <w:rsid w:val="00EE2B06"/>
    <w:rsid w:val="00EE2E12"/>
    <w:rsid w:val="00EE3382"/>
    <w:rsid w:val="00EE57DA"/>
    <w:rsid w:val="00EE6082"/>
    <w:rsid w:val="00EE7219"/>
    <w:rsid w:val="00EF03C8"/>
    <w:rsid w:val="00EF0E22"/>
    <w:rsid w:val="00EF1577"/>
    <w:rsid w:val="00EF1E22"/>
    <w:rsid w:val="00EF31A2"/>
    <w:rsid w:val="00EF32EB"/>
    <w:rsid w:val="00EF380F"/>
    <w:rsid w:val="00EF3C0E"/>
    <w:rsid w:val="00EF43B8"/>
    <w:rsid w:val="00EF4963"/>
    <w:rsid w:val="00EF4A48"/>
    <w:rsid w:val="00EF547A"/>
    <w:rsid w:val="00EF5B4D"/>
    <w:rsid w:val="00EF5E6B"/>
    <w:rsid w:val="00EF6584"/>
    <w:rsid w:val="00EF6640"/>
    <w:rsid w:val="00EF725F"/>
    <w:rsid w:val="00F00D71"/>
    <w:rsid w:val="00F00EB5"/>
    <w:rsid w:val="00F010CC"/>
    <w:rsid w:val="00F01735"/>
    <w:rsid w:val="00F02E41"/>
    <w:rsid w:val="00F02FFA"/>
    <w:rsid w:val="00F03446"/>
    <w:rsid w:val="00F03F32"/>
    <w:rsid w:val="00F03F37"/>
    <w:rsid w:val="00F0488B"/>
    <w:rsid w:val="00F05B10"/>
    <w:rsid w:val="00F0660D"/>
    <w:rsid w:val="00F106FB"/>
    <w:rsid w:val="00F10E04"/>
    <w:rsid w:val="00F11B9F"/>
    <w:rsid w:val="00F11EA8"/>
    <w:rsid w:val="00F11F6C"/>
    <w:rsid w:val="00F12010"/>
    <w:rsid w:val="00F12433"/>
    <w:rsid w:val="00F12E33"/>
    <w:rsid w:val="00F170E0"/>
    <w:rsid w:val="00F171B3"/>
    <w:rsid w:val="00F17575"/>
    <w:rsid w:val="00F20ED0"/>
    <w:rsid w:val="00F21B0F"/>
    <w:rsid w:val="00F237F7"/>
    <w:rsid w:val="00F24649"/>
    <w:rsid w:val="00F2487D"/>
    <w:rsid w:val="00F24AB4"/>
    <w:rsid w:val="00F26182"/>
    <w:rsid w:val="00F277E3"/>
    <w:rsid w:val="00F301FD"/>
    <w:rsid w:val="00F30244"/>
    <w:rsid w:val="00F30A93"/>
    <w:rsid w:val="00F324EF"/>
    <w:rsid w:val="00F33123"/>
    <w:rsid w:val="00F33DBC"/>
    <w:rsid w:val="00F3483D"/>
    <w:rsid w:val="00F35889"/>
    <w:rsid w:val="00F35982"/>
    <w:rsid w:val="00F35C33"/>
    <w:rsid w:val="00F35FFF"/>
    <w:rsid w:val="00F3608C"/>
    <w:rsid w:val="00F364E8"/>
    <w:rsid w:val="00F36B20"/>
    <w:rsid w:val="00F3783D"/>
    <w:rsid w:val="00F4074D"/>
    <w:rsid w:val="00F41365"/>
    <w:rsid w:val="00F41C5E"/>
    <w:rsid w:val="00F41F0A"/>
    <w:rsid w:val="00F42043"/>
    <w:rsid w:val="00F45EF8"/>
    <w:rsid w:val="00F46D7C"/>
    <w:rsid w:val="00F47BFD"/>
    <w:rsid w:val="00F504FD"/>
    <w:rsid w:val="00F50C8B"/>
    <w:rsid w:val="00F5165D"/>
    <w:rsid w:val="00F54BEA"/>
    <w:rsid w:val="00F55643"/>
    <w:rsid w:val="00F5616C"/>
    <w:rsid w:val="00F604F6"/>
    <w:rsid w:val="00F6128A"/>
    <w:rsid w:val="00F61315"/>
    <w:rsid w:val="00F61641"/>
    <w:rsid w:val="00F61786"/>
    <w:rsid w:val="00F62606"/>
    <w:rsid w:val="00F627F1"/>
    <w:rsid w:val="00F62A38"/>
    <w:rsid w:val="00F62EEA"/>
    <w:rsid w:val="00F63854"/>
    <w:rsid w:val="00F65347"/>
    <w:rsid w:val="00F6540F"/>
    <w:rsid w:val="00F66506"/>
    <w:rsid w:val="00F669B5"/>
    <w:rsid w:val="00F67150"/>
    <w:rsid w:val="00F67200"/>
    <w:rsid w:val="00F70ECF"/>
    <w:rsid w:val="00F716F2"/>
    <w:rsid w:val="00F72111"/>
    <w:rsid w:val="00F72C21"/>
    <w:rsid w:val="00F730AD"/>
    <w:rsid w:val="00F80530"/>
    <w:rsid w:val="00F81E7F"/>
    <w:rsid w:val="00F81F58"/>
    <w:rsid w:val="00F81FDD"/>
    <w:rsid w:val="00F82188"/>
    <w:rsid w:val="00F84C3C"/>
    <w:rsid w:val="00F85104"/>
    <w:rsid w:val="00F8515B"/>
    <w:rsid w:val="00F86834"/>
    <w:rsid w:val="00F873DB"/>
    <w:rsid w:val="00F90249"/>
    <w:rsid w:val="00F93D85"/>
    <w:rsid w:val="00F94EC7"/>
    <w:rsid w:val="00F953E8"/>
    <w:rsid w:val="00F974B0"/>
    <w:rsid w:val="00F975E3"/>
    <w:rsid w:val="00FA01F2"/>
    <w:rsid w:val="00FA3613"/>
    <w:rsid w:val="00FA399B"/>
    <w:rsid w:val="00FA5A37"/>
    <w:rsid w:val="00FA5AE6"/>
    <w:rsid w:val="00FA6EEF"/>
    <w:rsid w:val="00FA701A"/>
    <w:rsid w:val="00FA7336"/>
    <w:rsid w:val="00FA7E9C"/>
    <w:rsid w:val="00FB0FEE"/>
    <w:rsid w:val="00FB1C17"/>
    <w:rsid w:val="00FB2542"/>
    <w:rsid w:val="00FB44F6"/>
    <w:rsid w:val="00FB53BD"/>
    <w:rsid w:val="00FB73A5"/>
    <w:rsid w:val="00FC2016"/>
    <w:rsid w:val="00FC2D1E"/>
    <w:rsid w:val="00FC41DB"/>
    <w:rsid w:val="00FC4354"/>
    <w:rsid w:val="00FC46EB"/>
    <w:rsid w:val="00FC482D"/>
    <w:rsid w:val="00FC4C89"/>
    <w:rsid w:val="00FC5418"/>
    <w:rsid w:val="00FC5A8E"/>
    <w:rsid w:val="00FC5B6B"/>
    <w:rsid w:val="00FC60E8"/>
    <w:rsid w:val="00FC6303"/>
    <w:rsid w:val="00FC7083"/>
    <w:rsid w:val="00FD05B5"/>
    <w:rsid w:val="00FD11DA"/>
    <w:rsid w:val="00FD24F8"/>
    <w:rsid w:val="00FD30A9"/>
    <w:rsid w:val="00FD342C"/>
    <w:rsid w:val="00FD545A"/>
    <w:rsid w:val="00FD59B6"/>
    <w:rsid w:val="00FD72B3"/>
    <w:rsid w:val="00FE0273"/>
    <w:rsid w:val="00FE2620"/>
    <w:rsid w:val="00FE38F7"/>
    <w:rsid w:val="00FE3BCA"/>
    <w:rsid w:val="00FE3E6E"/>
    <w:rsid w:val="00FE502D"/>
    <w:rsid w:val="00FE5510"/>
    <w:rsid w:val="00FE6FDD"/>
    <w:rsid w:val="00FE787F"/>
    <w:rsid w:val="00FF2B14"/>
    <w:rsid w:val="00FF2E8D"/>
    <w:rsid w:val="00FF49E2"/>
    <w:rsid w:val="00FF745F"/>
    <w:rsid w:val="00FF7B15"/>
    <w:rsid w:val="016348FD"/>
    <w:rsid w:val="0210501F"/>
    <w:rsid w:val="023E68FB"/>
    <w:rsid w:val="029C4DE6"/>
    <w:rsid w:val="03631380"/>
    <w:rsid w:val="0475505E"/>
    <w:rsid w:val="05A14F91"/>
    <w:rsid w:val="06AF3684"/>
    <w:rsid w:val="06B042CD"/>
    <w:rsid w:val="07E038E8"/>
    <w:rsid w:val="080659C6"/>
    <w:rsid w:val="084125AE"/>
    <w:rsid w:val="0925677D"/>
    <w:rsid w:val="09CB535A"/>
    <w:rsid w:val="0B310B66"/>
    <w:rsid w:val="0B7B5FB0"/>
    <w:rsid w:val="0D5E59FB"/>
    <w:rsid w:val="0DE767B1"/>
    <w:rsid w:val="0EB11898"/>
    <w:rsid w:val="0EEC06D8"/>
    <w:rsid w:val="0FDB2A12"/>
    <w:rsid w:val="10517EA5"/>
    <w:rsid w:val="11A03DC9"/>
    <w:rsid w:val="120E28FB"/>
    <w:rsid w:val="1255519F"/>
    <w:rsid w:val="12C54559"/>
    <w:rsid w:val="131A6CCD"/>
    <w:rsid w:val="132D32BA"/>
    <w:rsid w:val="13B9747D"/>
    <w:rsid w:val="140D7929"/>
    <w:rsid w:val="14474A22"/>
    <w:rsid w:val="149B4612"/>
    <w:rsid w:val="14EB162B"/>
    <w:rsid w:val="15517106"/>
    <w:rsid w:val="155B0D1A"/>
    <w:rsid w:val="16983918"/>
    <w:rsid w:val="16DD0A7C"/>
    <w:rsid w:val="17996C95"/>
    <w:rsid w:val="197E6F57"/>
    <w:rsid w:val="1BB41BF4"/>
    <w:rsid w:val="1C1F3F30"/>
    <w:rsid w:val="1C4A05F8"/>
    <w:rsid w:val="1D0443F5"/>
    <w:rsid w:val="1E016C54"/>
    <w:rsid w:val="1E0F4A61"/>
    <w:rsid w:val="1E1C5EBA"/>
    <w:rsid w:val="1EC2785D"/>
    <w:rsid w:val="1EE05DD3"/>
    <w:rsid w:val="20254EC3"/>
    <w:rsid w:val="21A858A7"/>
    <w:rsid w:val="226E76C3"/>
    <w:rsid w:val="23404C0D"/>
    <w:rsid w:val="23C6133F"/>
    <w:rsid w:val="24102138"/>
    <w:rsid w:val="24787B57"/>
    <w:rsid w:val="24F05029"/>
    <w:rsid w:val="25621507"/>
    <w:rsid w:val="25A57222"/>
    <w:rsid w:val="25B119B5"/>
    <w:rsid w:val="26A533F5"/>
    <w:rsid w:val="28F53268"/>
    <w:rsid w:val="29560338"/>
    <w:rsid w:val="29CF7218"/>
    <w:rsid w:val="2B307033"/>
    <w:rsid w:val="2C281577"/>
    <w:rsid w:val="2D31237B"/>
    <w:rsid w:val="2D584173"/>
    <w:rsid w:val="2E953B0D"/>
    <w:rsid w:val="2FAB4C96"/>
    <w:rsid w:val="2FE65C05"/>
    <w:rsid w:val="313B2B55"/>
    <w:rsid w:val="32086374"/>
    <w:rsid w:val="32E20907"/>
    <w:rsid w:val="331B6105"/>
    <w:rsid w:val="331C6058"/>
    <w:rsid w:val="33541CF7"/>
    <w:rsid w:val="3510699D"/>
    <w:rsid w:val="3572793B"/>
    <w:rsid w:val="35DC3C36"/>
    <w:rsid w:val="36CD6FED"/>
    <w:rsid w:val="370B41DA"/>
    <w:rsid w:val="37CA4679"/>
    <w:rsid w:val="39C73D2B"/>
    <w:rsid w:val="39F61D71"/>
    <w:rsid w:val="3A1F37E7"/>
    <w:rsid w:val="3B440B41"/>
    <w:rsid w:val="3B550ADC"/>
    <w:rsid w:val="3BC06797"/>
    <w:rsid w:val="3C263F3D"/>
    <w:rsid w:val="3C2A54F7"/>
    <w:rsid w:val="3D612AF7"/>
    <w:rsid w:val="3D775F60"/>
    <w:rsid w:val="3E7C5347"/>
    <w:rsid w:val="3ED73AA8"/>
    <w:rsid w:val="3F6E2720"/>
    <w:rsid w:val="3FF74F59"/>
    <w:rsid w:val="4168543C"/>
    <w:rsid w:val="41940D75"/>
    <w:rsid w:val="41B177CB"/>
    <w:rsid w:val="420E64EB"/>
    <w:rsid w:val="438E45DF"/>
    <w:rsid w:val="43EC3731"/>
    <w:rsid w:val="446B764F"/>
    <w:rsid w:val="447F06F9"/>
    <w:rsid w:val="45321C18"/>
    <w:rsid w:val="462425BA"/>
    <w:rsid w:val="46901553"/>
    <w:rsid w:val="46BB7E19"/>
    <w:rsid w:val="46F863AF"/>
    <w:rsid w:val="47607C0F"/>
    <w:rsid w:val="478168DD"/>
    <w:rsid w:val="47DD72AF"/>
    <w:rsid w:val="486636D8"/>
    <w:rsid w:val="489A6511"/>
    <w:rsid w:val="49041A60"/>
    <w:rsid w:val="495E19D1"/>
    <w:rsid w:val="4A661E0E"/>
    <w:rsid w:val="4A9E67FA"/>
    <w:rsid w:val="4BE347CE"/>
    <w:rsid w:val="4D077191"/>
    <w:rsid w:val="4D647E3E"/>
    <w:rsid w:val="4DDC797C"/>
    <w:rsid w:val="4DE80860"/>
    <w:rsid w:val="4E324158"/>
    <w:rsid w:val="4E872C30"/>
    <w:rsid w:val="4F211D8B"/>
    <w:rsid w:val="4F9A758A"/>
    <w:rsid w:val="500C2385"/>
    <w:rsid w:val="5061750A"/>
    <w:rsid w:val="50C76663"/>
    <w:rsid w:val="534C0841"/>
    <w:rsid w:val="536740F0"/>
    <w:rsid w:val="54186A87"/>
    <w:rsid w:val="54277E31"/>
    <w:rsid w:val="54C92E7F"/>
    <w:rsid w:val="562035D8"/>
    <w:rsid w:val="573E6118"/>
    <w:rsid w:val="5742551F"/>
    <w:rsid w:val="574B69D7"/>
    <w:rsid w:val="5755318B"/>
    <w:rsid w:val="57C644F1"/>
    <w:rsid w:val="586413C3"/>
    <w:rsid w:val="588E5626"/>
    <w:rsid w:val="59B64F6B"/>
    <w:rsid w:val="5ACD7484"/>
    <w:rsid w:val="5BC47EE6"/>
    <w:rsid w:val="5D5B475A"/>
    <w:rsid w:val="5E650765"/>
    <w:rsid w:val="5E7A79CF"/>
    <w:rsid w:val="5F2C4A61"/>
    <w:rsid w:val="60077CD1"/>
    <w:rsid w:val="60776633"/>
    <w:rsid w:val="60822DFD"/>
    <w:rsid w:val="612742F0"/>
    <w:rsid w:val="61A00F3D"/>
    <w:rsid w:val="61B677DD"/>
    <w:rsid w:val="64383EFC"/>
    <w:rsid w:val="659D7CC2"/>
    <w:rsid w:val="66D457C1"/>
    <w:rsid w:val="66D5386B"/>
    <w:rsid w:val="66DF73D5"/>
    <w:rsid w:val="67BF471F"/>
    <w:rsid w:val="6A150E82"/>
    <w:rsid w:val="6A2151A2"/>
    <w:rsid w:val="6AE849F3"/>
    <w:rsid w:val="6BCA157E"/>
    <w:rsid w:val="6C697C1A"/>
    <w:rsid w:val="6CDB60A6"/>
    <w:rsid w:val="6E732CC4"/>
    <w:rsid w:val="6EBF31DC"/>
    <w:rsid w:val="6F772368"/>
    <w:rsid w:val="71140B24"/>
    <w:rsid w:val="717148AB"/>
    <w:rsid w:val="71A22E75"/>
    <w:rsid w:val="727A779D"/>
    <w:rsid w:val="727F30E6"/>
    <w:rsid w:val="72A2493C"/>
    <w:rsid w:val="737115E9"/>
    <w:rsid w:val="741729C0"/>
    <w:rsid w:val="752E2E69"/>
    <w:rsid w:val="764F6E03"/>
    <w:rsid w:val="76D07CAF"/>
    <w:rsid w:val="77AA1C36"/>
    <w:rsid w:val="787D06DA"/>
    <w:rsid w:val="7AFB2D7E"/>
    <w:rsid w:val="7B7C20E7"/>
    <w:rsid w:val="7B8067E6"/>
    <w:rsid w:val="7BA022FF"/>
    <w:rsid w:val="7CA60690"/>
    <w:rsid w:val="7F1A7C8D"/>
    <w:rsid w:val="7F7F77E7"/>
    <w:rsid w:val="7FED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63"/>
    <w:qFormat/>
    <w:uiPriority w:val="0"/>
    <w:pPr>
      <w:tabs>
        <w:tab w:val="left" w:pos="992"/>
      </w:tabs>
      <w:spacing w:before="240" w:after="60"/>
      <w:ind w:left="992" w:hanging="992"/>
      <w:jc w:val="left"/>
      <w:outlineLvl w:val="4"/>
    </w:pPr>
    <w:rPr>
      <w:rFonts w:ascii="Arial" w:hAnsi="Arial"/>
      <w:kern w:val="0"/>
      <w:sz w:val="22"/>
      <w:szCs w:val="20"/>
      <w:lang w:val="en-CA" w:eastAsia="en-US"/>
    </w:rPr>
  </w:style>
  <w:style w:type="paragraph" w:styleId="8">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64"/>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
    <w:qFormat/>
    <w:uiPriority w:val="0"/>
    <w:pPr>
      <w:spacing w:after="120"/>
    </w:pPr>
  </w:style>
  <w:style w:type="paragraph" w:styleId="12">
    <w:name w:val="toc 7"/>
    <w:basedOn w:val="1"/>
    <w:next w:val="1"/>
    <w:unhideWhenUsed/>
    <w:qFormat/>
    <w:uiPriority w:val="39"/>
    <w:pPr>
      <w:ind w:left="1260"/>
      <w:jc w:val="left"/>
    </w:pPr>
    <w:rPr>
      <w:rFonts w:ascii="等线" w:eastAsia="等线"/>
      <w:sz w:val="20"/>
      <w:szCs w:val="20"/>
    </w:rPr>
  </w:style>
  <w:style w:type="paragraph" w:styleId="13">
    <w:name w:val="Normal Indent"/>
    <w:basedOn w:val="1"/>
    <w:link w:val="6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65"/>
    <w:qFormat/>
    <w:uiPriority w:val="0"/>
    <w:pPr>
      <w:jc w:val="left"/>
    </w:pPr>
  </w:style>
  <w:style w:type="paragraph" w:styleId="16">
    <w:name w:val="Body Text 3"/>
    <w:basedOn w:val="1"/>
    <w:link w:val="66"/>
    <w:qFormat/>
    <w:uiPriority w:val="0"/>
    <w:rPr>
      <w:rFonts w:ascii="宋体"/>
      <w:sz w:val="24"/>
      <w:szCs w:val="20"/>
    </w:rPr>
  </w:style>
  <w:style w:type="paragraph" w:styleId="17">
    <w:name w:val="Body Text Indent"/>
    <w:basedOn w:val="1"/>
    <w:link w:val="68"/>
    <w:qFormat/>
    <w:uiPriority w:val="0"/>
    <w:pPr>
      <w:spacing w:after="120"/>
      <w:ind w:left="420" w:leftChars="200"/>
    </w:pPr>
  </w:style>
  <w:style w:type="paragraph" w:styleId="18">
    <w:name w:val="toc 5"/>
    <w:basedOn w:val="1"/>
    <w:next w:val="1"/>
    <w:unhideWhenUsed/>
    <w:qFormat/>
    <w:uiPriority w:val="39"/>
    <w:pPr>
      <w:ind w:left="840"/>
      <w:jc w:val="left"/>
    </w:pPr>
    <w:rPr>
      <w:rFonts w:ascii="等线" w:eastAsia="等线"/>
      <w:sz w:val="20"/>
      <w:szCs w:val="20"/>
    </w:rPr>
  </w:style>
  <w:style w:type="paragraph" w:styleId="19">
    <w:name w:val="toc 3"/>
    <w:basedOn w:val="1"/>
    <w:next w:val="1"/>
    <w:qFormat/>
    <w:uiPriority w:val="0"/>
    <w:pPr>
      <w:ind w:left="420"/>
      <w:jc w:val="left"/>
    </w:pPr>
    <w:rPr>
      <w:rFonts w:ascii="等线" w:eastAsia="等线"/>
      <w:sz w:val="20"/>
      <w:szCs w:val="20"/>
    </w:rPr>
  </w:style>
  <w:style w:type="paragraph" w:styleId="20">
    <w:name w:val="Plain Text"/>
    <w:basedOn w:val="1"/>
    <w:next w:val="1"/>
    <w:link w:val="69"/>
    <w:qFormat/>
    <w:uiPriority w:val="99"/>
    <w:rPr>
      <w:rFonts w:ascii="宋体" w:hAnsi="Courier New"/>
      <w:szCs w:val="20"/>
    </w:rPr>
  </w:style>
  <w:style w:type="paragraph" w:styleId="21">
    <w:name w:val="toc 8"/>
    <w:basedOn w:val="1"/>
    <w:next w:val="1"/>
    <w:unhideWhenUsed/>
    <w:qFormat/>
    <w:uiPriority w:val="39"/>
    <w:pPr>
      <w:ind w:left="1470"/>
      <w:jc w:val="left"/>
    </w:pPr>
    <w:rPr>
      <w:rFonts w:ascii="等线" w:eastAsia="等线"/>
      <w:sz w:val="20"/>
      <w:szCs w:val="20"/>
    </w:rPr>
  </w:style>
  <w:style w:type="paragraph" w:styleId="22">
    <w:name w:val="Date"/>
    <w:basedOn w:val="1"/>
    <w:next w:val="1"/>
    <w:link w:val="70"/>
    <w:qFormat/>
    <w:uiPriority w:val="0"/>
    <w:rPr>
      <w:sz w:val="24"/>
      <w:szCs w:val="20"/>
    </w:rPr>
  </w:style>
  <w:style w:type="paragraph" w:styleId="23">
    <w:name w:val="endnote text"/>
    <w:basedOn w:val="1"/>
    <w:link w:val="71"/>
    <w:qFormat/>
    <w:uiPriority w:val="0"/>
    <w:pPr>
      <w:numPr>
        <w:ilvl w:val="0"/>
        <w:numId w:val="1"/>
      </w:numPr>
      <w:jc w:val="left"/>
    </w:pPr>
    <w:rPr>
      <w:rFonts w:ascii="Arial" w:hAnsi="Arial"/>
      <w:spacing w:val="-3"/>
      <w:kern w:val="0"/>
      <w:sz w:val="22"/>
      <w:szCs w:val="20"/>
      <w:lang w:eastAsia="en-US"/>
    </w:rPr>
  </w:style>
  <w:style w:type="paragraph" w:styleId="24">
    <w:name w:val="Balloon Text"/>
    <w:basedOn w:val="1"/>
    <w:link w:val="72"/>
    <w:qFormat/>
    <w:uiPriority w:val="0"/>
    <w:rPr>
      <w:sz w:val="18"/>
      <w:szCs w:val="18"/>
    </w:rPr>
  </w:style>
  <w:style w:type="paragraph" w:styleId="25">
    <w:name w:val="footer"/>
    <w:basedOn w:val="1"/>
    <w:link w:val="73"/>
    <w:qFormat/>
    <w:uiPriority w:val="0"/>
    <w:pPr>
      <w:tabs>
        <w:tab w:val="center" w:pos="4153"/>
        <w:tab w:val="right" w:pos="8306"/>
      </w:tabs>
      <w:snapToGrid w:val="0"/>
      <w:jc w:val="left"/>
    </w:pPr>
    <w:rPr>
      <w:sz w:val="18"/>
      <w:szCs w:val="18"/>
    </w:rPr>
  </w:style>
  <w:style w:type="paragraph" w:styleId="26">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240" w:after="120"/>
      <w:jc w:val="left"/>
    </w:pPr>
    <w:rPr>
      <w:rFonts w:ascii="等线" w:eastAsia="等线"/>
      <w:b/>
      <w:bCs/>
      <w:sz w:val="20"/>
      <w:szCs w:val="20"/>
    </w:rPr>
  </w:style>
  <w:style w:type="paragraph" w:styleId="28">
    <w:name w:val="toc 4"/>
    <w:basedOn w:val="1"/>
    <w:next w:val="1"/>
    <w:unhideWhenUsed/>
    <w:qFormat/>
    <w:uiPriority w:val="39"/>
    <w:pPr>
      <w:ind w:left="630"/>
      <w:jc w:val="left"/>
    </w:pPr>
    <w:rPr>
      <w:rFonts w:ascii="等线" w:eastAsia="等线"/>
      <w:sz w:val="20"/>
      <w:szCs w:val="20"/>
    </w:rPr>
  </w:style>
  <w:style w:type="paragraph" w:styleId="29">
    <w:name w:val="Subtitle"/>
    <w:basedOn w:val="1"/>
    <w:next w:val="1"/>
    <w:link w:val="75"/>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unhideWhenUsed/>
    <w:qFormat/>
    <w:uiPriority w:val="39"/>
    <w:pPr>
      <w:ind w:left="1050"/>
      <w:jc w:val="left"/>
    </w:pPr>
    <w:rPr>
      <w:rFonts w:ascii="等线" w:eastAsia="等线"/>
      <w:sz w:val="20"/>
      <w:szCs w:val="20"/>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0"/>
    <w:pPr>
      <w:spacing w:before="120"/>
      <w:ind w:left="210"/>
      <w:jc w:val="left"/>
    </w:pPr>
    <w:rPr>
      <w:rFonts w:ascii="等线" w:eastAsia="等线"/>
      <w:i/>
      <w:iCs/>
      <w:sz w:val="20"/>
      <w:szCs w:val="20"/>
    </w:rPr>
  </w:style>
  <w:style w:type="paragraph" w:styleId="33">
    <w:name w:val="toc 9"/>
    <w:basedOn w:val="1"/>
    <w:next w:val="1"/>
    <w:unhideWhenUsed/>
    <w:qFormat/>
    <w:uiPriority w:val="39"/>
    <w:pPr>
      <w:ind w:left="1680"/>
      <w:jc w:val="left"/>
    </w:pPr>
    <w:rPr>
      <w:rFonts w:ascii="等线" w:eastAsia="等线"/>
      <w:sz w:val="20"/>
      <w:szCs w:val="20"/>
    </w:rPr>
  </w:style>
  <w:style w:type="paragraph" w:styleId="34">
    <w:name w:val="Body Text 2"/>
    <w:basedOn w:val="1"/>
    <w:link w:val="76"/>
    <w:qFormat/>
    <w:uiPriority w:val="0"/>
    <w:pPr>
      <w:widowControl/>
      <w:adjustRightInd w:val="0"/>
      <w:spacing w:line="360" w:lineRule="atLeast"/>
      <w:jc w:val="left"/>
      <w:textAlignment w:val="baseline"/>
    </w:pPr>
    <w:rPr>
      <w:rFonts w:ascii="Arial" w:hAnsi="Arial"/>
      <w:b/>
      <w:color w:val="000000"/>
      <w:kern w:val="0"/>
      <w:sz w:val="22"/>
      <w:szCs w:val="20"/>
      <w:lang w:eastAsia="es-ES"/>
    </w:rPr>
  </w:style>
  <w:style w:type="paragraph" w:styleId="35">
    <w:name w:val="Normal (Web)"/>
    <w:basedOn w:val="1"/>
    <w:qFormat/>
    <w:uiPriority w:val="99"/>
    <w:pPr>
      <w:widowControl/>
      <w:spacing w:before="100" w:beforeAutospacing="1" w:after="100" w:afterAutospacing="1"/>
      <w:jc w:val="left"/>
    </w:pPr>
    <w:rPr>
      <w:rFonts w:ascii="ˎ̥" w:hAnsi="ˎ̥" w:cs="宋体"/>
      <w:kern w:val="0"/>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index 2"/>
    <w:basedOn w:val="1"/>
    <w:next w:val="1"/>
    <w:qFormat/>
    <w:uiPriority w:val="0"/>
    <w:pPr>
      <w:adjustRightInd w:val="0"/>
      <w:spacing w:line="360" w:lineRule="atLeast"/>
      <w:ind w:left="200" w:leftChars="200"/>
      <w:jc w:val="left"/>
      <w:textAlignment w:val="baseline"/>
    </w:pPr>
    <w:rPr>
      <w:kern w:val="0"/>
      <w:sz w:val="20"/>
    </w:rPr>
  </w:style>
  <w:style w:type="paragraph" w:styleId="38">
    <w:name w:val="Title"/>
    <w:basedOn w:val="1"/>
    <w:link w:val="7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5"/>
    <w:next w:val="15"/>
    <w:link w:val="78"/>
    <w:qFormat/>
    <w:uiPriority w:val="0"/>
    <w:rPr>
      <w:b/>
      <w:bCs/>
    </w:rPr>
  </w:style>
  <w:style w:type="paragraph" w:styleId="40">
    <w:name w:val="Body Text First Indent"/>
    <w:basedOn w:val="2"/>
    <w:link w:val="79"/>
    <w:qFormat/>
    <w:uiPriority w:val="0"/>
    <w:pPr>
      <w:ind w:firstLine="420" w:firstLineChars="1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136EC2"/>
      <w:u w:val="single"/>
    </w:rPr>
  </w:style>
  <w:style w:type="character" w:styleId="47">
    <w:name w:val="Emphasis"/>
    <w:qFormat/>
    <w:uiPriority w:val="0"/>
  </w:style>
  <w:style w:type="character" w:styleId="48">
    <w:name w:val="HTML Definition"/>
    <w:qFormat/>
    <w:uiPriority w:val="0"/>
  </w:style>
  <w:style w:type="character" w:styleId="49">
    <w:name w:val="HTML Variable"/>
    <w:qFormat/>
    <w:uiPriority w:val="0"/>
  </w:style>
  <w:style w:type="character" w:styleId="50">
    <w:name w:val="Hyperlink"/>
    <w:qFormat/>
    <w:uiPriority w:val="0"/>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paragraph" w:customStyle="1" w:styleId="56">
    <w:name w:val="表格"/>
    <w:basedOn w:val="1"/>
    <w:qFormat/>
    <w:uiPriority w:val="0"/>
    <w:pPr>
      <w:jc w:val="center"/>
      <w:textAlignment w:val="center"/>
    </w:pPr>
    <w:rPr>
      <w:rFonts w:ascii="华文细黑" w:hAnsi="华文细黑"/>
      <w:kern w:val="0"/>
      <w:szCs w:val="20"/>
    </w:rPr>
  </w:style>
  <w:style w:type="character" w:customStyle="1" w:styleId="57">
    <w:name w:val="标题 2 字符"/>
    <w:qFormat/>
    <w:uiPriority w:val="0"/>
    <w:rPr>
      <w:rFonts w:ascii="Arial" w:hAnsi="Arial" w:eastAsia="黑体"/>
      <w:b/>
      <w:bCs/>
      <w:kern w:val="2"/>
      <w:sz w:val="32"/>
      <w:szCs w:val="32"/>
    </w:rPr>
  </w:style>
  <w:style w:type="character" w:customStyle="1" w:styleId="58">
    <w:name w:val="标题 3 字符"/>
    <w:link w:val="5"/>
    <w:qFormat/>
    <w:uiPriority w:val="0"/>
    <w:rPr>
      <w:b/>
      <w:bCs/>
      <w:kern w:val="2"/>
      <w:sz w:val="32"/>
      <w:szCs w:val="32"/>
    </w:rPr>
  </w:style>
  <w:style w:type="character" w:customStyle="1" w:styleId="59">
    <w:name w:val="标题 1 字符"/>
    <w:link w:val="3"/>
    <w:qFormat/>
    <w:uiPriority w:val="0"/>
    <w:rPr>
      <w:b/>
      <w:bCs/>
      <w:kern w:val="44"/>
      <w:sz w:val="44"/>
      <w:szCs w:val="44"/>
    </w:rPr>
  </w:style>
  <w:style w:type="paragraph" w:customStyle="1" w:styleId="60">
    <w:name w:val="样式3"/>
    <w:basedOn w:val="37"/>
    <w:next w:val="1"/>
    <w:qFormat/>
    <w:uiPriority w:val="0"/>
    <w:pPr>
      <w:tabs>
        <w:tab w:val="left" w:pos="567"/>
      </w:tabs>
      <w:spacing w:line="360" w:lineRule="auto"/>
      <w:ind w:left="567" w:hanging="567"/>
      <w:outlineLvl w:val="1"/>
    </w:pPr>
    <w:rPr>
      <w:sz w:val="24"/>
    </w:rPr>
  </w:style>
  <w:style w:type="character" w:customStyle="1" w:styleId="61">
    <w:name w:val="正文缩进 字符"/>
    <w:link w:val="13"/>
    <w:qFormat/>
    <w:locked/>
    <w:uiPriority w:val="0"/>
    <w:rPr>
      <w:kern w:val="2"/>
      <w:sz w:val="21"/>
      <w:szCs w:val="24"/>
    </w:rPr>
  </w:style>
  <w:style w:type="character" w:customStyle="1" w:styleId="62">
    <w:name w:val="标题 2 字符1"/>
    <w:link w:val="4"/>
    <w:qFormat/>
    <w:uiPriority w:val="0"/>
    <w:rPr>
      <w:rFonts w:ascii="Arial" w:hAnsi="Arial" w:eastAsia="黑体"/>
      <w:b/>
      <w:bCs/>
      <w:kern w:val="2"/>
      <w:sz w:val="32"/>
      <w:szCs w:val="32"/>
      <w:lang w:val="en-US" w:eastAsia="zh-CN" w:bidi="ar-SA"/>
    </w:rPr>
  </w:style>
  <w:style w:type="character" w:customStyle="1" w:styleId="63">
    <w:name w:val="标题 5 字符"/>
    <w:link w:val="7"/>
    <w:qFormat/>
    <w:uiPriority w:val="0"/>
    <w:rPr>
      <w:rFonts w:ascii="Arial" w:hAnsi="Arial"/>
      <w:sz w:val="22"/>
      <w:lang w:val="en-CA" w:eastAsia="en-US"/>
    </w:rPr>
  </w:style>
  <w:style w:type="character" w:customStyle="1" w:styleId="64">
    <w:name w:val="标题 7 字符"/>
    <w:link w:val="9"/>
    <w:qFormat/>
    <w:uiPriority w:val="0"/>
    <w:rPr>
      <w:b/>
      <w:bCs/>
      <w:sz w:val="24"/>
      <w:szCs w:val="24"/>
    </w:rPr>
  </w:style>
  <w:style w:type="character" w:customStyle="1" w:styleId="65">
    <w:name w:val="批注文字 字符1"/>
    <w:link w:val="15"/>
    <w:qFormat/>
    <w:uiPriority w:val="0"/>
    <w:rPr>
      <w:kern w:val="2"/>
      <w:sz w:val="21"/>
      <w:szCs w:val="24"/>
    </w:rPr>
  </w:style>
  <w:style w:type="character" w:customStyle="1" w:styleId="66">
    <w:name w:val="正文文本 3 字符"/>
    <w:link w:val="16"/>
    <w:qFormat/>
    <w:uiPriority w:val="0"/>
    <w:rPr>
      <w:rFonts w:ascii="宋体"/>
      <w:kern w:val="2"/>
      <w:sz w:val="24"/>
    </w:rPr>
  </w:style>
  <w:style w:type="character" w:customStyle="1" w:styleId="67">
    <w:name w:val="正文文本 字符"/>
    <w:link w:val="2"/>
    <w:qFormat/>
    <w:uiPriority w:val="0"/>
    <w:rPr>
      <w:kern w:val="2"/>
      <w:sz w:val="21"/>
      <w:szCs w:val="24"/>
    </w:rPr>
  </w:style>
  <w:style w:type="character" w:customStyle="1" w:styleId="68">
    <w:name w:val="正文文本缩进 字符"/>
    <w:link w:val="17"/>
    <w:qFormat/>
    <w:uiPriority w:val="0"/>
    <w:rPr>
      <w:kern w:val="2"/>
      <w:sz w:val="21"/>
      <w:szCs w:val="24"/>
    </w:rPr>
  </w:style>
  <w:style w:type="character" w:customStyle="1" w:styleId="69">
    <w:name w:val="纯文本 字符1"/>
    <w:link w:val="20"/>
    <w:qFormat/>
    <w:uiPriority w:val="0"/>
    <w:rPr>
      <w:rFonts w:ascii="宋体" w:hAnsi="Courier New"/>
      <w:kern w:val="2"/>
      <w:sz w:val="21"/>
    </w:rPr>
  </w:style>
  <w:style w:type="character" w:customStyle="1" w:styleId="70">
    <w:name w:val="日期 字符"/>
    <w:link w:val="22"/>
    <w:qFormat/>
    <w:uiPriority w:val="0"/>
    <w:rPr>
      <w:kern w:val="2"/>
      <w:sz w:val="24"/>
    </w:rPr>
  </w:style>
  <w:style w:type="character" w:customStyle="1" w:styleId="71">
    <w:name w:val="尾注文本 字符"/>
    <w:link w:val="23"/>
    <w:qFormat/>
    <w:uiPriority w:val="0"/>
    <w:rPr>
      <w:rFonts w:ascii="Arial" w:hAnsi="Arial"/>
      <w:spacing w:val="-3"/>
      <w:sz w:val="22"/>
      <w:lang w:eastAsia="en-US"/>
    </w:rPr>
  </w:style>
  <w:style w:type="character" w:customStyle="1" w:styleId="72">
    <w:name w:val="批注框文本 字符"/>
    <w:link w:val="24"/>
    <w:qFormat/>
    <w:uiPriority w:val="0"/>
    <w:rPr>
      <w:kern w:val="2"/>
      <w:sz w:val="18"/>
      <w:szCs w:val="18"/>
    </w:rPr>
  </w:style>
  <w:style w:type="character" w:customStyle="1" w:styleId="73">
    <w:name w:val="页脚 字符2"/>
    <w:link w:val="25"/>
    <w:qFormat/>
    <w:uiPriority w:val="99"/>
    <w:rPr>
      <w:kern w:val="2"/>
      <w:sz w:val="18"/>
      <w:szCs w:val="18"/>
    </w:rPr>
  </w:style>
  <w:style w:type="character" w:customStyle="1" w:styleId="74">
    <w:name w:val="页眉 字符1"/>
    <w:link w:val="26"/>
    <w:qFormat/>
    <w:uiPriority w:val="99"/>
    <w:rPr>
      <w:kern w:val="2"/>
      <w:sz w:val="18"/>
      <w:szCs w:val="18"/>
    </w:rPr>
  </w:style>
  <w:style w:type="character" w:customStyle="1" w:styleId="75">
    <w:name w:val="副标题 字符"/>
    <w:link w:val="29"/>
    <w:qFormat/>
    <w:uiPriority w:val="0"/>
    <w:rPr>
      <w:rFonts w:ascii="Cambria" w:hAnsi="Cambria" w:cs="Times New Roman"/>
      <w:b/>
      <w:bCs/>
      <w:kern w:val="28"/>
      <w:sz w:val="32"/>
      <w:szCs w:val="32"/>
    </w:rPr>
  </w:style>
  <w:style w:type="character" w:customStyle="1" w:styleId="76">
    <w:name w:val="正文文本 2 字符"/>
    <w:link w:val="34"/>
    <w:qFormat/>
    <w:uiPriority w:val="0"/>
    <w:rPr>
      <w:rFonts w:ascii="Arial" w:hAnsi="Arial"/>
      <w:b/>
      <w:color w:val="000000"/>
      <w:sz w:val="22"/>
      <w:lang w:eastAsia="es-ES"/>
    </w:rPr>
  </w:style>
  <w:style w:type="character" w:customStyle="1" w:styleId="77">
    <w:name w:val="标题 字符"/>
    <w:link w:val="38"/>
    <w:qFormat/>
    <w:uiPriority w:val="0"/>
    <w:rPr>
      <w:rFonts w:ascii="Arial" w:hAnsi="Arial"/>
      <w:b/>
      <w:sz w:val="32"/>
    </w:rPr>
  </w:style>
  <w:style w:type="character" w:customStyle="1" w:styleId="78">
    <w:name w:val="批注主题 字符"/>
    <w:link w:val="39"/>
    <w:qFormat/>
    <w:uiPriority w:val="0"/>
    <w:rPr>
      <w:b/>
      <w:bCs/>
      <w:kern w:val="2"/>
      <w:sz w:val="21"/>
      <w:szCs w:val="24"/>
    </w:rPr>
  </w:style>
  <w:style w:type="character" w:customStyle="1" w:styleId="79">
    <w:name w:val="正文文本首行缩进 字符"/>
    <w:link w:val="40"/>
    <w:qFormat/>
    <w:uiPriority w:val="0"/>
  </w:style>
  <w:style w:type="paragraph" w:customStyle="1" w:styleId="80">
    <w:name w:val="标书正文"/>
    <w:basedOn w:val="1"/>
    <w:qFormat/>
    <w:uiPriority w:val="0"/>
    <w:pPr>
      <w:spacing w:after="50" w:afterLines="50" w:line="360" w:lineRule="auto"/>
      <w:ind w:firstLine="440" w:firstLineChars="200"/>
    </w:pPr>
    <w:rPr>
      <w:rFonts w:eastAsia="楷体" w:cs="宋体"/>
      <w:sz w:val="24"/>
      <w:szCs w:val="22"/>
      <w:lang w:val="zh-CN" w:bidi="zh-CN"/>
    </w:rPr>
  </w:style>
  <w:style w:type="character" w:customStyle="1" w:styleId="81">
    <w:name w:val="页码1"/>
    <w:qFormat/>
    <w:uiPriority w:val="0"/>
  </w:style>
  <w:style w:type="character" w:customStyle="1" w:styleId="82">
    <w:name w:val="bds_nopic2"/>
    <w:qFormat/>
    <w:uiPriority w:val="0"/>
  </w:style>
  <w:style w:type="character" w:customStyle="1" w:styleId="83">
    <w:name w:val="menutitle7"/>
    <w:qFormat/>
    <w:uiPriority w:val="0"/>
    <w:rPr>
      <w:b/>
      <w:bCs/>
      <w:color w:val="0660A4"/>
      <w:sz w:val="18"/>
      <w:szCs w:val="18"/>
    </w:rPr>
  </w:style>
  <w:style w:type="character" w:customStyle="1" w:styleId="84">
    <w:name w:val="正文表格-shenp 字符"/>
    <w:link w:val="85"/>
    <w:qFormat/>
    <w:uiPriority w:val="0"/>
    <w:rPr>
      <w:rFonts w:ascii="宋体" w:hAnsi="Courier New" w:cs="Courier New"/>
      <w:b/>
      <w:bCs/>
      <w:kern w:val="2"/>
      <w:sz w:val="24"/>
      <w:szCs w:val="24"/>
    </w:rPr>
  </w:style>
  <w:style w:type="paragraph" w:customStyle="1" w:styleId="85">
    <w:name w:val="正文表格-shenp"/>
    <w:basedOn w:val="1"/>
    <w:link w:val="84"/>
    <w:qFormat/>
    <w:uiPriority w:val="0"/>
    <w:pPr>
      <w:tabs>
        <w:tab w:val="left" w:pos="425"/>
      </w:tabs>
      <w:spacing w:line="360" w:lineRule="auto"/>
      <w:jc w:val="center"/>
    </w:pPr>
    <w:rPr>
      <w:rFonts w:ascii="宋体" w:hAnsi="Courier New" w:cs="Courier New"/>
      <w:b/>
      <w:bCs/>
      <w:sz w:val="24"/>
    </w:rPr>
  </w:style>
  <w:style w:type="character" w:customStyle="1" w:styleId="86">
    <w:name w:val="Form-text 字符"/>
    <w:link w:val="87"/>
    <w:qFormat/>
    <w:uiPriority w:val="0"/>
    <w:rPr>
      <w:rFonts w:ascii="宋体" w:hAnsi="Courier New" w:cs="Courier New"/>
      <w:b/>
      <w:bCs/>
      <w:kern w:val="2"/>
      <w:sz w:val="21"/>
      <w:szCs w:val="21"/>
    </w:rPr>
  </w:style>
  <w:style w:type="paragraph" w:customStyle="1" w:styleId="87">
    <w:name w:val="Form-text"/>
    <w:basedOn w:val="85"/>
    <w:link w:val="86"/>
    <w:qFormat/>
    <w:uiPriority w:val="0"/>
    <w:pPr>
      <w:spacing w:line="240" w:lineRule="auto"/>
    </w:pPr>
    <w:rPr>
      <w:sz w:val="21"/>
      <w:szCs w:val="21"/>
    </w:rPr>
  </w:style>
  <w:style w:type="character" w:customStyle="1" w:styleId="88">
    <w:name w:val="sort"/>
    <w:qFormat/>
    <w:uiPriority w:val="0"/>
  </w:style>
  <w:style w:type="character" w:customStyle="1" w:styleId="89">
    <w:name w:val="表内容编号 字符"/>
    <w:link w:val="90"/>
    <w:qFormat/>
    <w:uiPriority w:val="0"/>
    <w:rPr>
      <w:rFonts w:hAnsi="宋体"/>
      <w:sz w:val="21"/>
      <w:szCs w:val="24"/>
    </w:rPr>
  </w:style>
  <w:style w:type="paragraph" w:customStyle="1" w:styleId="90">
    <w:name w:val="表内容编号"/>
    <w:basedOn w:val="91"/>
    <w:link w:val="89"/>
    <w:qFormat/>
    <w:uiPriority w:val="0"/>
    <w:pPr>
      <w:tabs>
        <w:tab w:val="left" w:pos="425"/>
      </w:tabs>
      <w:spacing w:line="240" w:lineRule="auto"/>
      <w:ind w:left="0" w:firstLine="0"/>
      <w:outlineLvl w:val="9"/>
    </w:pPr>
    <w:rPr>
      <w:sz w:val="21"/>
    </w:rPr>
  </w:style>
  <w:style w:type="paragraph" w:customStyle="1" w:styleId="91">
    <w:name w:val="标题3"/>
    <w:basedOn w:val="92"/>
    <w:link w:val="96"/>
    <w:qFormat/>
    <w:uiPriority w:val="0"/>
    <w:pPr>
      <w:numPr>
        <w:ilvl w:val="2"/>
      </w:numPr>
      <w:tabs>
        <w:tab w:val="left" w:pos="425"/>
      </w:tabs>
      <w:outlineLvl w:val="2"/>
    </w:pPr>
  </w:style>
  <w:style w:type="paragraph" w:customStyle="1" w:styleId="92">
    <w:name w:val="标题2"/>
    <w:basedOn w:val="93"/>
    <w:link w:val="95"/>
    <w:qFormat/>
    <w:uiPriority w:val="0"/>
    <w:pPr>
      <w:numPr>
        <w:ilvl w:val="1"/>
      </w:numPr>
      <w:tabs>
        <w:tab w:val="left" w:pos="425"/>
      </w:tabs>
      <w:outlineLvl w:val="1"/>
    </w:pPr>
    <w:rPr>
      <w:rFonts w:hAnsi="宋体"/>
      <w:b w:val="0"/>
      <w:bCs w:val="0"/>
    </w:rPr>
  </w:style>
  <w:style w:type="paragraph" w:customStyle="1" w:styleId="93">
    <w:name w:val="标题1"/>
    <w:basedOn w:val="1"/>
    <w:link w:val="94"/>
    <w:qFormat/>
    <w:uiPriority w:val="0"/>
    <w:pPr>
      <w:numPr>
        <w:ilvl w:val="0"/>
        <w:numId w:val="2"/>
      </w:numPr>
      <w:tabs>
        <w:tab w:val="left" w:pos="425"/>
      </w:tabs>
      <w:adjustRightInd w:val="0"/>
      <w:spacing w:line="360" w:lineRule="auto"/>
      <w:ind w:left="0" w:firstLine="0"/>
      <w:jc w:val="left"/>
      <w:textAlignment w:val="baseline"/>
      <w:outlineLvl w:val="0"/>
    </w:pPr>
    <w:rPr>
      <w:b/>
      <w:bCs/>
      <w:kern w:val="0"/>
      <w:sz w:val="24"/>
    </w:rPr>
  </w:style>
  <w:style w:type="character" w:customStyle="1" w:styleId="94">
    <w:name w:val="标题1 字符"/>
    <w:link w:val="93"/>
    <w:qFormat/>
    <w:uiPriority w:val="0"/>
    <w:rPr>
      <w:b/>
      <w:bCs/>
      <w:sz w:val="24"/>
      <w:szCs w:val="24"/>
    </w:rPr>
  </w:style>
  <w:style w:type="character" w:customStyle="1" w:styleId="95">
    <w:name w:val="标题2 字符"/>
    <w:link w:val="92"/>
    <w:qFormat/>
    <w:uiPriority w:val="0"/>
    <w:rPr>
      <w:rFonts w:hAnsi="宋体"/>
      <w:sz w:val="24"/>
      <w:szCs w:val="24"/>
    </w:rPr>
  </w:style>
  <w:style w:type="character" w:customStyle="1" w:styleId="96">
    <w:name w:val="标题3 字符"/>
    <w:link w:val="91"/>
    <w:qFormat/>
    <w:uiPriority w:val="0"/>
    <w:rPr>
      <w:rFonts w:hAnsi="宋体"/>
      <w:sz w:val="24"/>
      <w:szCs w:val="24"/>
    </w:rPr>
  </w:style>
  <w:style w:type="character" w:customStyle="1" w:styleId="97">
    <w:name w:val="sort1"/>
    <w:qFormat/>
    <w:uiPriority w:val="0"/>
    <w:rPr>
      <w:color w:val="FFFFFF"/>
      <w:bdr w:val="single" w:color="auto" w:sz="24" w:space="0"/>
    </w:rPr>
  </w:style>
  <w:style w:type="character" w:customStyle="1" w:styleId="98">
    <w:name w:val="批注文字 字符"/>
    <w:qFormat/>
    <w:uiPriority w:val="0"/>
    <w:rPr>
      <w:szCs w:val="24"/>
    </w:rPr>
  </w:style>
  <w:style w:type="character" w:customStyle="1" w:styleId="99">
    <w:name w:val="font21"/>
    <w:qFormat/>
    <w:uiPriority w:val="0"/>
    <w:rPr>
      <w:rFonts w:hint="eastAsia" w:ascii="宋体" w:hAnsi="宋体" w:eastAsia="宋体" w:cs="宋体"/>
      <w:color w:val="000000"/>
      <w:sz w:val="20"/>
      <w:szCs w:val="20"/>
      <w:u w:val="none"/>
    </w:rPr>
  </w:style>
  <w:style w:type="character" w:customStyle="1" w:styleId="100">
    <w:name w:val="列表段落 字符"/>
    <w:link w:val="101"/>
    <w:qFormat/>
    <w:uiPriority w:val="99"/>
    <w:rPr>
      <w:rFonts w:ascii="Calibri" w:hAnsi="Calibri" w:eastAsia="微软雅黑"/>
      <w:kern w:val="2"/>
      <w:sz w:val="24"/>
      <w:szCs w:val="22"/>
    </w:rPr>
  </w:style>
  <w:style w:type="paragraph" w:styleId="101">
    <w:name w:val="List Paragraph"/>
    <w:basedOn w:val="1"/>
    <w:link w:val="100"/>
    <w:qFormat/>
    <w:uiPriority w:val="99"/>
    <w:pPr>
      <w:spacing w:line="360" w:lineRule="auto"/>
      <w:ind w:firstLine="420" w:firstLineChars="200"/>
    </w:pPr>
    <w:rPr>
      <w:rFonts w:ascii="Calibri" w:hAnsi="Calibri" w:eastAsia="微软雅黑"/>
      <w:sz w:val="24"/>
      <w:szCs w:val="22"/>
    </w:rPr>
  </w:style>
  <w:style w:type="character" w:customStyle="1" w:styleId="102">
    <w:name w:val="bds_more2"/>
    <w:qFormat/>
    <w:uiPriority w:val="0"/>
    <w:rPr>
      <w:rFonts w:hint="eastAsia" w:ascii="宋体" w:hAnsi="宋体" w:eastAsia="宋体" w:cs="宋体"/>
    </w:rPr>
  </w:style>
  <w:style w:type="character" w:customStyle="1" w:styleId="103">
    <w:name w:val="页眉 字符"/>
    <w:qFormat/>
    <w:uiPriority w:val="0"/>
  </w:style>
  <w:style w:type="character" w:customStyle="1" w:styleId="104">
    <w:name w:val="List Paragraph Char Char"/>
    <w:link w:val="105"/>
    <w:qFormat/>
    <w:locked/>
    <w:uiPriority w:val="0"/>
    <w:rPr>
      <w:kern w:val="2"/>
      <w:sz w:val="21"/>
      <w:szCs w:val="24"/>
    </w:rPr>
  </w:style>
  <w:style w:type="paragraph" w:customStyle="1" w:styleId="105">
    <w:name w:val="List Paragraph1"/>
    <w:basedOn w:val="1"/>
    <w:link w:val="104"/>
    <w:qFormat/>
    <w:uiPriority w:val="0"/>
    <w:pPr>
      <w:ind w:firstLine="420" w:firstLineChars="200"/>
    </w:pPr>
  </w:style>
  <w:style w:type="character" w:customStyle="1" w:styleId="106">
    <w:name w:val="sidecatalog-index2"/>
    <w:qFormat/>
    <w:uiPriority w:val="0"/>
    <w:rPr>
      <w:rFonts w:ascii="Arail" w:hAnsi="Arail" w:eastAsia="Arail" w:cs="Arail"/>
      <w:color w:val="999999"/>
      <w:sz w:val="21"/>
      <w:szCs w:val="21"/>
    </w:rPr>
  </w:style>
  <w:style w:type="character" w:customStyle="1" w:styleId="107">
    <w:name w:val="sidecatalog-dot1"/>
    <w:qFormat/>
    <w:uiPriority w:val="0"/>
  </w:style>
  <w:style w:type="character" w:customStyle="1" w:styleId="108">
    <w:name w:val="bds_more3"/>
    <w:qFormat/>
    <w:uiPriority w:val="0"/>
  </w:style>
  <w:style w:type="character" w:customStyle="1" w:styleId="109">
    <w:name w:val="font41"/>
    <w:qFormat/>
    <w:uiPriority w:val="0"/>
    <w:rPr>
      <w:rFonts w:hint="default" w:ascii="Times New Roman" w:hAnsi="Times New Roman" w:cs="Times New Roman"/>
      <w:color w:val="000000"/>
      <w:sz w:val="21"/>
      <w:szCs w:val="21"/>
      <w:u w:val="none"/>
    </w:rPr>
  </w:style>
  <w:style w:type="character" w:customStyle="1" w:styleId="110">
    <w:name w:val="sidecatalog-index1"/>
    <w:qFormat/>
    <w:uiPriority w:val="0"/>
    <w:rPr>
      <w:rFonts w:ascii="Arial" w:hAnsi="Arial" w:cs="Arial"/>
      <w:b/>
      <w:color w:val="999999"/>
      <w:sz w:val="21"/>
      <w:szCs w:val="21"/>
    </w:rPr>
  </w:style>
  <w:style w:type="character" w:customStyle="1" w:styleId="111">
    <w:name w:val="fontstyle01"/>
    <w:qFormat/>
    <w:uiPriority w:val="0"/>
    <w:rPr>
      <w:rFonts w:ascii="宋体" w:hAnsi="宋体" w:eastAsia="宋体" w:cs="宋体"/>
      <w:color w:val="3A3A3A"/>
      <w:sz w:val="14"/>
      <w:szCs w:val="14"/>
    </w:rPr>
  </w:style>
  <w:style w:type="character" w:customStyle="1" w:styleId="112">
    <w:name w:val="apple-converted-space"/>
    <w:qFormat/>
    <w:uiPriority w:val="0"/>
  </w:style>
  <w:style w:type="character" w:customStyle="1" w:styleId="113">
    <w:name w:val="正文缩进 Char1"/>
    <w:qFormat/>
    <w:uiPriority w:val="0"/>
    <w:rPr>
      <w:rFonts w:ascii="宋体"/>
      <w:sz w:val="24"/>
    </w:rPr>
  </w:style>
  <w:style w:type="character" w:customStyle="1" w:styleId="114">
    <w:name w:val="desc"/>
    <w:qFormat/>
    <w:uiPriority w:val="0"/>
    <w:rPr>
      <w:color w:val="000000"/>
      <w:sz w:val="18"/>
      <w:szCs w:val="18"/>
    </w:rPr>
  </w:style>
  <w:style w:type="character" w:customStyle="1" w:styleId="115">
    <w:name w:val="sidecatalog-dot"/>
    <w:qFormat/>
    <w:uiPriority w:val="0"/>
  </w:style>
  <w:style w:type="character" w:customStyle="1" w:styleId="116">
    <w:name w:val="bds_more"/>
    <w:qFormat/>
    <w:uiPriority w:val="0"/>
  </w:style>
  <w:style w:type="character" w:customStyle="1" w:styleId="117">
    <w:name w:val="页脚 字符1"/>
    <w:qFormat/>
    <w:uiPriority w:val="99"/>
    <w:rPr>
      <w:kern w:val="2"/>
      <w:sz w:val="18"/>
      <w:szCs w:val="18"/>
    </w:rPr>
  </w:style>
  <w:style w:type="character" w:customStyle="1" w:styleId="118">
    <w:name w:val="plus"/>
    <w:qFormat/>
    <w:uiPriority w:val="0"/>
    <w:rPr>
      <w:b/>
      <w:vanish/>
      <w:color w:val="1F8DEF"/>
      <w:sz w:val="24"/>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bds_nopic"/>
    <w:qFormat/>
    <w:uiPriority w:val="0"/>
  </w:style>
  <w:style w:type="character" w:customStyle="1" w:styleId="121">
    <w:name w:val="Variable"/>
    <w:qFormat/>
    <w:uiPriority w:val="0"/>
    <w:rPr>
      <w:i/>
    </w:rPr>
  </w:style>
  <w:style w:type="character" w:customStyle="1" w:styleId="122">
    <w:name w:val="列出段落 Char"/>
    <w:link w:val="123"/>
    <w:qFormat/>
    <w:uiPriority w:val="34"/>
    <w:rPr>
      <w:kern w:val="2"/>
      <w:sz w:val="21"/>
    </w:rPr>
  </w:style>
  <w:style w:type="paragraph" w:customStyle="1" w:styleId="123">
    <w:name w:val="列出段落1"/>
    <w:basedOn w:val="1"/>
    <w:link w:val="122"/>
    <w:qFormat/>
    <w:uiPriority w:val="34"/>
    <w:pPr>
      <w:ind w:firstLine="420" w:firstLineChars="200"/>
    </w:pPr>
    <w:rPr>
      <w:szCs w:val="20"/>
    </w:rPr>
  </w:style>
  <w:style w:type="character" w:customStyle="1" w:styleId="124">
    <w:name w:val="lemmatitleh12"/>
    <w:qFormat/>
    <w:uiPriority w:val="0"/>
  </w:style>
  <w:style w:type="character" w:customStyle="1" w:styleId="125">
    <w:name w:val="polysemyexp"/>
    <w:qFormat/>
    <w:uiPriority w:val="0"/>
    <w:rPr>
      <w:color w:val="AAAAAA"/>
      <w:sz w:val="18"/>
      <w:szCs w:val="18"/>
    </w:rPr>
  </w:style>
  <w:style w:type="character" w:customStyle="1" w:styleId="126">
    <w:name w:val="bds_more1"/>
    <w:qFormat/>
    <w:uiPriority w:val="0"/>
  </w:style>
  <w:style w:type="character" w:customStyle="1" w:styleId="127">
    <w:name w:val="font161"/>
    <w:qFormat/>
    <w:uiPriority w:val="0"/>
    <w:rPr>
      <w:b/>
      <w:bCs/>
      <w:sz w:val="32"/>
      <w:szCs w:val="32"/>
    </w:rPr>
  </w:style>
  <w:style w:type="character" w:customStyle="1" w:styleId="128">
    <w:name w:val="页脚 字符"/>
    <w:qFormat/>
    <w:uiPriority w:val="99"/>
    <w:rPr>
      <w:sz w:val="18"/>
      <w:szCs w:val="18"/>
    </w:rPr>
  </w:style>
  <w:style w:type="character" w:customStyle="1" w:styleId="129">
    <w:name w:val="_Style 127"/>
    <w:unhideWhenUsed/>
    <w:qFormat/>
    <w:uiPriority w:val="99"/>
    <w:rPr>
      <w:color w:val="605E5C"/>
      <w:shd w:val="clear" w:color="auto" w:fill="E1DFDD"/>
    </w:rPr>
  </w:style>
  <w:style w:type="character" w:customStyle="1" w:styleId="130">
    <w:name w:val="bds_nopic1"/>
    <w:qFormat/>
    <w:uiPriority w:val="0"/>
  </w:style>
  <w:style w:type="character" w:customStyle="1" w:styleId="131">
    <w:name w:val="morelink-item"/>
    <w:qFormat/>
    <w:uiPriority w:val="0"/>
  </w:style>
  <w:style w:type="character" w:customStyle="1" w:styleId="132">
    <w:name w:val="font01"/>
    <w:qFormat/>
    <w:uiPriority w:val="0"/>
    <w:rPr>
      <w:rFonts w:hint="eastAsia" w:ascii="宋体" w:hAnsi="宋体" w:eastAsia="宋体" w:cs="宋体"/>
      <w:color w:val="000000"/>
      <w:sz w:val="20"/>
      <w:szCs w:val="20"/>
      <w:u w:val="none"/>
    </w:rPr>
  </w:style>
  <w:style w:type="character" w:customStyle="1" w:styleId="133">
    <w:name w:val="bds_more4"/>
    <w:qFormat/>
    <w:uiPriority w:val="0"/>
  </w:style>
  <w:style w:type="character" w:customStyle="1" w:styleId="134">
    <w:name w:val="polysemyred"/>
    <w:qFormat/>
    <w:uiPriority w:val="0"/>
    <w:rPr>
      <w:color w:val="FF6666"/>
      <w:sz w:val="18"/>
      <w:szCs w:val="18"/>
    </w:rPr>
  </w:style>
  <w:style w:type="character" w:customStyle="1" w:styleId="135">
    <w:name w:val="纯文本 字符"/>
    <w:qFormat/>
    <w:uiPriority w:val="0"/>
    <w:rPr>
      <w:rFonts w:ascii="宋体" w:hAnsi="Courier New" w:eastAsia="宋体" w:cs="Courier New"/>
      <w:kern w:val="2"/>
      <w:sz w:val="21"/>
      <w:szCs w:val="21"/>
      <w:lang w:val="en-US" w:eastAsia="zh-CN" w:bidi="ar-SA"/>
    </w:rPr>
  </w:style>
  <w:style w:type="character" w:customStyle="1" w:styleId="136">
    <w:name w:val="param-name"/>
    <w:qFormat/>
    <w:uiPriority w:val="0"/>
  </w:style>
  <w:style w:type="character" w:customStyle="1" w:styleId="137">
    <w:name w:val="正文表格 字符"/>
    <w:link w:val="138"/>
    <w:qFormat/>
    <w:uiPriority w:val="0"/>
    <w:rPr>
      <w:sz w:val="24"/>
      <w:szCs w:val="24"/>
    </w:rPr>
  </w:style>
  <w:style w:type="paragraph" w:customStyle="1" w:styleId="138">
    <w:name w:val="正文表格"/>
    <w:basedOn w:val="1"/>
    <w:link w:val="137"/>
    <w:qFormat/>
    <w:uiPriority w:val="0"/>
    <w:pPr>
      <w:tabs>
        <w:tab w:val="left" w:pos="425"/>
      </w:tabs>
      <w:adjustRightInd w:val="0"/>
      <w:spacing w:line="360" w:lineRule="auto"/>
      <w:jc w:val="center"/>
      <w:textAlignment w:val="baseline"/>
    </w:pPr>
    <w:rPr>
      <w:kern w:val="0"/>
      <w:sz w:val="24"/>
    </w:rPr>
  </w:style>
  <w:style w:type="paragraph" w:customStyle="1" w:styleId="139">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1">
    <w:name w:val="Char Char Char Char Char Char Char"/>
    <w:basedOn w:val="1"/>
    <w:qFormat/>
    <w:uiPriority w:val="0"/>
    <w:rPr>
      <w:rFonts w:ascii="宋体" w:hAnsi="宋体" w:eastAsia="黑体"/>
      <w:sz w:val="32"/>
      <w:szCs w:val="20"/>
      <w:lang w:eastAsia="en-US"/>
    </w:rPr>
  </w:style>
  <w:style w:type="paragraph" w:customStyle="1" w:styleId="142">
    <w:name w:val="Table Text"/>
    <w:basedOn w:val="1"/>
    <w:qFormat/>
    <w:uiPriority w:val="99"/>
    <w:pPr>
      <w:widowControl/>
      <w:spacing w:before="60" w:after="60"/>
      <w:jc w:val="center"/>
    </w:pPr>
    <w:rPr>
      <w:bCs/>
      <w:kern w:val="0"/>
      <w:sz w:val="24"/>
      <w:lang w:eastAsia="en-US"/>
    </w:rPr>
  </w:style>
  <w:style w:type="paragraph" w:customStyle="1" w:styleId="143">
    <w:name w:val="_Style 142"/>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44">
    <w:name w:val="样式2"/>
    <w:basedOn w:val="36"/>
    <w:qFormat/>
    <w:uiPriority w:val="0"/>
    <w:pPr>
      <w:numPr>
        <w:ilvl w:val="0"/>
        <w:numId w:val="3"/>
      </w:numPr>
      <w:tabs>
        <w:tab w:val="left" w:pos="425"/>
      </w:tabs>
      <w:adjustRightInd w:val="0"/>
      <w:spacing w:line="360" w:lineRule="auto"/>
      <w:jc w:val="left"/>
      <w:textAlignment w:val="baseline"/>
      <w:outlineLvl w:val="0"/>
    </w:pPr>
    <w:rPr>
      <w:rFonts w:ascii="Calibri" w:hAnsi="Calibri" w:eastAsia="宋体"/>
      <w:b/>
      <w:kern w:val="0"/>
      <w:sz w:val="24"/>
      <w:szCs w:val="24"/>
    </w:rPr>
  </w:style>
  <w:style w:type="paragraph" w:customStyle="1" w:styleId="145">
    <w:name w:val="表格文字"/>
    <w:basedOn w:val="1"/>
    <w:qFormat/>
    <w:uiPriority w:val="0"/>
    <w:pPr>
      <w:adjustRightInd w:val="0"/>
      <w:spacing w:line="420" w:lineRule="atLeast"/>
      <w:jc w:val="left"/>
      <w:textAlignment w:val="baseline"/>
    </w:pPr>
    <w:rPr>
      <w:kern w:val="0"/>
      <w:szCs w:val="20"/>
    </w:rPr>
  </w:style>
  <w:style w:type="paragraph" w:customStyle="1" w:styleId="146">
    <w:name w:val="样式1"/>
    <w:basedOn w:val="3"/>
    <w:qFormat/>
    <w:uiPriority w:val="0"/>
    <w:pPr>
      <w:tabs>
        <w:tab w:val="left" w:pos="425"/>
      </w:tabs>
      <w:adjustRightInd w:val="0"/>
      <w:spacing w:line="360" w:lineRule="auto"/>
      <w:ind w:left="425" w:hanging="425"/>
      <w:jc w:val="left"/>
      <w:textAlignment w:val="baseline"/>
    </w:pPr>
    <w:rPr>
      <w:b w:val="0"/>
      <w:sz w:val="24"/>
    </w:rPr>
  </w:style>
  <w:style w:type="paragraph" w:customStyle="1" w:styleId="147">
    <w:name w:val="_Style 146"/>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正文文本缩进 21"/>
    <w:basedOn w:val="1"/>
    <w:qFormat/>
    <w:uiPriority w:val="0"/>
    <w:pPr>
      <w:adjustRightInd w:val="0"/>
      <w:spacing w:line="360" w:lineRule="atLeast"/>
      <w:ind w:left="720"/>
      <w:jc w:val="left"/>
      <w:textAlignment w:val="baseline"/>
    </w:pPr>
    <w:rPr>
      <w:kern w:val="0"/>
      <w:sz w:val="24"/>
    </w:rPr>
  </w:style>
  <w:style w:type="paragraph" w:customStyle="1" w:styleId="149">
    <w:name w:val="Address"/>
    <w:basedOn w:val="1"/>
    <w:next w:val="1"/>
    <w:qFormat/>
    <w:uiPriority w:val="0"/>
    <w:pPr>
      <w:autoSpaceDE w:val="0"/>
      <w:autoSpaceDN w:val="0"/>
      <w:adjustRightInd w:val="0"/>
      <w:jc w:val="left"/>
    </w:pPr>
    <w:rPr>
      <w:i/>
      <w:kern w:val="0"/>
      <w:sz w:val="24"/>
      <w:szCs w:val="20"/>
    </w:rPr>
  </w:style>
  <w:style w:type="paragraph" w:customStyle="1" w:styleId="150">
    <w:name w:val="Char Char Char Char"/>
    <w:basedOn w:val="1"/>
    <w:qFormat/>
    <w:uiPriority w:val="0"/>
    <w:rPr>
      <w:rFonts w:ascii="Tahoma" w:hAnsi="Tahoma"/>
      <w:sz w:val="24"/>
      <w:szCs w:val="20"/>
    </w:rPr>
  </w:style>
  <w:style w:type="paragraph" w:customStyle="1" w:styleId="15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54">
    <w:name w:val="样式 标题 2H2h22nd levelTitre2l22Header 2h:2h:2appT2ALev..."/>
    <w:basedOn w:val="4"/>
    <w:qFormat/>
    <w:uiPriority w:val="0"/>
    <w:pPr>
      <w:spacing w:before="0" w:beforeLines="50" w:after="0" w:afterLines="50" w:line="240" w:lineRule="auto"/>
      <w:ind w:firstLine="196" w:firstLineChars="196"/>
    </w:pPr>
    <w:rPr>
      <w:rFonts w:ascii="宋体" w:hAnsi="宋体" w:eastAsia="宋体" w:cs="宋体"/>
      <w:color w:val="000000"/>
      <w:sz w:val="28"/>
      <w:szCs w:val="28"/>
    </w:rPr>
  </w:style>
  <w:style w:type="paragraph" w:customStyle="1" w:styleId="155">
    <w:name w:val="Table Paragraph"/>
    <w:basedOn w:val="1"/>
    <w:qFormat/>
    <w:uiPriority w:val="1"/>
    <w:rPr>
      <w:rFonts w:ascii="宋体" w:hAnsi="宋体" w:cs="宋体"/>
      <w:lang w:val="zh-CN" w:bidi="zh-CN"/>
    </w:rPr>
  </w:style>
  <w:style w:type="paragraph" w:customStyle="1" w:styleId="15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57">
    <w:name w:val="样式 样式 首行缩进:  2 字符 + 首行缩进:  2 字符 Char Char"/>
    <w:basedOn w:val="1"/>
    <w:qFormat/>
    <w:uiPriority w:val="0"/>
    <w:pPr>
      <w:ind w:firstLine="480" w:firstLineChars="200"/>
    </w:pPr>
    <w:rPr>
      <w:sz w:val="24"/>
      <w:szCs w:val="20"/>
    </w:rPr>
  </w:style>
  <w:style w:type="paragraph" w:customStyle="1" w:styleId="158">
    <w:name w:val="1"/>
    <w:basedOn w:val="1"/>
    <w:next w:val="1"/>
    <w:qFormat/>
    <w:uiPriority w:val="0"/>
  </w:style>
  <w:style w:type="paragraph" w:customStyle="1" w:styleId="1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0">
    <w:name w:val="评标报告_标题-国际"/>
    <w:basedOn w:val="5"/>
    <w:next w:val="1"/>
    <w:qFormat/>
    <w:uiPriority w:val="0"/>
    <w:pPr>
      <w:spacing w:before="360" w:after="120" w:line="440" w:lineRule="exact"/>
    </w:pPr>
    <w:rPr>
      <w:rFonts w:ascii="仿宋_GB2312"/>
      <w:sz w:val="24"/>
    </w:rPr>
  </w:style>
  <w:style w:type="paragraph" w:customStyle="1" w:styleId="16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162">
    <w:name w:val="样式 首行缩进:  2 字符 行距: 多倍行距 1.75 字行"/>
    <w:basedOn w:val="1"/>
    <w:qFormat/>
    <w:uiPriority w:val="0"/>
    <w:pPr>
      <w:spacing w:line="420" w:lineRule="auto"/>
      <w:ind w:firstLine="480" w:firstLineChars="200"/>
    </w:pPr>
    <w:rPr>
      <w:rFonts w:cs="宋体"/>
      <w:lang w:bidi="he-IL"/>
    </w:rPr>
  </w:style>
  <w:style w:type="paragraph" w:customStyle="1" w:styleId="163">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164">
    <w:name w:val="正文文本 21"/>
    <w:basedOn w:val="1"/>
    <w:qFormat/>
    <w:uiPriority w:val="0"/>
    <w:pPr>
      <w:widowControl/>
      <w:adjustRightInd w:val="0"/>
      <w:spacing w:line="360" w:lineRule="atLeast"/>
      <w:jc w:val="left"/>
      <w:textAlignment w:val="baseline"/>
    </w:pPr>
    <w:rPr>
      <w:rFonts w:ascii="Arial" w:hAnsi="Arial"/>
      <w:b/>
      <w:color w:val="000000"/>
      <w:kern w:val="0"/>
      <w:sz w:val="22"/>
      <w:szCs w:val="20"/>
    </w:rPr>
  </w:style>
  <w:style w:type="paragraph" w:customStyle="1" w:styleId="16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table" w:customStyle="1" w:styleId="166">
    <w:name w:val="网格型1"/>
    <w:basedOn w:val="41"/>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2"/>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1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2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3"/>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4"/>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5"/>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6"/>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7"/>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8"/>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9"/>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0"/>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
    <w:basedOn w:val="4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9">
    <w:name w:val="font31"/>
    <w:qFormat/>
    <w:uiPriority w:val="0"/>
    <w:rPr>
      <w:rFonts w:hint="default" w:ascii="Times New Roman" w:hAnsi="Times New Roman" w:cs="Times New Roman"/>
      <w:color w:val="000000"/>
      <w:sz w:val="20"/>
      <w:szCs w:val="20"/>
      <w:u w:val="none"/>
    </w:rPr>
  </w:style>
  <w:style w:type="character" w:customStyle="1" w:styleId="180">
    <w:name w:val="font81"/>
    <w:basedOn w:val="43"/>
    <w:qFormat/>
    <w:uiPriority w:val="0"/>
    <w:rPr>
      <w:rFonts w:hint="eastAsia" w:ascii="宋体" w:hAnsi="宋体" w:eastAsia="宋体" w:cs="宋体"/>
      <w:color w:val="000000"/>
      <w:sz w:val="22"/>
      <w:szCs w:val="22"/>
      <w:u w:val="none"/>
    </w:rPr>
  </w:style>
  <w:style w:type="character" w:customStyle="1" w:styleId="181">
    <w:name w:val="font91"/>
    <w:basedOn w:val="43"/>
    <w:qFormat/>
    <w:uiPriority w:val="0"/>
    <w:rPr>
      <w:rFonts w:hint="eastAsia" w:ascii="宋体" w:hAns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643</Words>
  <Characters>697</Characters>
  <Lines>205</Lines>
  <Paragraphs>57</Paragraphs>
  <TotalTime>6</TotalTime>
  <ScaleCrop>false</ScaleCrop>
  <LinksUpToDate>false</LinksUpToDate>
  <CharactersWithSpaces>775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2016-06-29T08:45:00Z</dcterms:created>
  <dc:creator>acer</dc:creator>
  <cp:lastModifiedBy>gcb</cp:lastModifiedBy>
  <cp:lastPrinted>2022-01-04T06:46:00Z</cp:lastPrinted>
  <dcterms:modified xsi:type="dcterms:W3CDTF">2025-06-19T08:40:15Z</dcterms:modified>
  <dc:title>附件二：</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A5DD25AEFFCB4DF3B6F35F8564425FFB</vt:lpwstr>
  </property>
  <property fmtid="{D5CDD505-2E9C-101B-9397-08002B2CF9AE}" pid="4" name="commondata">
    <vt:lpwstr>eyJoZGlkIjoiMmMxNTEwOWU5YTZkMDZhMWY1NTNhYTIyOTc4YWEwYzAifQ==</vt:lpwstr>
  </property>
  <property fmtid="{D5CDD505-2E9C-101B-9397-08002B2CF9AE}" pid="5" name="KSOTemplateDocerSaveRecord">
    <vt:lpwstr>eyJoZGlkIjoiN2YzNjBkOTgyNWQ1YTMxYzM3MzMwNWFiODNmOWIzYWMiLCJ1c2VySWQiOiI0MDA3Nzk4NzcifQ==</vt:lpwstr>
  </property>
</Properties>
</file>