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52042286"/>
      <w:bookmarkStart w:id="1" w:name="_Toc144974478"/>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3"/>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9"/>
        <w:spacing w:line="360" w:lineRule="auto"/>
        <w:ind w:left="1440" w:right="-22" w:firstLine="422"/>
        <w:rPr>
          <w:rFonts w:ascii="宋体" w:hAnsi="宋体"/>
          <w:b/>
          <w:szCs w:val="21"/>
          <w:highlight w:val="none"/>
        </w:rPr>
      </w:pPr>
    </w:p>
    <w:p>
      <w:pPr>
        <w:pStyle w:val="9"/>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WKZB-2025-027</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MDCK细胞专用无血清培养基</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9"/>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9"/>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9"/>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9"/>
        <w:tabs>
          <w:tab w:val="left" w:pos="3675"/>
          <w:tab w:val="left" w:pos="5040"/>
        </w:tabs>
        <w:spacing w:line="360" w:lineRule="auto"/>
        <w:ind w:right="-22" w:firstLine="1476" w:firstLineChars="700"/>
        <w:rPr>
          <w:rFonts w:hint="eastAsia" w:ascii="宋体" w:hAnsi="宋体"/>
          <w:b/>
          <w:szCs w:val="21"/>
          <w:highlight w:val="none"/>
        </w:rPr>
      </w:pPr>
    </w:p>
    <w:p>
      <w:pPr>
        <w:pStyle w:val="9"/>
        <w:tabs>
          <w:tab w:val="left" w:pos="3675"/>
          <w:tab w:val="left" w:pos="5040"/>
        </w:tabs>
        <w:spacing w:line="360" w:lineRule="auto"/>
        <w:ind w:right="-22" w:firstLine="1476" w:firstLineChars="700"/>
        <w:rPr>
          <w:rFonts w:hint="eastAsia" w:ascii="宋体" w:hAnsi="宋体"/>
          <w:b/>
          <w:szCs w:val="21"/>
          <w:highlight w:val="none"/>
        </w:rPr>
      </w:pPr>
    </w:p>
    <w:p>
      <w:pPr>
        <w:pStyle w:val="9"/>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9"/>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十</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3"/>
        <w:numPr>
          <w:ilvl w:val="0"/>
          <w:numId w:val="8"/>
        </w:numPr>
        <w:spacing w:before="120" w:after="120" w:line="360" w:lineRule="auto"/>
        <w:jc w:val="center"/>
        <w:rPr>
          <w:rFonts w:hint="default" w:ascii="宋体" w:hAnsi="宋体"/>
          <w:bCs w:val="0"/>
          <w:sz w:val="28"/>
          <w:szCs w:val="28"/>
          <w:highlight w:val="none"/>
          <w:lang w:val="en-US"/>
        </w:rPr>
      </w:pPr>
      <w:bookmarkStart w:id="2" w:name="_Toc390940504"/>
      <w:bookmarkStart w:id="3" w:name="_Toc109736025"/>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847"/>
      <w:bookmarkStart w:id="6" w:name="_Toc7081"/>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MDCK细胞专用无血清培养基</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6492"/>
      <w:bookmarkStart w:id="8" w:name="_Toc4790"/>
      <w:r>
        <w:rPr>
          <w:rFonts w:hint="eastAsia" w:ascii="宋体" w:hAnsi="宋体" w:cs="宋体"/>
          <w:szCs w:val="21"/>
          <w:highlight w:val="none"/>
        </w:rPr>
        <w:t>（招标编号：</w:t>
      </w:r>
      <w:r>
        <w:rPr>
          <w:rFonts w:hint="eastAsia" w:ascii="宋体" w:hAnsi="宋体" w:cs="宋体"/>
          <w:szCs w:val="21"/>
          <w:highlight w:val="none"/>
          <w:lang w:val="en-US" w:eastAsia="zh-CN"/>
        </w:rPr>
        <w:t>WKZB-2025-027</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5989"/>
      <w:bookmarkStart w:id="10" w:name="_Toc8276"/>
      <w:bookmarkStart w:id="11" w:name="_Toc24469"/>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MDCK细胞专用无血清培养基</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28608"/>
      <w:bookmarkStart w:id="13" w:name="_Toc6931"/>
      <w:bookmarkStart w:id="14" w:name="_Toc10698"/>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color w:val="FF0000"/>
          <w:szCs w:val="21"/>
          <w:highlight w:val="none"/>
          <w:lang w:val="en-US" w:bidi="zh-CN"/>
        </w:rPr>
      </w:pPr>
      <w:r>
        <w:rPr>
          <w:rFonts w:hint="eastAsia" w:ascii="宋体" w:hAnsi="宋体" w:cs="宋体"/>
          <w:color w:val="FF0000"/>
          <w:szCs w:val="21"/>
          <w:highlight w:val="none"/>
          <w:lang w:val="zh-CN" w:bidi="zh-CN"/>
        </w:rPr>
        <w:t>规模：国药集团扬州威克生物工程有限公司</w:t>
      </w:r>
      <w:r>
        <w:rPr>
          <w:rFonts w:hint="eastAsia" w:ascii="宋体" w:hAnsi="宋体" w:cs="宋体"/>
          <w:color w:val="FF0000"/>
          <w:szCs w:val="21"/>
          <w:highlight w:val="none"/>
          <w:lang w:bidi="zh-CN"/>
        </w:rPr>
        <w:t>拟采购</w:t>
      </w:r>
      <w:r>
        <w:rPr>
          <w:rFonts w:hint="eastAsia" w:ascii="宋体" w:hAnsi="宋体" w:cs="宋体"/>
          <w:color w:val="FF0000"/>
          <w:szCs w:val="21"/>
          <w:highlight w:val="none"/>
          <w:lang w:val="en-US" w:bidi="zh-CN"/>
        </w:rPr>
        <w:t>MDCK细胞专用无血清培养基。</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FF0000"/>
          <w:szCs w:val="21"/>
          <w:highlight w:val="none"/>
          <w:lang w:val="zh-CN" w:bidi="zh-CN"/>
        </w:rPr>
      </w:pPr>
      <w:r>
        <w:rPr>
          <w:rFonts w:hint="eastAsia" w:ascii="宋体" w:hAnsi="宋体" w:cs="宋体"/>
          <w:color w:val="FF0000"/>
          <w:spacing w:val="-5"/>
          <w:szCs w:val="21"/>
          <w:highlight w:val="none"/>
          <w:lang w:val="zh-CN" w:bidi="zh-CN"/>
        </w:rPr>
        <w:t xml:space="preserve">范围：本招标项目划分为 </w:t>
      </w:r>
      <w:r>
        <w:rPr>
          <w:rFonts w:hint="eastAsia" w:ascii="宋体" w:hAnsi="宋体" w:cs="宋体"/>
          <w:color w:val="FF0000"/>
          <w:spacing w:val="-5"/>
          <w:szCs w:val="21"/>
          <w:highlight w:val="none"/>
          <w:lang w:val="en-US" w:bidi="zh-CN"/>
        </w:rPr>
        <w:t>1</w:t>
      </w:r>
      <w:r>
        <w:rPr>
          <w:rFonts w:hint="eastAsia" w:ascii="宋体" w:hAnsi="宋体" w:cs="宋体"/>
          <w:color w:val="FF0000"/>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color w:val="FF0000"/>
          <w:szCs w:val="21"/>
          <w:highlight w:val="none"/>
          <w:lang w:val="zh-CN" w:bidi="zh-CN"/>
        </w:rPr>
      </w:pPr>
      <w:r>
        <w:rPr>
          <w:rFonts w:hint="eastAsia" w:ascii="宋体" w:hAnsi="宋体" w:cs="宋体"/>
          <w:color w:val="FF0000"/>
          <w:szCs w:val="21"/>
          <w:highlight w:val="none"/>
          <w:lang w:val="zh-CN" w:bidi="zh-CN"/>
        </w:rPr>
        <w:t>(001)国药集团扬州威克生物工程有限公司</w:t>
      </w:r>
      <w:r>
        <w:rPr>
          <w:rFonts w:hint="eastAsia" w:ascii="宋体" w:hAnsi="宋体" w:cs="宋体"/>
          <w:color w:val="FF0000"/>
          <w:szCs w:val="21"/>
          <w:highlight w:val="none"/>
          <w:lang w:val="en-US" w:bidi="zh-CN"/>
        </w:rPr>
        <w:t>MDCK细胞专用无血清培养基</w:t>
      </w:r>
      <w:r>
        <w:rPr>
          <w:rFonts w:hint="eastAsia" w:ascii="宋体" w:hAnsi="宋体" w:cs="宋体"/>
          <w:color w:val="FF0000"/>
          <w:szCs w:val="21"/>
          <w:highlight w:val="none"/>
          <w:lang w:val="zh-CN" w:bidi="zh-CN"/>
        </w:rPr>
        <w:t xml:space="preserve">采购;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5843"/>
      <w:bookmarkStart w:id="16" w:name="_Toc23826"/>
      <w:bookmarkStart w:id="17" w:name="_Toc1963"/>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MDCK细胞专用无血清培养基</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FF0000"/>
          <w:szCs w:val="21"/>
          <w:highlight w:val="none"/>
        </w:rPr>
      </w:pPr>
      <w:r>
        <w:rPr>
          <w:rFonts w:hint="eastAsia" w:ascii="宋体" w:hAnsi="宋体" w:cs="宋体"/>
          <w:bCs/>
          <w:color w:val="auto"/>
          <w:szCs w:val="21"/>
          <w:highlight w:val="none"/>
        </w:rPr>
        <w:t>具有</w:t>
      </w:r>
      <w:r>
        <w:rPr>
          <w:rFonts w:hint="eastAsia" w:ascii="宋体" w:hAnsi="宋体" w:cs="宋体"/>
          <w:bCs/>
          <w:szCs w:val="21"/>
          <w:highlight w:val="none"/>
        </w:rPr>
        <w:t>良好的财务状况(提供202</w:t>
      </w:r>
      <w:r>
        <w:rPr>
          <w:rFonts w:hint="eastAsia" w:ascii="宋体" w:hAnsi="宋体" w:cs="宋体"/>
          <w:bCs/>
          <w:szCs w:val="21"/>
          <w:highlight w:val="none"/>
          <w:lang w:val="en-US" w:eastAsia="zh-CN"/>
        </w:rPr>
        <w:t>4</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8299"/>
      <w:bookmarkStart w:id="19" w:name="_Toc7377"/>
      <w:bookmarkStart w:id="20" w:name="_Toc31840"/>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以招标公告时间为准</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4098"/>
      <w:bookmarkStart w:id="22" w:name="_Toc10836"/>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以招标公告时间为准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28425"/>
      <w:bookmarkStart w:id="24" w:name="_Toc6081"/>
      <w:bookmarkStart w:id="25" w:name="_Toc23490"/>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21387"/>
      <w:bookmarkStart w:id="27" w:name="_Toc7374"/>
      <w:bookmarkStart w:id="28" w:name="_Toc11141"/>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none"/>
          <w:lang w:val="en-US" w:bidi="zh-CN"/>
        </w:rPr>
        <w:t>2-3名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商入围MDCK细胞专用无血清培养基项目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w:t>
      </w:r>
      <w:r>
        <w:rPr>
          <w:rFonts w:hint="eastAsia" w:ascii="宋体" w:hAnsi="宋体" w:cs="宋体"/>
          <w:szCs w:val="21"/>
          <w:highlight w:val="none"/>
          <w:lang w:val="zh-CN" w:bidi="zh-CN"/>
        </w:rPr>
        <w:t>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color w:val="FF0000"/>
          <w:szCs w:val="21"/>
          <w:highlight w:val="none"/>
          <w:lang w:bidi="zh-CN"/>
        </w:rPr>
      </w:pPr>
      <w:r>
        <w:rPr>
          <w:rFonts w:hint="eastAsia" w:ascii="宋体" w:hAnsi="宋体" w:cs="宋体"/>
          <w:szCs w:val="21"/>
          <w:highlight w:val="none"/>
          <w:lang w:bidi="zh-CN"/>
        </w:rPr>
        <w:t>服务期限：</w:t>
      </w:r>
      <w:r>
        <w:rPr>
          <w:rFonts w:hint="eastAsia" w:ascii="宋体" w:hAnsi="宋体" w:cs="宋体"/>
          <w:color w:val="FF0000"/>
          <w:szCs w:val="21"/>
          <w:highlight w:val="none"/>
          <w:lang w:bidi="zh-CN"/>
        </w:rPr>
        <w:t>合同签订之日起</w:t>
      </w:r>
      <w:r>
        <w:rPr>
          <w:rFonts w:hint="eastAsia" w:ascii="宋体" w:hAnsi="宋体" w:cs="宋体"/>
          <w:color w:val="FF0000"/>
          <w:szCs w:val="21"/>
          <w:highlight w:val="none"/>
          <w:lang w:val="en-US" w:bidi="zh-CN"/>
        </w:rPr>
        <w:t>1年</w:t>
      </w:r>
      <w:r>
        <w:rPr>
          <w:rFonts w:hint="eastAsia" w:ascii="宋体" w:hAnsi="宋体" w:cs="宋体"/>
          <w:color w:val="FF0000"/>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4869"/>
      <w:bookmarkStart w:id="30" w:name="_Toc30277"/>
      <w:bookmarkStart w:id="31" w:name="_Toc161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32313"/>
      <w:bookmarkStart w:id="33" w:name="_Toc21816"/>
      <w:bookmarkStart w:id="34" w:name="_Toc24185"/>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ascii="宋体" w:hAnsi="宋体" w:eastAsia="宋体" w:cs="宋体"/>
          <w:sz w:val="24"/>
          <w:szCs w:val="24"/>
        </w:rPr>
        <w:t>chenjuan1@sinopharm.com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109736026"/>
      <w:bookmarkStart w:id="36" w:name="_Toc152042303"/>
      <w:bookmarkStart w:id="37" w:name="_Toc25653"/>
      <w:bookmarkStart w:id="38" w:name="_Toc179632544"/>
      <w:bookmarkStart w:id="39" w:name="_Toc390940505"/>
      <w:bookmarkStart w:id="40" w:name="_Toc233102490"/>
      <w:bookmarkStart w:id="41" w:name="_Toc152045527"/>
      <w:bookmarkStart w:id="42" w:name="_Toc144974495"/>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390940506"/>
      <w:bookmarkStart w:id="44" w:name="_Toc109736027"/>
      <w:bookmarkStart w:id="45" w:name="_Toc233102491"/>
      <w:bookmarkStart w:id="46" w:name="_Toc179632545"/>
      <w:bookmarkStart w:id="47" w:name="_Toc144974496"/>
      <w:bookmarkStart w:id="48" w:name="_Toc20399"/>
      <w:bookmarkStart w:id="49" w:name="_Toc18804"/>
      <w:bookmarkStart w:id="50" w:name="_Toc152042304"/>
      <w:bookmarkStart w:id="51" w:name="_Toc152045528"/>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eastAsia" w:ascii="宋体" w:hAnsi="宋体" w:eastAsia="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陈娟</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4</w:t>
            </w:r>
            <w:r>
              <w:rPr>
                <w:rFonts w:hint="eastAsia"/>
                <w:highlight w:val="none"/>
              </w:rPr>
              <w:t>年年度经会计师事务所审计财务报表，含资</w:t>
            </w:r>
          </w:p>
          <w:p>
            <w:pPr>
              <w:spacing w:line="360" w:lineRule="auto"/>
              <w:rPr>
                <w:rFonts w:hint="eastAsia"/>
                <w:highlight w:val="none"/>
              </w:rPr>
            </w:pPr>
            <w:r>
              <w:rPr>
                <w:rFonts w:hint="eastAsia"/>
                <w:highlight w:val="none"/>
              </w:rPr>
              <w:t>产负债表、损益表（利润表）、现金流量表，有依法缴纳税收和社会</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szCs w:val="21"/>
                <w:highlight w:val="none"/>
              </w:rPr>
            </w:pPr>
            <w:r>
              <w:rPr>
                <w:rFonts w:hint="eastAsia" w:ascii="宋体" w:hAnsi="宋体"/>
                <w:szCs w:val="21"/>
                <w:highlight w:val="none"/>
              </w:rPr>
              <w:t>投标截止期：</w:t>
            </w:r>
            <w:r>
              <w:rPr>
                <w:rFonts w:hint="eastAsia" w:ascii="宋体" w:hAnsi="宋体"/>
                <w:b/>
                <w:bCs/>
                <w:szCs w:val="21"/>
                <w:highlight w:val="yellow"/>
                <w:u w:val="single"/>
              </w:rPr>
              <w:t>以招标公告时间为准（北京时间）</w:t>
            </w:r>
            <w:bookmarkStart w:id="415" w:name="_GoBack"/>
            <w:bookmarkEnd w:id="415"/>
          </w:p>
          <w:p>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color w:val="FF0000"/>
                <w:highlight w:val="none"/>
                <w:lang w:val="en-US" w:eastAsia="zh-CN"/>
              </w:rPr>
              <w:t>2-3</w:t>
            </w:r>
            <w:r>
              <w:rPr>
                <w:rFonts w:hint="eastAsia"/>
                <w:highlight w:val="none"/>
              </w:rPr>
              <w:t>家供应商，以实际订单为准。</w:t>
            </w:r>
          </w:p>
          <w:p>
            <w:pPr>
              <w:spacing w:line="360" w:lineRule="auto"/>
              <w:rPr>
                <w:rFonts w:hint="default"/>
                <w:color w:val="FF0000"/>
                <w:highlight w:val="none"/>
                <w:lang w:val="en-US" w:eastAsia="zh-CN"/>
              </w:rPr>
            </w:pPr>
            <w:r>
              <w:rPr>
                <w:rFonts w:hint="eastAsia"/>
                <w:highlight w:val="none"/>
              </w:rPr>
              <w:t>2、付款方式：</w:t>
            </w:r>
            <w:r>
              <w:rPr>
                <w:rFonts w:hint="eastAsia"/>
                <w:color w:val="FF0000"/>
                <w:highlight w:val="none"/>
                <w:lang w:val="en-US" w:eastAsia="zh-CN"/>
              </w:rPr>
              <w:t>六个月款期，至少接受50%银行承兑汇票</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ascii="宋体" w:hAnsi="宋体" w:cs="宋体"/>
                <w:szCs w:val="21"/>
                <w:highlight w:val="none"/>
                <w:lang w:val="en-US" w:bidi="zh-CN"/>
              </w:rPr>
            </w:pPr>
            <w:r>
              <w:rPr>
                <w:rFonts w:hint="eastAsia"/>
                <w:highlight w:val="none"/>
              </w:rPr>
              <w:t>4、</w:t>
            </w:r>
            <w:r>
              <w:rPr>
                <w:rFonts w:hint="eastAsia" w:ascii="宋体" w:hAnsi="宋体" w:cs="宋体"/>
                <w:szCs w:val="21"/>
                <w:highlight w:val="none"/>
                <w:lang w:bidi="zh-CN"/>
              </w:rPr>
              <w:t>服务期限：</w:t>
            </w:r>
            <w:r>
              <w:rPr>
                <w:rFonts w:hint="eastAsia" w:ascii="宋体" w:hAnsi="宋体" w:cs="宋体"/>
                <w:color w:val="FF0000"/>
                <w:szCs w:val="21"/>
                <w:highlight w:val="none"/>
                <w:lang w:val="en-US" w:bidi="zh-CN"/>
              </w:rPr>
              <w:t>一年</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4"/>
        <w:spacing w:before="0" w:line="360" w:lineRule="auto"/>
        <w:ind w:left="0" w:leftChars="0" w:firstLine="0" w:firstLineChars="0"/>
        <w:jc w:val="both"/>
        <w:outlineLvl w:val="9"/>
        <w:rPr>
          <w:rFonts w:hint="eastAsia" w:ascii="宋体" w:hAnsi="宋体" w:eastAsia="宋体"/>
          <w:sz w:val="24"/>
          <w:szCs w:val="24"/>
          <w:highlight w:val="none"/>
        </w:rPr>
      </w:pPr>
      <w:bookmarkStart w:id="52" w:name="_Toc520356143"/>
      <w:bookmarkStart w:id="53" w:name="_Toc109736028"/>
      <w:bookmarkStart w:id="54" w:name="_Toc216582805"/>
      <w:bookmarkStart w:id="55" w:name="_Toc144974497"/>
      <w:bookmarkStart w:id="56" w:name="_Toc152042305"/>
      <w:bookmarkStart w:id="57" w:name="_Toc152045529"/>
      <w:bookmarkStart w:id="58" w:name="_Toc179632546"/>
      <w:bookmarkStart w:id="59" w:name="_Toc233102492"/>
    </w:p>
    <w:p>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109736029"/>
      <w:bookmarkStart w:id="62" w:name="_Toc17941"/>
      <w:bookmarkStart w:id="63" w:name="_Toc27571"/>
      <w:bookmarkStart w:id="64" w:name="_Toc520356144"/>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109736030"/>
      <w:bookmarkStart w:id="66" w:name="_Toc541"/>
      <w:bookmarkStart w:id="67" w:name="_Toc29658"/>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205"/>
      <w:bookmarkStart w:id="69" w:name="_Toc520356145"/>
      <w:bookmarkStart w:id="70" w:name="_Toc109736031"/>
      <w:bookmarkStart w:id="71" w:name="_Toc30223"/>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472"/>
      <w:bookmarkStart w:id="73" w:name="_Toc27623"/>
      <w:bookmarkStart w:id="74" w:name="_Toc109736032"/>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75" w:name="_Toc216582806"/>
      <w:bookmarkStart w:id="76" w:name="_Toc520356146"/>
      <w:bookmarkStart w:id="77" w:name="_Toc109736033"/>
      <w:bookmarkStart w:id="78" w:name="_Toc1810"/>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109736034"/>
      <w:bookmarkStart w:id="80" w:name="_Toc520356147"/>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520356148"/>
      <w:bookmarkStart w:id="82" w:name="_Toc109736035"/>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Ref467378678"/>
      <w:bookmarkStart w:id="84" w:name="_Toc109736036"/>
      <w:bookmarkStart w:id="85" w:name="_Toc520356149"/>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216582807"/>
      <w:bookmarkStart w:id="88" w:name="_Toc520356150"/>
    </w:p>
    <w:p>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8001"/>
      <w:bookmarkStart w:id="90" w:name="_Toc109736037"/>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109736038"/>
      <w:bookmarkStart w:id="92" w:name="_Toc516367021"/>
      <w:bookmarkStart w:id="93" w:name="_Toc520356151"/>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Ref467306676"/>
      <w:bookmarkStart w:id="95" w:name="_Toc516367022"/>
      <w:bookmarkStart w:id="96" w:name="_Ref467306195"/>
      <w:bookmarkStart w:id="97" w:name="_Toc520356152"/>
      <w:bookmarkStart w:id="98" w:name="_Toc109736039"/>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4929"/>
      <w:bookmarkStart w:id="101" w:name="_Hlt520276204"/>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109736040"/>
      <w:bookmarkStart w:id="103" w:name="_Toc516367023"/>
      <w:bookmarkStart w:id="104" w:name="_Toc520356153"/>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109736041"/>
      <w:bookmarkStart w:id="107" w:name="_Toc520356155"/>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Ref467306513"/>
      <w:bookmarkStart w:id="109" w:name="_Toc109736042"/>
      <w:bookmarkStart w:id="110" w:name="_Toc520356156"/>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109736043"/>
      <w:bookmarkStart w:id="114" w:name="_Toc520356157"/>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23629"/>
      <w:bookmarkStart w:id="118" w:name="_Toc216582808"/>
      <w:bookmarkStart w:id="119" w:name="_Toc109736045"/>
      <w:bookmarkStart w:id="120" w:name="_Toc520356159"/>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520356160"/>
      <w:bookmarkStart w:id="122" w:name="_Toc109736046"/>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109736047"/>
      <w:bookmarkStart w:id="124" w:name="_Toc520356161"/>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520356162"/>
      <w:bookmarkStart w:id="126" w:name="_Toc109736048"/>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4"/>
        <w:spacing w:before="0" w:line="360" w:lineRule="auto"/>
        <w:jc w:val="center"/>
        <w:rPr>
          <w:rFonts w:hint="eastAsia" w:ascii="宋体" w:hAnsi="宋体" w:eastAsia="宋体"/>
          <w:sz w:val="24"/>
          <w:szCs w:val="24"/>
          <w:highlight w:val="none"/>
        </w:rPr>
      </w:pPr>
      <w:bookmarkStart w:id="127" w:name="_Toc520356163"/>
      <w:bookmarkStart w:id="128" w:name="_Toc216582809"/>
      <w:bookmarkStart w:id="129" w:name="_Toc109736049"/>
      <w:bookmarkStart w:id="130" w:name="_Toc23762"/>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520356164"/>
      <w:bookmarkStart w:id="132" w:name="_Toc109736050"/>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142" w:name="_Toc109736055"/>
      <w:bookmarkStart w:id="143" w:name="_Toc6900"/>
      <w:bookmarkStart w:id="144" w:name="_Toc216582810"/>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520356170"/>
      <w:bookmarkStart w:id="146" w:name="_Toc109736056"/>
      <w:bookmarkStart w:id="147" w:name="_Ref46730701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Toc520356173"/>
      <w:bookmarkStart w:id="151" w:name="_Ref467306874"/>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Ref467307062"/>
      <w:bookmarkStart w:id="156" w:name="_Toc520356175"/>
      <w:bookmarkStart w:id="157" w:name="_Toc109736060"/>
      <w:bookmarkStart w:id="158" w:name="_Ref467306978"/>
      <w:bookmarkStart w:id="159" w:name="_Ref467306377"/>
      <w:bookmarkStart w:id="160" w:name="_Ref467307204"/>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Ref467307090"/>
      <w:bookmarkStart w:id="162" w:name="_Toc520356176"/>
      <w:bookmarkStart w:id="163" w:name="_Ref467306425"/>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4"/>
        <w:rPr>
          <w:rFonts w:hint="eastAsia" w:ascii="宋体" w:hAnsi="宋体" w:eastAsia="宋体"/>
          <w:sz w:val="21"/>
          <w:szCs w:val="21"/>
          <w:highlight w:val="none"/>
        </w:rPr>
      </w:pPr>
      <w:bookmarkStart w:id="169" w:name="_Toc109736065"/>
      <w:bookmarkStart w:id="170" w:name="_Toc1118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Toc487900349"/>
      <w:bookmarkStart w:id="172" w:name="_Toc415222497"/>
      <w:bookmarkStart w:id="173" w:name="_Ref467379101"/>
      <w:bookmarkStart w:id="174" w:name="_Ref467379094"/>
      <w:bookmarkStart w:id="175" w:name="_Ref467378499"/>
      <w:bookmarkStart w:id="176" w:name="_Ref467379205"/>
      <w:bookmarkStart w:id="177" w:name="_Ref467379109"/>
      <w:bookmarkStart w:id="178" w:name="_Ref467378404"/>
      <w:bookmarkStart w:id="179" w:name="_Ref467379214"/>
      <w:bookmarkStart w:id="180" w:name="_Ref467379225"/>
      <w:bookmarkStart w:id="181" w:name="_Ref467378463"/>
      <w:bookmarkStart w:id="182" w:name="_Ref467379195"/>
      <w:bookmarkStart w:id="183" w:name="_Toc11182"/>
      <w:bookmarkStart w:id="184" w:name="_Toc31576"/>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415222498"/>
      <w:bookmarkStart w:id="189" w:name="_Toc10889"/>
      <w:bookmarkStart w:id="190" w:name="_Toc487900350"/>
      <w:bookmarkStart w:id="191" w:name="_Toc31740"/>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487900351"/>
      <w:bookmarkStart w:id="193" w:name="_Toc10492"/>
      <w:bookmarkStart w:id="194" w:name="_Toc2425"/>
      <w:bookmarkStart w:id="195" w:name="_Toc415222499"/>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487900352"/>
      <w:bookmarkStart w:id="197" w:name="_Toc415222500"/>
      <w:bookmarkStart w:id="198" w:name="_Toc4693"/>
      <w:bookmarkStart w:id="199" w:name="_Toc18031"/>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1323"/>
      <w:bookmarkStart w:id="201" w:name="_Toc415222501"/>
      <w:bookmarkStart w:id="202" w:name="_Toc487900353"/>
      <w:bookmarkStart w:id="203" w:name="_Toc17967"/>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Toc18715"/>
      <w:bookmarkStart w:id="205" w:name="_Ref467379542"/>
      <w:bookmarkStart w:id="206" w:name="_Ref467378541"/>
      <w:bookmarkStart w:id="207" w:name="_Toc415222502"/>
      <w:bookmarkStart w:id="208" w:name="_Toc487900354"/>
      <w:bookmarkStart w:id="209" w:name="_Ref467379527"/>
      <w:bookmarkStart w:id="210" w:name="_Ref467378591"/>
      <w:bookmarkStart w:id="211" w:name="_Toc11864"/>
      <w:bookmarkStart w:id="212" w:name="_Ref467379536"/>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6625"/>
      <w:bookmarkStart w:id="215" w:name="_Toc487900355"/>
      <w:bookmarkStart w:id="216" w:name="_Toc415222503"/>
      <w:bookmarkStart w:id="217" w:name="_Toc12437"/>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Toc487900357"/>
      <w:bookmarkStart w:id="219" w:name="_Toc26337"/>
      <w:bookmarkStart w:id="220" w:name="_Ref467379793"/>
      <w:bookmarkStart w:id="221" w:name="_Toc415222504"/>
      <w:bookmarkStart w:id="222" w:name="_Toc15361"/>
      <w:bookmarkStart w:id="223" w:name="_Ref467379807"/>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Toc1380"/>
      <w:bookmarkStart w:id="225" w:name="_Ref467379863"/>
      <w:bookmarkStart w:id="226" w:name="_Ref467379852"/>
      <w:bookmarkStart w:id="227" w:name="_Toc487900358"/>
      <w:bookmarkStart w:id="228" w:name="_Toc6588"/>
      <w:bookmarkStart w:id="229" w:name="_Ref467379923"/>
      <w:bookmarkStart w:id="230" w:name="_Toc415222505"/>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Toc415222506"/>
      <w:bookmarkStart w:id="232" w:name="_Ref467377962"/>
      <w:bookmarkStart w:id="233" w:name="_Ref467379937"/>
      <w:bookmarkStart w:id="234" w:name="_Ref467379946"/>
      <w:bookmarkStart w:id="235" w:name="_Ref467377798"/>
      <w:bookmarkStart w:id="236" w:name="_Toc28649"/>
      <w:bookmarkStart w:id="237" w:name="_Toc15447"/>
      <w:bookmarkStart w:id="238" w:name="_Toc487900359"/>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Toc487900360"/>
      <w:bookmarkStart w:id="240" w:name="_Ref467378018"/>
      <w:bookmarkStart w:id="241" w:name="_Toc415222507"/>
      <w:bookmarkStart w:id="242" w:name="_Toc11317"/>
      <w:bookmarkStart w:id="243" w:name="_Toc7155"/>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31728"/>
      <w:bookmarkStart w:id="245" w:name="_Toc415222508"/>
      <w:bookmarkStart w:id="246" w:name="_Toc487900361"/>
      <w:bookmarkStart w:id="247" w:name="_Toc21509"/>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31482"/>
      <w:bookmarkStart w:id="250" w:name="_Toc487900362"/>
      <w:bookmarkStart w:id="251" w:name="_Toc15086"/>
      <w:bookmarkStart w:id="252" w:name="_Toc415222509"/>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19929"/>
      <w:bookmarkStart w:id="254" w:name="_Toc3725"/>
      <w:bookmarkStart w:id="255" w:name="_Toc415222510"/>
      <w:bookmarkStart w:id="256" w:name="_Toc487900363"/>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Ref467378121"/>
      <w:bookmarkStart w:id="258" w:name="_Toc415222511"/>
      <w:bookmarkStart w:id="259" w:name="_Toc487900364"/>
      <w:bookmarkStart w:id="260" w:name="_Toc6322"/>
      <w:bookmarkStart w:id="261" w:name="_Toc22040"/>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29320"/>
      <w:bookmarkStart w:id="263" w:name="_Toc487900365"/>
      <w:bookmarkStart w:id="264" w:name="_Toc1755"/>
      <w:bookmarkStart w:id="265" w:name="_Toc415222512"/>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415222513"/>
      <w:bookmarkStart w:id="269" w:name="_Toc21788"/>
      <w:bookmarkStart w:id="270" w:name="_Toc17669"/>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16231"/>
      <w:bookmarkStart w:id="272" w:name="_Toc9543"/>
      <w:bookmarkStart w:id="273" w:name="_Toc487900367"/>
      <w:bookmarkStart w:id="274" w:name="_Toc415222514"/>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487900368"/>
      <w:bookmarkStart w:id="277" w:name="_Toc23904"/>
      <w:bookmarkStart w:id="278" w:name="_Toc22065"/>
      <w:bookmarkStart w:id="279" w:name="_Toc415222515"/>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415222516"/>
      <w:bookmarkStart w:id="281" w:name="_Toc29725"/>
      <w:bookmarkStart w:id="282" w:name="_Toc487900369"/>
      <w:bookmarkStart w:id="283" w:name="_Toc10385"/>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487900370"/>
      <w:bookmarkStart w:id="285" w:name="_Toc13194"/>
      <w:bookmarkStart w:id="286" w:name="_Toc2142"/>
      <w:bookmarkStart w:id="287" w:name="_Toc415222517"/>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737"/>
      <w:bookmarkStart w:id="289" w:name="_Toc415222518"/>
      <w:bookmarkStart w:id="290" w:name="_Toc487900371"/>
      <w:bookmarkStart w:id="291" w:name="_Toc14345"/>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30523"/>
      <w:bookmarkStart w:id="293" w:name="_Toc415222519"/>
      <w:bookmarkStart w:id="294" w:name="_Toc487900372"/>
      <w:bookmarkStart w:id="295" w:name="_Toc27508"/>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487900373"/>
      <w:bookmarkStart w:id="297" w:name="_Toc23747"/>
      <w:bookmarkStart w:id="298" w:name="_Toc28567"/>
      <w:bookmarkStart w:id="299" w:name="_Toc415222520"/>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415222521"/>
      <w:bookmarkStart w:id="301" w:name="_Toc26432"/>
      <w:bookmarkStart w:id="302" w:name="_Toc5896"/>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415222522"/>
      <w:bookmarkStart w:id="305" w:name="_Toc26939"/>
      <w:bookmarkStart w:id="306" w:name="_Toc31958"/>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8935339"/>
      <w:bookmarkStart w:id="308" w:name="_Toc216513786"/>
      <w:bookmarkStart w:id="309" w:name="_Toc219175623"/>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4"/>
        <w:rPr>
          <w:rFonts w:hint="eastAsia" w:ascii="宋体" w:hAnsi="宋体" w:eastAsia="宋体"/>
          <w:sz w:val="21"/>
          <w:szCs w:val="21"/>
          <w:highlight w:val="none"/>
        </w:rPr>
      </w:pPr>
      <w:r>
        <w:rPr>
          <w:rFonts w:ascii="宋体" w:hAnsi="宋体" w:eastAsia="宋体"/>
          <w:sz w:val="21"/>
          <w:szCs w:val="21"/>
          <w:highlight w:val="none"/>
        </w:rPr>
        <w:br w:type="page"/>
      </w:r>
      <w:bookmarkStart w:id="310" w:name="_Toc4088"/>
      <w:bookmarkStart w:id="311" w:name="_Toc109736066"/>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9"/>
        <w:spacing w:line="360" w:lineRule="auto"/>
        <w:ind w:left="540" w:leftChars="257"/>
        <w:rPr>
          <w:rFonts w:hint="eastAsia" w:ascii="宋体" w:hAnsi="宋体" w:cs="宋体"/>
          <w:szCs w:val="21"/>
          <w:highlight w:val="none"/>
        </w:rPr>
      </w:pPr>
    </w:p>
    <w:p>
      <w:pPr>
        <w:pStyle w:val="9"/>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20229326"/>
      <w:bookmarkStart w:id="314" w:name="_Toc219175636"/>
      <w:bookmarkStart w:id="315" w:name="_Toc218935352"/>
      <w:bookmarkStart w:id="316" w:name="_Toc220229431"/>
      <w:bookmarkStart w:id="317" w:name="_Toc15903"/>
      <w:bookmarkStart w:id="318" w:name="_Toc27454"/>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7540"/>
      <w:bookmarkStart w:id="320" w:name="_Toc19863"/>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8396"/>
      <w:bookmarkStart w:id="322" w:name="_Toc25119"/>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13500"/>
      <w:bookmarkStart w:id="324" w:name="_Toc22189"/>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888"/>
      <w:bookmarkStart w:id="326" w:name="_Toc18819"/>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7674"/>
      <w:bookmarkStart w:id="328" w:name="_Toc30466"/>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4"/>
        <w:rPr>
          <w:rFonts w:hint="eastAsia" w:ascii="宋体" w:hAnsi="宋体" w:eastAsia="宋体" w:cs="仿宋"/>
          <w:bCs w:val="0"/>
          <w:color w:val="FF0000"/>
          <w:sz w:val="24"/>
          <w:szCs w:val="24"/>
          <w:highlight w:val="none"/>
        </w:rPr>
      </w:pPr>
      <w:bookmarkStart w:id="329" w:name="_Toc21041"/>
      <w:bookmarkStart w:id="330" w:name="_Toc109736067"/>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投标人负责货物运输、卸货及培训。</w:t>
      </w:r>
    </w:p>
    <w:p>
      <w:pPr>
        <w:spacing w:line="360" w:lineRule="exact"/>
        <w:rPr>
          <w:rFonts w:ascii="宋体" w:hAnsi="宋体"/>
          <w:szCs w:val="21"/>
          <w:highlight w:val="none"/>
        </w:rPr>
      </w:pPr>
      <w:r>
        <w:rPr>
          <w:rFonts w:hint="eastAsia" w:ascii="宋体" w:hAnsi="宋体"/>
          <w:szCs w:val="21"/>
          <w:highlight w:val="none"/>
        </w:rPr>
        <w:t>6、交货方式：</w:t>
      </w:r>
    </w:p>
    <w:p>
      <w:pPr>
        <w:spacing w:line="360" w:lineRule="exact"/>
        <w:rPr>
          <w:rFonts w:hint="eastAsia" w:ascii="宋体" w:hAnsi="宋体"/>
          <w:szCs w:val="21"/>
          <w:highlight w:val="none"/>
        </w:rPr>
      </w:pPr>
      <w:r>
        <w:rPr>
          <w:rFonts w:hint="eastAsia" w:ascii="宋体" w:hAnsi="宋体"/>
          <w:szCs w:val="21"/>
          <w:highlight w:val="none"/>
        </w:rPr>
        <w:t>6.1　本合同项下的货物交货方式为：适用合同条款6.1.1 现场交货；</w:t>
      </w:r>
    </w:p>
    <w:p>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pPr>
        <w:spacing w:before="120" w:line="360" w:lineRule="exact"/>
        <w:rPr>
          <w:rFonts w:hint="default" w:ascii="宋体" w:hAnsi="宋体" w:eastAsia="宋体"/>
          <w:color w:val="FF0000"/>
          <w:szCs w:val="21"/>
          <w:highlight w:val="none"/>
          <w:lang w:val="en-US" w:eastAsia="zh-CN"/>
        </w:rPr>
      </w:pPr>
      <w:r>
        <w:rPr>
          <w:rFonts w:hint="eastAsia" w:ascii="宋体" w:hAnsi="宋体"/>
          <w:szCs w:val="21"/>
          <w:highlight w:val="none"/>
        </w:rPr>
        <w:t xml:space="preserve">8、付款条件： </w:t>
      </w:r>
      <w:r>
        <w:rPr>
          <w:rFonts w:hint="eastAsia" w:ascii="宋体" w:hAnsi="宋体"/>
          <w:color w:val="FF0000"/>
          <w:szCs w:val="21"/>
          <w:highlight w:val="none"/>
          <w:lang w:val="en-US" w:eastAsia="zh-CN"/>
        </w:rPr>
        <w:t>货到验收合格后开票，6个月后付款，可接受至少50%银行承兑汇票。</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pPr>
        <w:spacing w:before="120" w:line="360" w:lineRule="exact"/>
        <w:rPr>
          <w:rFonts w:ascii="宋体" w:hAnsi="宋体"/>
          <w:szCs w:val="21"/>
          <w:highlight w:val="none"/>
        </w:rPr>
      </w:pPr>
      <w:r>
        <w:rPr>
          <w:rFonts w:hint="eastAsia" w:ascii="宋体" w:hAnsi="宋体"/>
          <w:szCs w:val="21"/>
          <w:highlight w:val="none"/>
        </w:rPr>
        <w:t>12.3索赔通知期限：30天；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3"/>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415222523"/>
      <w:bookmarkStart w:id="332" w:name="_Toc109736068"/>
    </w:p>
    <w:p>
      <w:pPr>
        <w:pStyle w:val="3"/>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4"/>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Ref467988698"/>
      <w:bookmarkStart w:id="336" w:name="_Toc480942349"/>
      <w:bookmarkStart w:id="337" w:name="_Toc520356217"/>
      <w:bookmarkStart w:id="338" w:name="_Toc109736069"/>
      <w:bookmarkStart w:id="339" w:name="_Toc5329"/>
      <w:bookmarkStart w:id="340" w:name="_Toc415222524"/>
      <w:bookmarkStart w:id="341" w:name="_Toc216582813"/>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4"/>
        <w:tabs>
          <w:tab w:val="left" w:pos="5580"/>
        </w:tabs>
        <w:spacing w:before="0" w:line="360" w:lineRule="auto"/>
        <w:jc w:val="center"/>
        <w:rPr>
          <w:rFonts w:hint="eastAsia" w:ascii="宋体" w:hAnsi="宋体" w:eastAsia="宋体"/>
          <w:sz w:val="21"/>
          <w:szCs w:val="21"/>
          <w:highlight w:val="none"/>
        </w:rPr>
      </w:pPr>
      <w:bookmarkStart w:id="343" w:name="_Hlt520356243"/>
      <w:bookmarkEnd w:id="343"/>
      <w:bookmarkStart w:id="344" w:name="_Hlt520355938"/>
      <w:bookmarkEnd w:id="344"/>
      <w:bookmarkStart w:id="345" w:name="_Toc29788"/>
      <w:bookmarkStart w:id="346" w:name="_Toc216582814"/>
      <w:bookmarkStart w:id="347" w:name="_Toc520356218"/>
      <w:bookmarkStart w:id="348" w:name="_Toc480942350"/>
      <w:bookmarkStart w:id="349" w:name="_Toc109736070"/>
      <w:bookmarkStart w:id="350" w:name="_Toc415222525"/>
      <w:bookmarkStart w:id="351" w:name="_Ref467988705"/>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MDCK细胞专用无血清培养基</w:t>
      </w:r>
      <w:r>
        <w:rPr>
          <w:rFonts w:hint="eastAsia" w:hAnsi="宋体"/>
          <w:szCs w:val="21"/>
          <w:highlight w:val="none"/>
          <w:u w:val="single"/>
        </w:rPr>
        <w:t xml:space="preserve">                       </w:t>
      </w:r>
      <w:r>
        <w:rPr>
          <w:rFonts w:hAnsi="宋体"/>
          <w:szCs w:val="21"/>
          <w:highlight w:val="none"/>
        </w:rPr>
        <w:t xml:space="preserve">   </w:t>
      </w: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WKZB-2025-027</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r>
        <w:rPr>
          <w:rFonts w:hint="eastAsia" w:hAnsi="宋体"/>
          <w:b/>
          <w:bCs/>
          <w:szCs w:val="21"/>
          <w:highlight w:val="none"/>
          <w:lang w:val="en-US" w:eastAsia="zh-CN"/>
        </w:rPr>
        <w:t>此表装在单独的信封内密封，用于唱标</w:t>
      </w:r>
    </w:p>
    <w:p>
      <w:pPr>
        <w:tabs>
          <w:tab w:val="left" w:pos="1800"/>
          <w:tab w:val="left" w:pos="5580"/>
        </w:tabs>
        <w:spacing w:line="360" w:lineRule="auto"/>
        <w:rPr>
          <w:rFonts w:hint="eastAsia" w:ascii="宋体" w:hAnsi="宋体"/>
          <w:szCs w:val="21"/>
          <w:highlight w:val="none"/>
        </w:rPr>
      </w:pPr>
    </w:p>
    <w:tbl>
      <w:tblPr>
        <w:tblStyle w:val="51"/>
        <w:tblpPr w:leftFromText="180" w:rightFromText="180" w:vertAnchor="text" w:horzAnchor="page" w:tblpX="1367" w:tblpY="370"/>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3158"/>
        <w:gridCol w:w="1608"/>
        <w:gridCol w:w="1608"/>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760" w:type="pct"/>
            <w:vAlign w:val="center"/>
          </w:tcPr>
          <w:p>
            <w:pPr>
              <w:spacing w:line="380" w:lineRule="exact"/>
              <w:jc w:val="center"/>
              <w:rPr>
                <w:rFonts w:ascii="仿宋" w:hAnsi="仿宋" w:eastAsia="仿宋" w:cs="仿宋"/>
                <w:sz w:val="24"/>
                <w:highlight w:val="none"/>
              </w:rPr>
            </w:pPr>
          </w:p>
        </w:tc>
        <w:tc>
          <w:tcPr>
            <w:tcW w:w="1634"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品牌、货号及包装规格</w:t>
            </w:r>
          </w:p>
        </w:tc>
        <w:tc>
          <w:tcPr>
            <w:tcW w:w="832"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/L</w:t>
            </w:r>
            <w:r>
              <w:rPr>
                <w:rFonts w:hint="eastAsia" w:ascii="仿宋" w:hAnsi="仿宋" w:eastAsia="仿宋" w:cs="仿宋"/>
                <w:sz w:val="24"/>
                <w:highlight w:val="none"/>
              </w:rPr>
              <w:t>）</w:t>
            </w:r>
          </w:p>
        </w:tc>
        <w:tc>
          <w:tcPr>
            <w:tcW w:w="832"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rPr>
              <w:t>供货期</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天）</w:t>
            </w:r>
          </w:p>
        </w:tc>
        <w:tc>
          <w:tcPr>
            <w:tcW w:w="941" w:type="pct"/>
            <w:vAlign w:val="center"/>
          </w:tcPr>
          <w:p>
            <w:pPr>
              <w:spacing w:line="38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760"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MDCK细胞专用无血清培养基</w:t>
            </w:r>
            <w:r>
              <w:rPr>
                <w:rFonts w:hint="default" w:ascii="仿宋" w:hAnsi="仿宋" w:eastAsia="仿宋" w:cs="仿宋"/>
                <w:sz w:val="24"/>
                <w:highlight w:val="none"/>
                <w:lang w:val="en-US" w:eastAsia="zh-CN"/>
              </w:rPr>
              <w:t xml:space="preserve"> </w:t>
            </w:r>
          </w:p>
        </w:tc>
        <w:tc>
          <w:tcPr>
            <w:tcW w:w="1634" w:type="pct"/>
            <w:tcBorders>
              <w:left w:val="single" w:color="auto" w:sz="4" w:space="0"/>
              <w:bottom w:val="single" w:color="auto" w:sz="4" w:space="0"/>
              <w:right w:val="single" w:color="auto" w:sz="4" w:space="0"/>
            </w:tcBorders>
            <w:vAlign w:val="center"/>
          </w:tcPr>
          <w:p>
            <w:pPr>
              <w:spacing w:line="400" w:lineRule="exact"/>
              <w:jc w:val="both"/>
              <w:rPr>
                <w:rFonts w:hint="default" w:ascii="仿宋" w:hAnsi="仿宋" w:eastAsia="仿宋" w:cs="仿宋"/>
                <w:sz w:val="24"/>
                <w:highlight w:val="none"/>
                <w:lang w:val="en-US" w:eastAsia="zh-CN"/>
              </w:rPr>
            </w:pPr>
          </w:p>
        </w:tc>
        <w:tc>
          <w:tcPr>
            <w:tcW w:w="832"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832"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941"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一年</w:t>
            </w:r>
            <w:r>
              <w:rPr>
                <w:rFonts w:hint="eastAsia"/>
                <w:highlight w:val="none"/>
              </w:rPr>
              <w:t>。</w:t>
            </w:r>
          </w:p>
          <w:p>
            <w:pPr>
              <w:pStyle w:val="20"/>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pPr>
        <w:pStyle w:val="20"/>
        <w:rPr>
          <w:rFonts w:hint="eastAsia" w:ascii="宋体" w:hAnsi="宋体"/>
          <w:szCs w:val="21"/>
          <w:highlight w:val="none"/>
        </w:rPr>
      </w:pPr>
    </w:p>
    <w:p>
      <w:pPr>
        <w:pStyle w:val="2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216582818"/>
      <w:bookmarkStart w:id="353" w:name="_Toc415222529"/>
      <w:bookmarkStart w:id="354" w:name="_Toc109736072"/>
    </w:p>
    <w:p>
      <w:pPr>
        <w:rPr>
          <w:rFonts w:hint="eastAsia" w:hAnsi="宋体"/>
          <w:szCs w:val="21"/>
          <w:highlight w:val="none"/>
        </w:rPr>
      </w:pPr>
      <w:r>
        <w:rPr>
          <w:rFonts w:hint="eastAsia" w:hAnsi="宋体"/>
          <w:szCs w:val="21"/>
          <w:highlight w:val="none"/>
        </w:rPr>
        <w:br w:type="page"/>
      </w:r>
    </w:p>
    <w:p>
      <w:pPr>
        <w:pStyle w:val="4"/>
        <w:spacing w:before="0" w:line="360" w:lineRule="auto"/>
        <w:jc w:val="center"/>
        <w:rPr>
          <w:rFonts w:hint="eastAsia" w:ascii="宋体" w:hAnsi="宋体" w:eastAsia="宋体"/>
          <w:sz w:val="21"/>
          <w:szCs w:val="21"/>
          <w:highlight w:val="none"/>
        </w:rPr>
      </w:pP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MDCK细胞专用无血清培养基</w:t>
      </w:r>
      <w:r>
        <w:rPr>
          <w:rFonts w:hint="eastAsia" w:hAnsi="宋体"/>
          <w:szCs w:val="21"/>
          <w:highlight w:val="none"/>
          <w:u w:val="single"/>
        </w:rPr>
        <w:t xml:space="preserve">                       </w:t>
      </w:r>
      <w:r>
        <w:rPr>
          <w:rFonts w:hAnsi="宋体"/>
          <w:szCs w:val="21"/>
          <w:highlight w:val="none"/>
        </w:rPr>
        <w:t xml:space="preserve">   </w:t>
      </w:r>
    </w:p>
    <w:p>
      <w:pPr>
        <w:pStyle w:val="25"/>
        <w:spacing w:line="360" w:lineRule="auto"/>
        <w:ind w:left="1080" w:leftChars="257" w:hanging="540"/>
        <w:rPr>
          <w:rFonts w:hint="eastAsia" w:hAnsi="宋体"/>
          <w:szCs w:val="21"/>
          <w:highlight w:val="none"/>
        </w:rPr>
      </w:pP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WKZB-2025-027</w:t>
      </w:r>
      <w:r>
        <w:rPr>
          <w:rFonts w:hint="eastAsia" w:hAnsi="宋体"/>
          <w:szCs w:val="21"/>
          <w:highlight w:val="none"/>
          <w:u w:val="single"/>
        </w:rPr>
        <w:t xml:space="preserve">                  </w:t>
      </w: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1.7</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供应商负责货物运输，并卸货至采购方指定位置</w:t>
            </w:r>
          </w:p>
        </w:tc>
        <w:tc>
          <w:tcPr>
            <w:tcW w:w="221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526"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8</w:t>
            </w: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w:t>
            </w:r>
            <w:r>
              <w:rPr>
                <w:rFonts w:hint="eastAsia" w:ascii="宋体" w:hAnsi="宋体"/>
                <w:szCs w:val="21"/>
                <w:highlight w:val="none"/>
                <w:lang w:val="en-US" w:eastAsia="zh-CN"/>
              </w:rPr>
              <w:t>货到验收合格后开票，6个月后付款，可接受至少50%银行承兑汇票。</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（其他自行填写）</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109736073"/>
      <w:bookmarkStart w:id="358" w:name="_Toc216582817"/>
      <w:bookmarkStart w:id="359" w:name="_Toc415222528"/>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20"/>
        <w:rPr>
          <w:rFonts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MDCK细胞专用无血清培养基</w:t>
      </w:r>
      <w:r>
        <w:rPr>
          <w:rFonts w:hint="eastAsia" w:hAnsi="宋体"/>
          <w:szCs w:val="21"/>
          <w:highlight w:val="none"/>
          <w:u w:val="single"/>
        </w:rPr>
        <w:t xml:space="preserve">                       </w:t>
      </w:r>
      <w:r>
        <w:rPr>
          <w:rFonts w:hAnsi="宋体"/>
          <w:szCs w:val="21"/>
          <w:highlight w:val="none"/>
        </w:rPr>
        <w:t xml:space="preserve">    </w:t>
      </w:r>
    </w:p>
    <w:p>
      <w:pPr>
        <w:pStyle w:val="20"/>
        <w:rPr>
          <w:rFonts w:hint="eastAsia" w:hAnsi="宋体"/>
          <w:szCs w:val="21"/>
          <w:highlight w:val="none"/>
          <w:u w:val="single"/>
        </w:rPr>
      </w:pP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WKZB-2025-027</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0"/>
        <w:rPr>
          <w:rFonts w:hint="eastAsia" w:hAnsi="宋体"/>
          <w:szCs w:val="21"/>
          <w:highlight w:val="none"/>
          <w:u w:val="single"/>
        </w:rPr>
      </w:pPr>
    </w:p>
    <w:p>
      <w:pPr>
        <w:pStyle w:val="20"/>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对照第六章要求逐条填写，对符合的填写响应，不符合的说明“正偏离”或“负偏离”</w:t>
      </w:r>
      <w:r>
        <w:rPr>
          <w:rFonts w:hint="eastAsia" w:hAnsi="宋体"/>
          <w:color w:val="FF0000"/>
          <w:szCs w:val="21"/>
          <w:highlight w:val="none"/>
          <w:lang w:eastAsia="zh-CN"/>
        </w:rPr>
        <w:t>）</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Toc480942355"/>
      <w:bookmarkStart w:id="361" w:name="_Toc520356224"/>
      <w:bookmarkStart w:id="362" w:name="_Ref467988543"/>
      <w:bookmarkStart w:id="363" w:name="_Toc13093"/>
      <w:bookmarkStart w:id="364" w:name="_Toc216582819"/>
      <w:bookmarkStart w:id="365" w:name="_Toc415222530"/>
      <w:bookmarkStart w:id="366" w:name="_Toc109736074"/>
      <w:r>
        <w:rPr>
          <w:rFonts w:hint="eastAsia" w:ascii="宋体" w:hAnsi="宋体" w:eastAsia="宋体"/>
          <w:sz w:val="21"/>
          <w:szCs w:val="21"/>
          <w:highlight w:val="none"/>
        </w:rPr>
        <w:br w:type="page"/>
      </w: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-1供应商资格证明材料</w:t>
      </w:r>
      <w:r>
        <w:rPr>
          <w:rFonts w:hint="eastAsia" w:ascii="宋体" w:hAnsi="宋体"/>
          <w:szCs w:val="21"/>
          <w:highlight w:val="none"/>
          <w:lang w:eastAsia="zh-CN"/>
        </w:rPr>
        <w:t>（</w:t>
      </w:r>
      <w:r>
        <w:rPr>
          <w:rFonts w:hint="eastAsia" w:ascii="宋体" w:hAnsi="宋体"/>
          <w:szCs w:val="21"/>
          <w:highlight w:val="none"/>
          <w:lang w:val="en-US" w:eastAsia="zh-CN"/>
        </w:rPr>
        <w:t>证书类复印件加盖公章）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End w:id="367"/>
      <w:bookmarkStart w:id="368" w:name="_Hlt520274911"/>
      <w:bookmarkEnd w:id="368"/>
      <w:r>
        <w:rPr>
          <w:rFonts w:hint="eastAsia" w:hAnsi="宋体"/>
          <w:b/>
          <w:szCs w:val="21"/>
          <w:highlight w:val="none"/>
          <w:lang w:val="en-US" w:eastAsia="zh-CN"/>
        </w:rPr>
        <w:t>供应商资格证明材料</w:t>
      </w:r>
    </w:p>
    <w:p>
      <w:pPr>
        <w:pStyle w:val="25"/>
        <w:tabs>
          <w:tab w:val="left" w:pos="5580"/>
        </w:tabs>
        <w:spacing w:line="360" w:lineRule="auto"/>
        <w:ind w:left="1080" w:leftChars="257" w:hanging="540"/>
        <w:jc w:val="center"/>
        <w:rPr>
          <w:rFonts w:hint="eastAsia" w:hAnsi="宋体"/>
          <w:b/>
          <w:szCs w:val="21"/>
          <w:highlight w:val="none"/>
        </w:rPr>
      </w:pPr>
    </w:p>
    <w:tbl>
      <w:tblPr>
        <w:tblStyle w:val="51"/>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本项目营业执照为必须，其余供应商酌情提供。证书复印件加盖公章</w:t>
            </w:r>
            <w:r>
              <w:rPr>
                <w:rFonts w:hint="eastAsia" w:asciiTheme="minorEastAsia" w:hAnsiTheme="minorEastAsia" w:eastAsiaTheme="minorEastAsia"/>
                <w:b/>
                <w:bCs/>
                <w:color w:val="FF0000"/>
                <w:lang w:eastAsia="zh-CN"/>
              </w:rPr>
              <w:t>）</w:t>
            </w:r>
          </w:p>
        </w:tc>
      </w:tr>
    </w:tbl>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szCs w:val="21"/>
          <w:highlight w:val="none"/>
        </w:rPr>
      </w:pPr>
    </w:p>
    <w:p>
      <w:pPr>
        <w:rPr>
          <w:rFonts w:hint="eastAsia" w:ascii="宋体" w:hAnsi="宋体" w:eastAsia="宋体" w:cs="Times New Roman"/>
          <w:b/>
          <w:szCs w:val="21"/>
          <w:highlight w:val="none"/>
        </w:rPr>
      </w:pPr>
      <w:bookmarkStart w:id="369" w:name="_Hlt520274065"/>
      <w:bookmarkEnd w:id="369"/>
      <w:bookmarkStart w:id="370" w:name="_Hlt520350918"/>
      <w:bookmarkEnd w:id="370"/>
      <w:bookmarkStart w:id="371" w:name="_Hlt520343000"/>
      <w:bookmarkEnd w:id="371"/>
      <w:bookmarkStart w:id="372" w:name="_Hlt520274407"/>
      <w:bookmarkEnd w:id="372"/>
      <w:bookmarkStart w:id="373" w:name="_Hlt520273973"/>
      <w:bookmarkEnd w:id="373"/>
      <w:bookmarkStart w:id="374" w:name="_Hlt520274121"/>
      <w:bookmarkEnd w:id="374"/>
      <w:bookmarkStart w:id="375" w:name="_Hlt520274393"/>
      <w:bookmarkEnd w:id="375"/>
      <w:bookmarkStart w:id="376" w:name="_Hlt520271212"/>
      <w:bookmarkEnd w:id="376"/>
      <w:bookmarkStart w:id="377" w:name="_Hlt520273711"/>
      <w:bookmarkEnd w:id="377"/>
      <w:bookmarkStart w:id="378" w:name="_Hlt520343392"/>
      <w:bookmarkEnd w:id="378"/>
      <w:bookmarkStart w:id="379" w:name="_Hlt520350957"/>
      <w:bookmarkEnd w:id="379"/>
      <w:bookmarkStart w:id="380" w:name="_Toc2581"/>
      <w:bookmarkStart w:id="381" w:name="_Toc520356228"/>
      <w:bookmarkStart w:id="382" w:name="_Toc520125062"/>
      <w:bookmarkStart w:id="383" w:name="_Toc520125061"/>
      <w:bookmarkStart w:id="384" w:name="_Ref467990058"/>
      <w:bookmarkStart w:id="385" w:name="_Ref467990064"/>
      <w:bookmarkStart w:id="386" w:name="_Ref467988471"/>
      <w:bookmarkStart w:id="387" w:name="_Toc480942358"/>
      <w:bookmarkStart w:id="388" w:name="_Ref467990100"/>
      <w:bookmarkStart w:id="389" w:name="_Ref467988485"/>
      <w:bookmarkStart w:id="390" w:name="_Ref467988479"/>
      <w:bookmarkStart w:id="391" w:name="_Toc520356229"/>
      <w:bookmarkStart w:id="392" w:name="_Ref467990101"/>
      <w:bookmarkStart w:id="393" w:name="_Toc480942357"/>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4"/>
        <w:keepNext w:val="0"/>
        <w:keepLines w:val="0"/>
        <w:pageBreakBefore/>
        <w:tabs>
          <w:tab w:val="left" w:pos="5580"/>
        </w:tabs>
        <w:spacing w:before="120" w:beforeLines="50" w:after="120" w:afterLines="5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投标人控股及管理关系情况表</w:t>
      </w:r>
    </w:p>
    <w:p>
      <w:pPr>
        <w:spacing w:line="360" w:lineRule="auto"/>
        <w:ind w:firstLine="420" w:firstLineChars="200"/>
        <w:jc w:val="left"/>
        <w:rPr>
          <w:rFonts w:ascii="宋体" w:hAnsi="宋体"/>
          <w:bCs/>
          <w:color w:val="auto"/>
          <w:szCs w:val="21"/>
          <w:highlight w:val="none"/>
        </w:rPr>
      </w:pP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51"/>
        <w:tblW w:w="0" w:type="auto"/>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p>
        </w:tc>
      </w:tr>
    </w:tbl>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hint="eastAsia" w:ascii="宋体" w:hAnsi="宋体"/>
          <w:color w:val="auto"/>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rPr>
          <w:rFonts w:hint="eastAsia" w:ascii="宋体" w:hAnsi="宋体" w:eastAsia="宋体" w:cs="Times New Roman"/>
          <w:b/>
          <w:szCs w:val="21"/>
          <w:highlight w:val="none"/>
        </w:rPr>
      </w:pPr>
      <w:r>
        <w:rPr>
          <w:rFonts w:hint="eastAsia" w:ascii="宋体" w:hAnsi="宋体" w:eastAsia="宋体" w:cs="Times New Roman"/>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80"/>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r>
        <w:rPr>
          <w:rFonts w:hint="eastAsia" w:ascii="宋体" w:hAnsi="宋体" w:cs="宋体"/>
          <w:b/>
          <w:bCs/>
          <w:color w:val="FF0000"/>
          <w:szCs w:val="21"/>
          <w:highlight w:val="none"/>
          <w:lang w:eastAsia="zh-CN"/>
        </w:rPr>
        <w:t>，</w:t>
      </w:r>
      <w:r>
        <w:rPr>
          <w:rFonts w:hint="eastAsia" w:ascii="宋体" w:hAnsi="宋体" w:cs="宋体"/>
          <w:b/>
          <w:bCs/>
          <w:color w:val="FF0000"/>
          <w:szCs w:val="21"/>
          <w:highlight w:val="none"/>
          <w:lang w:val="en-US" w:eastAsia="zh-CN"/>
        </w:rPr>
        <w:t>生产厂家投标不适用</w:t>
      </w:r>
      <w:r>
        <w:rPr>
          <w:rFonts w:hint="eastAsia" w:ascii="宋体" w:hAnsi="宋体" w:cs="宋体"/>
          <w:b/>
          <w:bCs/>
          <w:color w:val="FF0000"/>
          <w:szCs w:val="21"/>
          <w:highlight w:val="none"/>
        </w:rPr>
        <w:t>；</w:t>
      </w:r>
    </w:p>
    <w:p>
      <w:pPr>
        <w:tabs>
          <w:tab w:val="left" w:pos="853"/>
        </w:tabs>
        <w:bidi w:val="0"/>
        <w:jc w:val="left"/>
        <w:rPr>
          <w:rFonts w:hint="default"/>
          <w:highlight w:val="none"/>
          <w:lang w:val="en-US" w:eastAsia="zh-CN"/>
        </w:rPr>
      </w:pPr>
    </w:p>
    <w:bookmarkEnd w:id="381"/>
    <w:bookmarkEnd w:id="382"/>
    <w:bookmarkEnd w:id="383"/>
    <w:bookmarkEnd w:id="384"/>
    <w:bookmarkEnd w:id="385"/>
    <w:bookmarkEnd w:id="386"/>
    <w:bookmarkEnd w:id="387"/>
    <w:bookmarkEnd w:id="388"/>
    <w:bookmarkEnd w:id="389"/>
    <w:bookmarkEnd w:id="390"/>
    <w:bookmarkEnd w:id="391"/>
    <w:bookmarkEnd w:id="392"/>
    <w:bookmarkEnd w:id="393"/>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pStyle w:val="20"/>
        <w:rPr>
          <w:rFonts w:hint="eastAsia"/>
        </w:rPr>
      </w:pP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2"/>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77685377"/>
      <w:bookmarkStart w:id="399" w:name="_Toc25918"/>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pStyle w:val="20"/>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MDCK细胞专用无血清培养基</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WKZB-2025-027</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5610"/>
      <w:bookmarkStart w:id="403" w:name="_Toc193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包括上年度产品生产规模、产品情况、质量承诺等</w:t>
      </w:r>
      <w:r>
        <w:rPr>
          <w:rFonts w:hint="eastAsia"/>
          <w:highlight w:val="none"/>
        </w:rPr>
        <w:t>）</w:t>
      </w:r>
    </w:p>
    <w:p>
      <w:pPr>
        <w:pStyle w:val="25"/>
        <w:spacing w:line="360" w:lineRule="auto"/>
        <w:rPr>
          <w:rFonts w:hint="eastAsia" w:hAnsi="宋体" w:cs="楷体_GB2312"/>
          <w:kern w:val="0"/>
          <w:szCs w:val="21"/>
          <w:highlight w:val="none"/>
        </w:rPr>
      </w:pPr>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109736075"/>
      <w:bookmarkStart w:id="406" w:name="_Toc218935355"/>
      <w:bookmarkStart w:id="407" w:name="_Toc216582826"/>
      <w:bookmarkStart w:id="408" w:name="_Toc219175639"/>
      <w:bookmarkStart w:id="409" w:name="_Toc220229434"/>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3"/>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4"/>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0"/>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24902"/>
      <w:bookmarkStart w:id="414" w:name="_Toc109736076"/>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根据投标人履行能力（根据提供的供应商资质文件等评价），最高得5分，第二名得3分，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产品质量保证</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产品质量情况及质保承诺，最优得10分，第二得8分，依此类推。</w:t>
            </w:r>
          </w:p>
        </w:tc>
        <w:tc>
          <w:tcPr>
            <w:tcW w:w="12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lang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根据对付款条件的响应，最优得6分，第二得4分，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根据投标货物近三年在中国境内向同行业供货同类产品的销售业绩情况，每一项类似业绩得1分，最高得5分（须提供项目合同等相关证明材料）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根据标书提供的财务情况、企业基本情况等综合评价，综合实力最高得5分，第二名得4分，以此类推。</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根据售后服务方案，包括但不限于：（1）服务内容、（2）</w:t>
            </w:r>
            <w:r>
              <w:rPr>
                <w:rFonts w:hint="eastAsia" w:ascii="微软雅黑" w:hAnsi="微软雅黑" w:eastAsia="微软雅黑" w:cs="微软雅黑"/>
                <w:i w:val="0"/>
                <w:iCs w:val="0"/>
                <w:color w:val="000000"/>
                <w:sz w:val="21"/>
                <w:szCs w:val="21"/>
                <w:highlight w:val="none"/>
                <w:u w:val="none"/>
                <w:lang w:val="en-US" w:eastAsia="zh-CN"/>
              </w:rPr>
              <w:t>服务</w:t>
            </w:r>
            <w:r>
              <w:rPr>
                <w:rFonts w:hint="eastAsia" w:ascii="微软雅黑" w:hAnsi="微软雅黑" w:eastAsia="微软雅黑" w:cs="微软雅黑"/>
                <w:i w:val="0"/>
                <w:iCs w:val="0"/>
                <w:color w:val="000000"/>
                <w:sz w:val="21"/>
                <w:szCs w:val="21"/>
                <w:highlight w:val="none"/>
                <w:u w:val="none"/>
              </w:rPr>
              <w:t>流程、（3）响应时间、（4）人员安排的全面性、科学性及对本项目的针对性进行评分。方案完整科学、对本项目的针对性强的得4分，每缺1个内容扣1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实质性响应招标文件要求且价格最低的投标报价为评标基准价。</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2.评标价格得分计算。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评标价格分数=（评标基准价/投标报价）×价格权重（</w:t>
            </w:r>
            <w:r>
              <w:rPr>
                <w:rFonts w:hint="eastAsia" w:ascii="微软雅黑" w:hAnsi="微软雅黑" w:eastAsia="微软雅黑" w:cs="微软雅黑"/>
                <w:i w:val="0"/>
                <w:iCs w:val="0"/>
                <w:color w:val="000000"/>
                <w:sz w:val="21"/>
                <w:szCs w:val="21"/>
                <w:highlight w:val="none"/>
                <w:u w:val="none"/>
                <w:lang w:val="en-US" w:eastAsia="zh-CN"/>
              </w:rPr>
              <w:t>4</w:t>
            </w:r>
            <w:r>
              <w:rPr>
                <w:rFonts w:hint="default" w:ascii="微软雅黑" w:hAnsi="微软雅黑" w:eastAsia="微软雅黑" w:cs="微软雅黑"/>
                <w:i w:val="0"/>
                <w:iCs w:val="0"/>
                <w:color w:val="000000"/>
                <w:sz w:val="21"/>
                <w:szCs w:val="21"/>
                <w:highlight w:val="none"/>
                <w:u w:val="none"/>
                <w:lang w:val="en-US"/>
              </w:rPr>
              <w:t>0%）×100</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注：分数出现小数点，保留小数点后二位，第三位小数四舍五入。本项满分为</w:t>
            </w:r>
            <w:r>
              <w:rPr>
                <w:rFonts w:hint="eastAsia" w:ascii="微软雅黑" w:hAnsi="微软雅黑" w:eastAsia="微软雅黑" w:cs="微软雅黑"/>
                <w:i w:val="0"/>
                <w:iCs w:val="0"/>
                <w:color w:val="000000"/>
                <w:sz w:val="21"/>
                <w:szCs w:val="21"/>
                <w:highlight w:val="none"/>
                <w:u w:val="none"/>
                <w:lang w:val="en-US" w:eastAsia="zh-CN"/>
              </w:rPr>
              <w:t>4</w:t>
            </w:r>
            <w:r>
              <w:rPr>
                <w:rFonts w:hint="default" w:ascii="微软雅黑" w:hAnsi="微软雅黑" w:eastAsia="微软雅黑" w:cs="微软雅黑"/>
                <w:i w:val="0"/>
                <w:iCs w:val="0"/>
                <w:color w:val="000000"/>
                <w:sz w:val="21"/>
                <w:szCs w:val="21"/>
                <w:highlight w:val="none"/>
                <w:u w:val="none"/>
                <w:lang w:val="en-US"/>
              </w:rPr>
              <w:t>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0"/>
        <w:spacing w:line="360" w:lineRule="auto"/>
        <w:ind w:firstLine="472" w:firstLineChars="225"/>
        <w:rPr>
          <w:rFonts w:hint="eastAsia" w:ascii="宋体" w:hAnsi="宋体" w:cs="宋体"/>
          <w:szCs w:val="21"/>
          <w:highlight w:val="none"/>
        </w:rPr>
      </w:pPr>
    </w:p>
    <w:p>
      <w:pPr>
        <w:pStyle w:val="20"/>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pPr>
        <w:bidi w:val="0"/>
        <w:rPr>
          <w:rFonts w:hint="eastAsia" w:ascii="Times New Roman" w:hAnsi="Times New Roman" w:eastAsia="宋体" w:cs="Times New Roman"/>
          <w:kern w:val="2"/>
          <w:sz w:val="21"/>
          <w:szCs w:val="24"/>
          <w:lang w:val="en-US" w:eastAsia="zh-CN" w:bidi="ar-SA"/>
        </w:rPr>
      </w:pPr>
    </w:p>
    <w:p>
      <w:pPr>
        <w:bidi w:val="0"/>
        <w:rPr>
          <w:rFonts w:hint="eastAsia"/>
          <w:b/>
          <w:bCs/>
          <w:lang w:val="en-US" w:eastAsia="zh-CN"/>
        </w:rPr>
      </w:pPr>
      <w:r>
        <w:rPr>
          <w:rFonts w:hint="eastAsia"/>
          <w:b/>
          <w:bCs/>
          <w:lang w:val="en-US" w:eastAsia="zh-CN"/>
        </w:rPr>
        <w:t>1.目的</w:t>
      </w:r>
    </w:p>
    <w:p>
      <w:pPr>
        <w:bidi w:val="0"/>
        <w:rPr>
          <w:rFonts w:hint="eastAsia"/>
          <w:lang w:val="en-US" w:eastAsia="zh-CN"/>
        </w:rPr>
      </w:pPr>
      <w:r>
        <w:rPr>
          <w:rFonts w:hint="eastAsia"/>
          <w:lang w:val="en-US" w:eastAsia="zh-CN"/>
        </w:rPr>
        <w:t>本URS文件旨在以文件的形式描述规定MDCK细胞专用无血清培养基质量标准，以保证供应商所提供的产品符合我公司的所有要求。</w:t>
      </w:r>
    </w:p>
    <w:p>
      <w:pPr>
        <w:pStyle w:val="2"/>
        <w:spacing w:before="0" w:after="0" w:line="240" w:lineRule="auto"/>
        <w:rPr>
          <w:rFonts w:hint="eastAsia"/>
          <w:lang w:val="en-US" w:eastAsia="zh-CN"/>
        </w:rPr>
      </w:pPr>
    </w:p>
    <w:p>
      <w:pPr>
        <w:bidi w:val="0"/>
        <w:rPr>
          <w:rFonts w:hint="eastAsia"/>
          <w:b/>
          <w:bCs/>
          <w:lang w:val="en-US" w:eastAsia="zh-CN"/>
        </w:rPr>
      </w:pPr>
      <w:r>
        <w:rPr>
          <w:rFonts w:hint="eastAsia"/>
          <w:b/>
          <w:bCs/>
          <w:lang w:val="en-US" w:eastAsia="zh-CN"/>
        </w:rPr>
        <w:t>2.范围</w:t>
      </w:r>
    </w:p>
    <w:p>
      <w:pPr>
        <w:bidi w:val="0"/>
        <w:rPr>
          <w:rFonts w:hint="eastAsia"/>
          <w:lang w:val="en-US" w:eastAsia="zh-CN"/>
        </w:rPr>
      </w:pPr>
      <w:r>
        <w:rPr>
          <w:rFonts w:hint="eastAsia"/>
          <w:lang w:val="en-US" w:eastAsia="zh-CN"/>
        </w:rPr>
        <w:t>用于规定MDCK细胞悬浮培养中细胞扩增阶段及细胞接种后病毒增殖阶段培养基的质量标准。</w:t>
      </w:r>
    </w:p>
    <w:p>
      <w:pPr>
        <w:pStyle w:val="2"/>
        <w:spacing w:before="0" w:after="0" w:line="240" w:lineRule="auto"/>
        <w:rPr>
          <w:rFonts w:hint="eastAsia"/>
          <w:lang w:val="en-US" w:eastAsia="zh-CN"/>
        </w:rPr>
      </w:pPr>
    </w:p>
    <w:p>
      <w:pPr>
        <w:bidi w:val="0"/>
        <w:rPr>
          <w:rFonts w:hint="eastAsia"/>
          <w:b/>
          <w:bCs/>
          <w:lang w:val="en-US" w:eastAsia="zh-CN"/>
        </w:rPr>
      </w:pPr>
      <w:r>
        <w:rPr>
          <w:rFonts w:hint="eastAsia"/>
          <w:b/>
          <w:bCs/>
          <w:lang w:val="en-US" w:eastAsia="zh-CN"/>
        </w:rPr>
        <w:t>3.技术规格</w:t>
      </w:r>
    </w:p>
    <w:p>
      <w:pPr>
        <w:bidi w:val="0"/>
        <w:rPr>
          <w:rFonts w:hint="eastAsia"/>
          <w:lang w:val="en-US" w:eastAsia="zh-CN"/>
        </w:rPr>
      </w:pPr>
      <w:r>
        <w:rPr>
          <w:rFonts w:hint="eastAsia"/>
          <w:lang w:val="en-US" w:eastAsia="zh-CN"/>
        </w:rPr>
        <w:t>URS中用户仅提出基本的质量要求，并未涵盖和限制制造商所提供的产品具有更高的制造标准，制造方的产品应满足国家有关规范和强制性标准要求。报告单随产品附检测合格报告及标准。</w:t>
      </w:r>
    </w:p>
    <w:p>
      <w:pPr>
        <w:pStyle w:val="2"/>
        <w:spacing w:before="0" w:after="0" w:line="240" w:lineRule="auto"/>
        <w:rPr>
          <w:rFonts w:hint="eastAsia"/>
          <w:lang w:val="en-US" w:eastAsia="zh-CN"/>
        </w:rPr>
      </w:pPr>
    </w:p>
    <w:p>
      <w:pPr>
        <w:bidi w:val="0"/>
        <w:rPr>
          <w:rFonts w:hint="eastAsia"/>
          <w:b/>
          <w:bCs/>
          <w:lang w:val="en-US" w:eastAsia="zh-CN"/>
        </w:rPr>
      </w:pPr>
      <w:r>
        <w:rPr>
          <w:rFonts w:hint="eastAsia"/>
          <w:b/>
          <w:bCs/>
          <w:lang w:val="en-US" w:eastAsia="zh-CN"/>
        </w:rPr>
        <w:t>4.培养基清单</w:t>
      </w:r>
    </w:p>
    <w:p>
      <w:pPr>
        <w:bidi w:val="0"/>
        <w:rPr>
          <w:rFonts w:hint="eastAsia"/>
          <w:b/>
          <w:bCs/>
          <w:lang w:val="en-US" w:eastAsia="zh-CN"/>
        </w:rPr>
      </w:pPr>
      <w:r>
        <w:rPr>
          <w:rFonts w:hint="eastAsia"/>
          <w:b/>
          <w:bCs/>
          <w:lang w:val="en-US" w:eastAsia="zh-CN"/>
        </w:rPr>
        <w:t>4.1.质量需求</w:t>
      </w:r>
    </w:p>
    <w:p>
      <w:pPr>
        <w:bidi w:val="0"/>
        <w:rPr>
          <w:rFonts w:hint="eastAsia"/>
          <w:lang w:val="en-US" w:eastAsia="zh-CN"/>
        </w:rPr>
      </w:pPr>
      <w:r>
        <w:rPr>
          <w:rFonts w:hint="eastAsia"/>
          <w:lang w:val="en-US" w:eastAsia="zh-CN"/>
        </w:rPr>
        <w:t>4.1.1性状：一般为类白色粉末。</w:t>
      </w:r>
    </w:p>
    <w:p>
      <w:pPr>
        <w:bidi w:val="0"/>
        <w:rPr>
          <w:rFonts w:hint="eastAsia"/>
          <w:lang w:val="en-US" w:eastAsia="zh-CN"/>
        </w:rPr>
      </w:pPr>
      <w:r>
        <w:rPr>
          <w:rFonts w:hint="eastAsia"/>
          <w:lang w:val="en-US" w:eastAsia="zh-CN"/>
        </w:rPr>
        <w:t>4.1.2 pH值（每升标示量/L）为6.9-7.4。</w:t>
      </w:r>
    </w:p>
    <w:p>
      <w:pPr>
        <w:bidi w:val="0"/>
        <w:rPr>
          <w:rFonts w:hint="eastAsia"/>
          <w:lang w:val="en-US" w:eastAsia="zh-CN"/>
        </w:rPr>
      </w:pPr>
      <w:r>
        <w:rPr>
          <w:rFonts w:hint="eastAsia"/>
          <w:lang w:val="en-US" w:eastAsia="zh-CN"/>
        </w:rPr>
        <w:t>4.1.3配制后渗透压：280~340 mOsm/kg。</w:t>
      </w:r>
    </w:p>
    <w:p>
      <w:pPr>
        <w:bidi w:val="0"/>
        <w:rPr>
          <w:rFonts w:hint="eastAsia"/>
          <w:lang w:val="en-US" w:eastAsia="zh-CN"/>
        </w:rPr>
      </w:pPr>
      <w:r>
        <w:rPr>
          <w:rFonts w:hint="eastAsia"/>
          <w:lang w:val="en-US" w:eastAsia="zh-CN"/>
        </w:rPr>
        <w:t>4.1.4微生物限度：细菌数≤10 CFU/g；霉菌数≤10 CFU/g。</w:t>
      </w:r>
    </w:p>
    <w:p>
      <w:pPr>
        <w:bidi w:val="0"/>
        <w:rPr>
          <w:rFonts w:hint="eastAsia"/>
          <w:lang w:val="en-US" w:eastAsia="zh-CN"/>
        </w:rPr>
      </w:pPr>
      <w:r>
        <w:rPr>
          <w:rFonts w:hint="eastAsia"/>
          <w:lang w:val="en-US" w:eastAsia="zh-CN"/>
        </w:rPr>
        <w:t>4.1.5干粉培养基配制后细菌内毒素应不高于5EU/ml。</w:t>
      </w:r>
    </w:p>
    <w:p>
      <w:pPr>
        <w:bidi w:val="0"/>
        <w:rPr>
          <w:rFonts w:hint="eastAsia"/>
          <w:lang w:val="en-US" w:eastAsia="zh-CN"/>
        </w:rPr>
      </w:pPr>
      <w:r>
        <w:rPr>
          <w:rFonts w:hint="eastAsia"/>
          <w:lang w:val="en-US" w:eastAsia="zh-CN"/>
        </w:rPr>
        <w:t>4.1.6细胞生长试验</w:t>
      </w:r>
    </w:p>
    <w:p>
      <w:pPr>
        <w:bidi w:val="0"/>
        <w:rPr>
          <w:rFonts w:hint="eastAsia"/>
          <w:lang w:val="en-US" w:eastAsia="zh-CN"/>
        </w:rPr>
      </w:pPr>
      <w:r>
        <w:rPr>
          <w:rFonts w:hint="eastAsia"/>
          <w:lang w:val="en-US" w:eastAsia="zh-CN"/>
        </w:rPr>
        <w:t>4.1.6.1细胞形态：细胞呈圆形，透亮，大小均匀。</w:t>
      </w:r>
    </w:p>
    <w:p>
      <w:pPr>
        <w:bidi w:val="0"/>
        <w:rPr>
          <w:rFonts w:hint="eastAsia"/>
          <w:lang w:val="en-US" w:eastAsia="zh-CN"/>
        </w:rPr>
      </w:pPr>
      <w:r>
        <w:rPr>
          <w:rFonts w:hint="eastAsia"/>
          <w:lang w:val="en-US" w:eastAsia="zh-CN"/>
        </w:rPr>
        <w:t>4.1.6.2细胞活力：当细胞密度达8×106个/ml时，细胞活率应≥95%。</w:t>
      </w:r>
    </w:p>
    <w:p>
      <w:pPr>
        <w:bidi w:val="0"/>
        <w:rPr>
          <w:rFonts w:hint="eastAsia"/>
          <w:lang w:val="en-US" w:eastAsia="zh-CN"/>
        </w:rPr>
      </w:pPr>
      <w:r>
        <w:rPr>
          <w:rFonts w:hint="eastAsia"/>
          <w:lang w:val="en-US" w:eastAsia="zh-CN"/>
        </w:rPr>
        <w:t xml:space="preserve">4.1.6.3倍增时间：当细胞密度在0.8-1.0×106个/ml时，细胞倍增时间为18-24小时。 </w:t>
      </w:r>
    </w:p>
    <w:p>
      <w:pPr>
        <w:bidi w:val="0"/>
        <w:rPr>
          <w:rFonts w:hint="eastAsia"/>
          <w:lang w:val="en-US" w:eastAsia="zh-CN"/>
        </w:rPr>
      </w:pPr>
      <w:r>
        <w:rPr>
          <w:rFonts w:hint="eastAsia"/>
          <w:lang w:val="en-US" w:eastAsia="zh-CN"/>
        </w:rPr>
        <w:t>4.1.7病毒繁殖试验</w:t>
      </w:r>
    </w:p>
    <w:p>
      <w:pPr>
        <w:bidi w:val="0"/>
        <w:rPr>
          <w:rFonts w:hint="eastAsia"/>
          <w:lang w:val="en-US" w:eastAsia="zh-CN"/>
        </w:rPr>
      </w:pPr>
      <w:r>
        <w:rPr>
          <w:rFonts w:hint="eastAsia"/>
          <w:lang w:val="en-US" w:eastAsia="zh-CN"/>
        </w:rPr>
        <w:t>在相同条件下，病毒繁殖量需不低于对照培养基病毒繁殖量，且效价及病毒增殖符合公司质量要求。</w:t>
      </w:r>
    </w:p>
    <w:p>
      <w:pPr>
        <w:pStyle w:val="2"/>
        <w:spacing w:before="0" w:after="0" w:line="240" w:lineRule="auto"/>
        <w:rPr>
          <w:rFonts w:hint="eastAsia"/>
          <w:lang w:val="en-US" w:eastAsia="zh-CN"/>
        </w:rPr>
      </w:pPr>
    </w:p>
    <w:p>
      <w:pPr>
        <w:bidi w:val="0"/>
        <w:rPr>
          <w:rFonts w:hint="eastAsia"/>
          <w:b/>
          <w:bCs/>
          <w:lang w:val="en-US" w:eastAsia="zh-CN"/>
        </w:rPr>
      </w:pPr>
      <w:r>
        <w:rPr>
          <w:rFonts w:hint="eastAsia"/>
          <w:b/>
          <w:bCs/>
          <w:lang w:val="en-US" w:eastAsia="zh-CN"/>
        </w:rPr>
        <w:t>5.包装需求</w:t>
      </w:r>
    </w:p>
    <w:p>
      <w:pPr>
        <w:bidi w:val="0"/>
        <w:rPr>
          <w:rFonts w:hint="eastAsia"/>
          <w:lang w:val="en-US" w:eastAsia="zh-CN"/>
        </w:rPr>
      </w:pPr>
      <w:r>
        <w:rPr>
          <w:rFonts w:hint="eastAsia"/>
          <w:lang w:val="en-US" w:eastAsia="zh-CN"/>
        </w:rPr>
        <w:t>5.1.包装需求</w:t>
      </w:r>
    </w:p>
    <w:p>
      <w:pPr>
        <w:bidi w:val="0"/>
        <w:rPr>
          <w:rFonts w:hint="eastAsia"/>
          <w:lang w:val="en-US" w:eastAsia="zh-CN"/>
        </w:rPr>
      </w:pPr>
      <w:r>
        <w:rPr>
          <w:rFonts w:hint="eastAsia"/>
          <w:lang w:val="en-US" w:eastAsia="zh-CN"/>
        </w:rPr>
        <w:t>5.1.1包装规格：最小包装单位为50L或100L，也是配制50L或100L培养基所需的量。</w:t>
      </w:r>
    </w:p>
    <w:p>
      <w:pPr>
        <w:bidi w:val="0"/>
        <w:rPr>
          <w:rFonts w:hint="eastAsia"/>
          <w:lang w:val="en-US" w:eastAsia="zh-CN"/>
        </w:rPr>
      </w:pPr>
      <w:r>
        <w:rPr>
          <w:rFonts w:hint="eastAsia"/>
          <w:lang w:val="en-US" w:eastAsia="zh-CN"/>
        </w:rPr>
        <w:t>5.1.2标签：完整清晰的显示产品名称、克重、批号、生产日期、有效期等信息。</w:t>
      </w:r>
    </w:p>
    <w:p>
      <w:pPr>
        <w:bidi w:val="0"/>
        <w:rPr>
          <w:rFonts w:hint="eastAsia"/>
          <w:lang w:val="en-US" w:eastAsia="zh-CN"/>
        </w:rPr>
      </w:pPr>
      <w:r>
        <w:rPr>
          <w:rFonts w:hint="eastAsia"/>
          <w:lang w:val="en-US" w:eastAsia="zh-CN"/>
        </w:rPr>
        <w:t>5.1.3包装材料：培养基粉末直接接触包装材料使用铝箔纸包装，如配套有液体成分直接接触材料使用PP塑料瓶包装。</w:t>
      </w:r>
    </w:p>
    <w:p>
      <w:pPr>
        <w:bidi w:val="0"/>
        <w:rPr>
          <w:rFonts w:hint="eastAsia"/>
          <w:lang w:val="en-US" w:eastAsia="zh-CN"/>
        </w:rPr>
      </w:pPr>
      <w:r>
        <w:rPr>
          <w:rFonts w:hint="eastAsia"/>
          <w:lang w:val="en-US" w:eastAsia="zh-CN"/>
        </w:rPr>
        <w:t>5.1.4各组分装箱需合理，方便出入库。</w:t>
      </w:r>
    </w:p>
    <w:p>
      <w:pPr>
        <w:bidi w:val="0"/>
        <w:rPr>
          <w:rFonts w:hint="eastAsia"/>
          <w:lang w:val="en-US" w:eastAsia="zh-CN"/>
        </w:rPr>
      </w:pPr>
      <w:r>
        <w:rPr>
          <w:rFonts w:hint="eastAsia"/>
          <w:lang w:val="en-US" w:eastAsia="zh-CN"/>
        </w:rPr>
        <w:t>5.1.5泡沫箱及外包装材料需结实耐用，严禁出现运输过程损坏影响产品质量。</w:t>
      </w:r>
    </w:p>
    <w:p>
      <w:pPr>
        <w:pStyle w:val="2"/>
        <w:spacing w:before="0" w:after="0" w:line="240" w:lineRule="auto"/>
        <w:rPr>
          <w:rFonts w:hint="eastAsia"/>
          <w:lang w:val="en-US" w:eastAsia="zh-CN"/>
        </w:rPr>
      </w:pPr>
    </w:p>
    <w:p>
      <w:pPr>
        <w:bidi w:val="0"/>
        <w:rPr>
          <w:rFonts w:hint="eastAsia"/>
          <w:b/>
          <w:bCs/>
          <w:color w:val="auto"/>
          <w:lang w:val="en-US" w:eastAsia="zh-CN"/>
        </w:rPr>
      </w:pPr>
      <w:r>
        <w:rPr>
          <w:rFonts w:hint="eastAsia"/>
          <w:b/>
          <w:bCs/>
          <w:color w:val="auto"/>
          <w:lang w:val="en-US" w:eastAsia="zh-CN"/>
        </w:rPr>
        <w:t>6.运输条件</w:t>
      </w:r>
    </w:p>
    <w:p>
      <w:pPr>
        <w:bidi w:val="0"/>
        <w:rPr>
          <w:rFonts w:hint="eastAsia"/>
          <w:lang w:val="en-US" w:eastAsia="zh-CN"/>
        </w:rPr>
      </w:pPr>
      <w:r>
        <w:rPr>
          <w:rFonts w:hint="eastAsia"/>
          <w:lang w:val="en-US" w:eastAsia="zh-CN"/>
        </w:rPr>
        <w:t>供应商供货须保证培养基冷链条件下运输至采购方，产品外观无明显损坏，否则采购方拒收。</w:t>
      </w:r>
    </w:p>
    <w:p>
      <w:pPr>
        <w:pStyle w:val="2"/>
        <w:spacing w:before="0" w:after="0" w:line="240" w:lineRule="auto"/>
        <w:rPr>
          <w:rFonts w:hint="eastAsia"/>
          <w:lang w:val="en-US" w:eastAsia="zh-CN"/>
        </w:rPr>
      </w:pPr>
    </w:p>
    <w:p>
      <w:pPr>
        <w:bidi w:val="0"/>
        <w:rPr>
          <w:rFonts w:hint="eastAsia"/>
          <w:b/>
          <w:bCs/>
          <w:color w:val="auto"/>
          <w:lang w:val="en-US" w:eastAsia="zh-CN"/>
        </w:rPr>
      </w:pPr>
      <w:r>
        <w:rPr>
          <w:rFonts w:hint="eastAsia"/>
          <w:b/>
          <w:bCs/>
          <w:color w:val="auto"/>
          <w:lang w:val="en-US" w:eastAsia="zh-CN"/>
        </w:rPr>
        <w:t>7.收货标准</w:t>
      </w:r>
    </w:p>
    <w:p>
      <w:pPr>
        <w:bidi w:val="0"/>
        <w:rPr>
          <w:rFonts w:hint="eastAsia"/>
          <w:lang w:val="en-US" w:eastAsia="zh-CN"/>
        </w:rPr>
      </w:pPr>
      <w:r>
        <w:rPr>
          <w:rFonts w:hint="eastAsia"/>
          <w:lang w:val="en-US" w:eastAsia="zh-CN"/>
        </w:rPr>
        <w:t>7.1.1.如有破损，剔除破损数量，按实际收货数量计算。</w:t>
      </w:r>
    </w:p>
    <w:p>
      <w:pPr>
        <w:bidi w:val="0"/>
        <w:rPr>
          <w:rFonts w:hint="eastAsia"/>
          <w:lang w:val="en-US" w:eastAsia="zh-CN"/>
        </w:rPr>
      </w:pPr>
      <w:r>
        <w:rPr>
          <w:rFonts w:hint="eastAsia"/>
          <w:lang w:val="en-US" w:eastAsia="zh-CN"/>
        </w:rPr>
        <w:t>7.1.2.同一次供货，对于同一品种、同一规格供应商应提供同一批号的产品，若因特殊原因不能满足要求，须提前与采购方协商解决，否则采购方拒收。</w:t>
      </w:r>
    </w:p>
    <w:p>
      <w:pPr>
        <w:bidi w:val="0"/>
        <w:rPr>
          <w:rFonts w:hint="eastAsia"/>
          <w:lang w:val="en-US" w:eastAsia="zh-CN"/>
        </w:rPr>
      </w:pPr>
      <w:r>
        <w:rPr>
          <w:rFonts w:hint="eastAsia"/>
          <w:lang w:val="en-US" w:eastAsia="zh-CN"/>
        </w:rPr>
        <w:t>7.1.3.因产品的特殊性，供应商所供产品前应小试三批，每批产品不低于100L培养基，若小试不合格，对试用培养基不予结算，采购人有权退回该批产品。</w:t>
      </w: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p>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016885" cy="240030"/>
          <wp:effectExtent l="0" t="0" r="0" b="0"/>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rcRect l="10830" t="9785"/>
                  <a:stretch>
                    <a:fillRect/>
                  </a:stretch>
                </pic:blipFill>
                <pic:spPr>
                  <a:xfrm>
                    <a:off x="0" y="0"/>
                    <a:ext cx="3016885" cy="2400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0">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1">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2">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3">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7"/>
  </w:num>
  <w:num w:numId="2">
    <w:abstractNumId w:val="1"/>
  </w:num>
  <w:num w:numId="3">
    <w:abstractNumId w:val="3"/>
  </w:num>
  <w:num w:numId="4">
    <w:abstractNumId w:val="13"/>
  </w:num>
  <w:num w:numId="5">
    <w:abstractNumId w:val="2"/>
  </w:num>
  <w:num w:numId="6">
    <w:abstractNumId w:val="12"/>
  </w:num>
  <w:num w:numId="7">
    <w:abstractNumId w:val="9"/>
  </w:num>
  <w:num w:numId="8">
    <w:abstractNumId w:val="4"/>
  </w:num>
  <w:num w:numId="9">
    <w:abstractNumId w:val="0"/>
  </w:num>
  <w:num w:numId="10">
    <w:abstractNumId w:val="10"/>
  </w:num>
  <w:num w:numId="11">
    <w:abstractNumId w:val="8"/>
  </w:num>
  <w:num w:numId="12">
    <w:abstractNumId w:val="1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D33F78"/>
    <w:rsid w:val="05BD6C4F"/>
    <w:rsid w:val="05BF60C0"/>
    <w:rsid w:val="068A051E"/>
    <w:rsid w:val="07714A42"/>
    <w:rsid w:val="084367D4"/>
    <w:rsid w:val="084E0615"/>
    <w:rsid w:val="08E36DB2"/>
    <w:rsid w:val="09545AC8"/>
    <w:rsid w:val="0AFF4E4A"/>
    <w:rsid w:val="0B7449C2"/>
    <w:rsid w:val="0B933243"/>
    <w:rsid w:val="0BD842AB"/>
    <w:rsid w:val="0BEE13A6"/>
    <w:rsid w:val="0D4C342B"/>
    <w:rsid w:val="0D792EAC"/>
    <w:rsid w:val="0D8D0EA8"/>
    <w:rsid w:val="0E175D7C"/>
    <w:rsid w:val="0E8F45F1"/>
    <w:rsid w:val="0FC90B63"/>
    <w:rsid w:val="100F10E1"/>
    <w:rsid w:val="114C6D7B"/>
    <w:rsid w:val="119D1D5C"/>
    <w:rsid w:val="124848DD"/>
    <w:rsid w:val="12AF40AF"/>
    <w:rsid w:val="142C6408"/>
    <w:rsid w:val="143E54A0"/>
    <w:rsid w:val="149208C7"/>
    <w:rsid w:val="17493924"/>
    <w:rsid w:val="17524BB4"/>
    <w:rsid w:val="17567E8F"/>
    <w:rsid w:val="17634B0D"/>
    <w:rsid w:val="17DD21C5"/>
    <w:rsid w:val="1A060CD7"/>
    <w:rsid w:val="1ABD1A3F"/>
    <w:rsid w:val="1C2362A8"/>
    <w:rsid w:val="1C644176"/>
    <w:rsid w:val="1C846CAA"/>
    <w:rsid w:val="1CCA1D4D"/>
    <w:rsid w:val="1D1919F8"/>
    <w:rsid w:val="1D1E3239"/>
    <w:rsid w:val="1D447F67"/>
    <w:rsid w:val="1D511438"/>
    <w:rsid w:val="1D7E18EE"/>
    <w:rsid w:val="1D952DF5"/>
    <w:rsid w:val="1DA4399A"/>
    <w:rsid w:val="1E014BA0"/>
    <w:rsid w:val="1F1727BF"/>
    <w:rsid w:val="202A1238"/>
    <w:rsid w:val="20734F9D"/>
    <w:rsid w:val="21517356"/>
    <w:rsid w:val="217E3D4D"/>
    <w:rsid w:val="21B8302F"/>
    <w:rsid w:val="21ED0E21"/>
    <w:rsid w:val="225D0766"/>
    <w:rsid w:val="22C96A86"/>
    <w:rsid w:val="238649B8"/>
    <w:rsid w:val="23AD4E1E"/>
    <w:rsid w:val="24C741C2"/>
    <w:rsid w:val="25350541"/>
    <w:rsid w:val="258B1F8D"/>
    <w:rsid w:val="268E2E7C"/>
    <w:rsid w:val="27A02191"/>
    <w:rsid w:val="27E04F0C"/>
    <w:rsid w:val="285C308D"/>
    <w:rsid w:val="28865E00"/>
    <w:rsid w:val="289A3148"/>
    <w:rsid w:val="2907617B"/>
    <w:rsid w:val="29A273A6"/>
    <w:rsid w:val="29F518B2"/>
    <w:rsid w:val="2A3B6454"/>
    <w:rsid w:val="2AE26DC9"/>
    <w:rsid w:val="2CA86A82"/>
    <w:rsid w:val="2F6D3579"/>
    <w:rsid w:val="30343EB8"/>
    <w:rsid w:val="30923BB0"/>
    <w:rsid w:val="31A71994"/>
    <w:rsid w:val="31C03214"/>
    <w:rsid w:val="3371124C"/>
    <w:rsid w:val="33716BC9"/>
    <w:rsid w:val="33BB31BC"/>
    <w:rsid w:val="33DA7906"/>
    <w:rsid w:val="3436155A"/>
    <w:rsid w:val="347A6C66"/>
    <w:rsid w:val="34E83EA9"/>
    <w:rsid w:val="35865A65"/>
    <w:rsid w:val="359C48DD"/>
    <w:rsid w:val="35F37D16"/>
    <w:rsid w:val="3674202A"/>
    <w:rsid w:val="368E0516"/>
    <w:rsid w:val="371116F1"/>
    <w:rsid w:val="379C09D5"/>
    <w:rsid w:val="38023102"/>
    <w:rsid w:val="384D3D8D"/>
    <w:rsid w:val="389F657A"/>
    <w:rsid w:val="38A02D03"/>
    <w:rsid w:val="38A92A23"/>
    <w:rsid w:val="39E25AC3"/>
    <w:rsid w:val="3A601B79"/>
    <w:rsid w:val="3A9A2C2A"/>
    <w:rsid w:val="3BCD47A7"/>
    <w:rsid w:val="3C440E8D"/>
    <w:rsid w:val="3CC80902"/>
    <w:rsid w:val="3D342B6E"/>
    <w:rsid w:val="3E7034D9"/>
    <w:rsid w:val="3F4534B5"/>
    <w:rsid w:val="402D4B16"/>
    <w:rsid w:val="40B567C2"/>
    <w:rsid w:val="40F23A4C"/>
    <w:rsid w:val="411A359C"/>
    <w:rsid w:val="430D7208"/>
    <w:rsid w:val="432E09E7"/>
    <w:rsid w:val="4366434B"/>
    <w:rsid w:val="437D37DC"/>
    <w:rsid w:val="44E645F9"/>
    <w:rsid w:val="45E40A76"/>
    <w:rsid w:val="45EB594E"/>
    <w:rsid w:val="48AC304C"/>
    <w:rsid w:val="48CA449B"/>
    <w:rsid w:val="49772E24"/>
    <w:rsid w:val="4B6C5100"/>
    <w:rsid w:val="4BE75898"/>
    <w:rsid w:val="4C0C1018"/>
    <w:rsid w:val="4C52117B"/>
    <w:rsid w:val="4DED1D23"/>
    <w:rsid w:val="4DF06CFE"/>
    <w:rsid w:val="4E1E7926"/>
    <w:rsid w:val="4E2539F2"/>
    <w:rsid w:val="4F9421CB"/>
    <w:rsid w:val="4FE85234"/>
    <w:rsid w:val="50C06A6F"/>
    <w:rsid w:val="51AB25E2"/>
    <w:rsid w:val="52C77193"/>
    <w:rsid w:val="531A366F"/>
    <w:rsid w:val="53455313"/>
    <w:rsid w:val="53965B3B"/>
    <w:rsid w:val="53B7054A"/>
    <w:rsid w:val="54181E8F"/>
    <w:rsid w:val="5492579E"/>
    <w:rsid w:val="55AB065F"/>
    <w:rsid w:val="55FA184D"/>
    <w:rsid w:val="56074CC6"/>
    <w:rsid w:val="56456AAE"/>
    <w:rsid w:val="566A5FD0"/>
    <w:rsid w:val="574F5F4C"/>
    <w:rsid w:val="589715D5"/>
    <w:rsid w:val="59FA3F6D"/>
    <w:rsid w:val="5A0A5462"/>
    <w:rsid w:val="5AAF3A76"/>
    <w:rsid w:val="5ADB1E70"/>
    <w:rsid w:val="5B4C57D4"/>
    <w:rsid w:val="5BFC30FE"/>
    <w:rsid w:val="5C3667D4"/>
    <w:rsid w:val="5CDB033A"/>
    <w:rsid w:val="5CFA0384"/>
    <w:rsid w:val="5D422007"/>
    <w:rsid w:val="5D79574D"/>
    <w:rsid w:val="5DAF2A40"/>
    <w:rsid w:val="5E284D12"/>
    <w:rsid w:val="5F042803"/>
    <w:rsid w:val="5F5D6BEB"/>
    <w:rsid w:val="5FAD636F"/>
    <w:rsid w:val="600B149F"/>
    <w:rsid w:val="61994029"/>
    <w:rsid w:val="61EA2C17"/>
    <w:rsid w:val="61F6744C"/>
    <w:rsid w:val="635D0E7E"/>
    <w:rsid w:val="63827325"/>
    <w:rsid w:val="639F5962"/>
    <w:rsid w:val="64BC1D3B"/>
    <w:rsid w:val="64E01543"/>
    <w:rsid w:val="65130267"/>
    <w:rsid w:val="68DA1A60"/>
    <w:rsid w:val="6A1D6B70"/>
    <w:rsid w:val="6A903AE2"/>
    <w:rsid w:val="6AF56893"/>
    <w:rsid w:val="6B085BBE"/>
    <w:rsid w:val="6B0C4773"/>
    <w:rsid w:val="6B277F37"/>
    <w:rsid w:val="6B716B29"/>
    <w:rsid w:val="6C741EF9"/>
    <w:rsid w:val="6D094D94"/>
    <w:rsid w:val="6DC65A80"/>
    <w:rsid w:val="6E380D0C"/>
    <w:rsid w:val="6ED42A0E"/>
    <w:rsid w:val="6EE168B7"/>
    <w:rsid w:val="706F08A3"/>
    <w:rsid w:val="70977707"/>
    <w:rsid w:val="71033854"/>
    <w:rsid w:val="711663FD"/>
    <w:rsid w:val="714D5CAB"/>
    <w:rsid w:val="73951FFE"/>
    <w:rsid w:val="73B96DD6"/>
    <w:rsid w:val="73BA04D5"/>
    <w:rsid w:val="753B3AE9"/>
    <w:rsid w:val="75664791"/>
    <w:rsid w:val="76190D95"/>
    <w:rsid w:val="770478DC"/>
    <w:rsid w:val="773C186D"/>
    <w:rsid w:val="78BC2324"/>
    <w:rsid w:val="78CC6D3B"/>
    <w:rsid w:val="78DC67E8"/>
    <w:rsid w:val="792340C6"/>
    <w:rsid w:val="799F11C0"/>
    <w:rsid w:val="7AAB15D2"/>
    <w:rsid w:val="7B6706DA"/>
    <w:rsid w:val="7C0F7C94"/>
    <w:rsid w:val="7C437203"/>
    <w:rsid w:val="7C6A2093"/>
    <w:rsid w:val="7CA009C3"/>
    <w:rsid w:val="7CBF52AE"/>
    <w:rsid w:val="7D863AB9"/>
    <w:rsid w:val="7DC70AA0"/>
    <w:rsid w:val="7E4E64CE"/>
    <w:rsid w:val="7E74003D"/>
    <w:rsid w:val="7F3C5B6C"/>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2">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5">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6">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7">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8">
    <w:name w:val="heading 7"/>
    <w:basedOn w:val="1"/>
    <w:next w:val="9"/>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9">
    <w:name w:val="Normal Indent"/>
    <w:basedOn w:val="1"/>
    <w:link w:val="75"/>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eastAsia="宋体" w:cs="Times New Roman"/>
      <w:szCs w:val="22"/>
    </w:rPr>
  </w:style>
  <w:style w:type="paragraph" w:styleId="13">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4">
    <w:name w:val="index 8"/>
    <w:basedOn w:val="1"/>
    <w:next w:val="1"/>
    <w:qFormat/>
    <w:uiPriority w:val="0"/>
    <w:pPr>
      <w:widowControl/>
      <w:ind w:left="2940"/>
      <w:jc w:val="left"/>
    </w:pPr>
    <w:rPr>
      <w:kern w:val="0"/>
      <w:sz w:val="20"/>
      <w:szCs w:val="20"/>
      <w:lang w:val="fr-FR"/>
    </w:rPr>
  </w:style>
  <w:style w:type="paragraph" w:styleId="15">
    <w:name w:val="index 5"/>
    <w:basedOn w:val="1"/>
    <w:next w:val="1"/>
    <w:qFormat/>
    <w:uiPriority w:val="0"/>
    <w:pPr>
      <w:widowControl/>
      <w:ind w:left="1680"/>
      <w:jc w:val="left"/>
    </w:pPr>
    <w:rPr>
      <w:kern w:val="0"/>
      <w:sz w:val="20"/>
      <w:szCs w:val="20"/>
      <w:lang w:val="fr-FR"/>
    </w:rPr>
  </w:style>
  <w:style w:type="paragraph" w:styleId="16">
    <w:name w:val="Document Map"/>
    <w:basedOn w:val="1"/>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widowControl/>
      <w:ind w:left="2100"/>
      <w:jc w:val="left"/>
    </w:pPr>
    <w:rPr>
      <w:kern w:val="0"/>
      <w:sz w:val="20"/>
      <w:szCs w:val="20"/>
      <w:lang w:val="fr-FR"/>
    </w:rPr>
  </w:style>
  <w:style w:type="paragraph" w:styleId="19">
    <w:name w:val="Body Text 3"/>
    <w:basedOn w:val="1"/>
    <w:link w:val="77"/>
    <w:qFormat/>
    <w:uiPriority w:val="0"/>
    <w:rPr>
      <w:rFonts w:ascii="宋体"/>
      <w:sz w:val="24"/>
      <w:szCs w:val="20"/>
    </w:rPr>
  </w:style>
  <w:style w:type="paragraph" w:styleId="20">
    <w:name w:val="Body Text"/>
    <w:basedOn w:val="1"/>
    <w:link w:val="78"/>
    <w:qFormat/>
    <w:uiPriority w:val="0"/>
    <w:pPr>
      <w:spacing w:after="120" w:afterLines="0"/>
    </w:p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0"/>
    <w:rPr>
      <w:b/>
      <w:bCs/>
    </w:rPr>
  </w:style>
  <w:style w:type="paragraph" w:styleId="50">
    <w:name w:val="Body Text First Indent"/>
    <w:basedOn w:val="20"/>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2"/>
    <w:qFormat/>
    <w:uiPriority w:val="0"/>
    <w:rPr>
      <w:b/>
      <w:bCs/>
      <w:kern w:val="2"/>
      <w:sz w:val="32"/>
      <w:szCs w:val="32"/>
    </w:rPr>
  </w:style>
  <w:style w:type="character" w:customStyle="1" w:styleId="70">
    <w:name w:val="标题 4 Char"/>
    <w:link w:val="5"/>
    <w:qFormat/>
    <w:uiPriority w:val="0"/>
    <w:rPr>
      <w:rFonts w:ascii="Arial" w:hAnsi="Arial" w:eastAsia="黑体"/>
      <w:b/>
      <w:bCs/>
      <w:kern w:val="2"/>
      <w:sz w:val="28"/>
      <w:szCs w:val="28"/>
      <w:lang w:bidi="ar-SA"/>
    </w:rPr>
  </w:style>
  <w:style w:type="character" w:customStyle="1" w:styleId="71">
    <w:name w:val="标题 5 Char"/>
    <w:link w:val="6"/>
    <w:qFormat/>
    <w:uiPriority w:val="0"/>
    <w:rPr>
      <w:i/>
      <w:sz w:val="18"/>
      <w:lang w:val="fr-FR"/>
    </w:rPr>
  </w:style>
  <w:style w:type="character" w:customStyle="1" w:styleId="72">
    <w:name w:val="标题 7 Char"/>
    <w:link w:val="8"/>
    <w:qFormat/>
    <w:uiPriority w:val="99"/>
    <w:rPr>
      <w:b/>
      <w:bCs/>
      <w:sz w:val="24"/>
      <w:szCs w:val="24"/>
      <w:lang w:bidi="ar-SA"/>
    </w:rPr>
  </w:style>
  <w:style w:type="character" w:customStyle="1" w:styleId="73">
    <w:name w:val="标题 8 Char"/>
    <w:link w:val="10"/>
    <w:qFormat/>
    <w:uiPriority w:val="99"/>
    <w:rPr>
      <w:rFonts w:ascii="Arial" w:hAnsi="Arial" w:eastAsia="黑体"/>
      <w:sz w:val="24"/>
      <w:szCs w:val="24"/>
      <w:lang w:bidi="ar-SA"/>
    </w:rPr>
  </w:style>
  <w:style w:type="character" w:customStyle="1" w:styleId="74">
    <w:name w:val="标题 9 Char"/>
    <w:link w:val="11"/>
    <w:qFormat/>
    <w:uiPriority w:val="99"/>
    <w:rPr>
      <w:rFonts w:ascii="Arial" w:hAnsi="Arial" w:eastAsia="黑体"/>
      <w:sz w:val="21"/>
      <w:szCs w:val="21"/>
      <w:lang w:bidi="ar-SA"/>
    </w:rPr>
  </w:style>
  <w:style w:type="character" w:customStyle="1" w:styleId="75">
    <w:name w:val="正文缩进 Char"/>
    <w:link w:val="9"/>
    <w:qFormat/>
    <w:uiPriority w:val="0"/>
    <w:rPr>
      <w:kern w:val="2"/>
      <w:sz w:val="21"/>
      <w:szCs w:val="24"/>
    </w:rPr>
  </w:style>
  <w:style w:type="character" w:customStyle="1" w:styleId="76">
    <w:name w:val="批注文字 Char"/>
    <w:link w:val="17"/>
    <w:qFormat/>
    <w:uiPriority w:val="0"/>
    <w:rPr>
      <w:kern w:val="2"/>
      <w:sz w:val="21"/>
      <w:szCs w:val="24"/>
    </w:rPr>
  </w:style>
  <w:style w:type="character" w:customStyle="1" w:styleId="77">
    <w:name w:val="正文文本 3 Char"/>
    <w:link w:val="19"/>
    <w:qFormat/>
    <w:uiPriority w:val="0"/>
    <w:rPr>
      <w:rFonts w:ascii="宋体"/>
      <w:kern w:val="2"/>
      <w:sz w:val="24"/>
    </w:rPr>
  </w:style>
  <w:style w:type="character" w:customStyle="1" w:styleId="78">
    <w:name w:val="正文文本 Char"/>
    <w:link w:val="20"/>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2"/>
    <w:next w:val="20"/>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2"/>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5"/>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2"/>
    <w:next w:val="1"/>
    <w:qFormat/>
    <w:uiPriority w:val="0"/>
    <w:pPr>
      <w:spacing w:before="360" w:beforeLines="0" w:after="120" w:afterLines="0" w:line="440" w:lineRule="exact"/>
    </w:pPr>
    <w:rPr>
      <w:rFonts w:ascii="仿宋_GB2312"/>
      <w:sz w:val="24"/>
    </w:rPr>
  </w:style>
  <w:style w:type="paragraph" w:customStyle="1" w:styleId="189">
    <w:name w:val="Lilly Heading 3"/>
    <w:basedOn w:val="2"/>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67</Words>
  <Characters>79</Characters>
  <Lines>243</Lines>
  <Paragraphs>68</Paragraphs>
  <TotalTime>9</TotalTime>
  <ScaleCrop>false</ScaleCrop>
  <LinksUpToDate>false</LinksUpToDate>
  <CharactersWithSpaces>115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2025-10-10T00:20:26Z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y fmtid="{D5CDD505-2E9C-101B-9397-08002B2CF9AE}" pid="4" name="KSOTemplateDocerSaveRecord">
    <vt:lpwstr>eyJoZGlkIjoiMmZjZDQyMTQ1MTMxODU1ZmM5NmNhYjFlNGJlMjU0ZDQiLCJ1c2VySWQiOiI3NDE5ODAzMzcifQ==</vt:lpwstr>
  </property>
</Properties>
</file>