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10"/>
        <w:spacing w:line="360" w:lineRule="auto"/>
        <w:ind w:left="1440" w:right="-22" w:firstLine="422"/>
        <w:rPr>
          <w:rFonts w:ascii="宋体" w:hAnsi="宋体"/>
          <w:b/>
          <w:szCs w:val="21"/>
          <w:highlight w:val="none"/>
        </w:rPr>
      </w:pPr>
    </w:p>
    <w:p>
      <w:pPr>
        <w:pStyle w:val="10"/>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WKZB-2025-012</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LMH细胞无血清专用培养基</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10"/>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10"/>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10"/>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五</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LMH细胞无血清专用培养基</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WKZB-2025-012</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2446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LMH细胞无血清专用培养基</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1069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LMH细胞无血清专用培养基，固定单价招标，有效期1年。</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LMH细胞无血清专用培养基</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LMH细胞无血清专用培养基</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具有良好的财务状况(提供202</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8299"/>
      <w:bookmarkStart w:id="20" w:name="_Toc7377"/>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6081"/>
      <w:bookmarkStart w:id="24" w:name="_Toc23490"/>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21387"/>
      <w:bookmarkStart w:id="28" w:name="_Toc11141"/>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singl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LMH细胞无血清专用培养基</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 xml:space="preserve">单价 </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4185"/>
      <w:bookmarkStart w:id="34" w:name="_Toc21816"/>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390940505"/>
      <w:bookmarkStart w:id="36" w:name="_Toc179632544"/>
      <w:bookmarkStart w:id="37" w:name="_Toc152045527"/>
      <w:bookmarkStart w:id="38" w:name="_Toc109736026"/>
      <w:bookmarkStart w:id="39" w:name="_Toc233102490"/>
      <w:bookmarkStart w:id="40" w:name="_Toc25653"/>
      <w:bookmarkStart w:id="41" w:name="_Toc152042303"/>
      <w:bookmarkStart w:id="42" w:name="_Toc144974495"/>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44974496"/>
      <w:bookmarkStart w:id="44" w:name="_Toc152042304"/>
      <w:bookmarkStart w:id="45" w:name="_Toc152045528"/>
      <w:bookmarkStart w:id="46" w:name="_Toc390940506"/>
      <w:bookmarkStart w:id="47" w:name="_Toc179632545"/>
      <w:bookmarkStart w:id="48" w:name="_Toc233102491"/>
      <w:bookmarkStart w:id="49" w:name="_Toc109736027"/>
      <w:bookmarkStart w:id="50" w:name="_Toc18804"/>
      <w:bookmarkStart w:id="51" w:name="_Toc20399"/>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pPr>
              <w:spacing w:line="360" w:lineRule="auto"/>
              <w:rPr>
                <w:rFonts w:hint="eastAsia"/>
                <w:highlight w:val="none"/>
              </w:rPr>
            </w:pPr>
            <w:r>
              <w:rPr>
                <w:rFonts w:hint="eastAsia"/>
                <w:highlight w:val="none"/>
              </w:rPr>
              <w:t>良好记录（提供投标截止日前6个月内任意连续3个月已缴凭证）；</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以招标公告时间为准</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u w:val="single"/>
                <w:lang w:val="en-US" w:eastAsia="zh-CN"/>
              </w:rPr>
              <w:t>1-2</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color w:val="FF0000"/>
                <w:highlight w:val="none"/>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bidi="zh-CN"/>
              </w:rPr>
              <w:t>合同签订之日起</w:t>
            </w:r>
            <w:r>
              <w:rPr>
                <w:rFonts w:hint="eastAsia" w:ascii="宋体" w:hAnsi="宋体" w:cs="宋体"/>
                <w:color w:val="FF0000"/>
                <w:szCs w:val="21"/>
                <w:highlight w:val="none"/>
                <w:lang w:val="en-US" w:bidi="zh-CN"/>
              </w:rPr>
              <w:t>1年</w:t>
            </w:r>
            <w:r>
              <w:rPr>
                <w:rFonts w:hint="eastAsia"/>
                <w:color w:val="FF0000"/>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216582805"/>
      <w:bookmarkStart w:id="53" w:name="_Toc109736028"/>
      <w:bookmarkStart w:id="54" w:name="_Toc520356143"/>
      <w:bookmarkStart w:id="55" w:name="_Toc152045529"/>
      <w:bookmarkStart w:id="56" w:name="_Toc152042305"/>
      <w:bookmarkStart w:id="57" w:name="_Toc179632546"/>
      <w:bookmarkStart w:id="58" w:name="_Toc144974497"/>
      <w:bookmarkStart w:id="59" w:name="_Toc233102492"/>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520356144"/>
      <w:bookmarkStart w:id="62" w:name="_Toc109736029"/>
      <w:bookmarkStart w:id="63" w:name="_Toc17941"/>
      <w:bookmarkStart w:id="64" w:name="_Toc2757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541"/>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205"/>
      <w:bookmarkStart w:id="69" w:name="_Toc30223"/>
      <w:bookmarkStart w:id="70" w:name="_Toc109736031"/>
      <w:bookmarkStart w:id="71" w:name="_Toc52035614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27623"/>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216582806"/>
      <w:bookmarkStart w:id="76" w:name="_Toc520356146"/>
      <w:bookmarkStart w:id="77" w:name="_Toc1810"/>
      <w:bookmarkStart w:id="78" w:name="_Toc109736033"/>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109736036"/>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51636702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195"/>
      <w:bookmarkStart w:id="95" w:name="_Toc516367022"/>
      <w:bookmarkStart w:id="96" w:name="_Ref467306676"/>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109736040"/>
      <w:bookmarkStart w:id="103" w:name="_Toc520356153"/>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Ref467306513"/>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109736045"/>
      <w:bookmarkStart w:id="118" w:name="_Toc520356159"/>
      <w:bookmarkStart w:id="119" w:name="_Toc23629"/>
      <w:bookmarkStart w:id="120" w:name="_Toc216582808"/>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23762"/>
      <w:bookmarkStart w:id="128" w:name="_Toc109736049"/>
      <w:bookmarkStart w:id="129" w:name="_Toc520356163"/>
      <w:bookmarkStart w:id="130" w:name="_Toc21658280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6900"/>
      <w:bookmarkStart w:id="143" w:name="_Toc21658281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Toc109736056"/>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7062"/>
      <w:bookmarkStart w:id="156" w:name="_Ref467307204"/>
      <w:bookmarkStart w:id="157" w:name="_Toc520356175"/>
      <w:bookmarkStart w:id="158" w:name="_Ref467306377"/>
      <w:bookmarkStart w:id="159" w:name="_Toc109736060"/>
      <w:bookmarkStart w:id="160" w:name="_Ref46730697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6425"/>
      <w:bookmarkStart w:id="162" w:name="_Toc520356176"/>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8404"/>
      <w:bookmarkStart w:id="172" w:name="_Ref467379094"/>
      <w:bookmarkStart w:id="173" w:name="_Ref467378463"/>
      <w:bookmarkStart w:id="174" w:name="_Toc415222497"/>
      <w:bookmarkStart w:id="175" w:name="_Ref467379101"/>
      <w:bookmarkStart w:id="176" w:name="_Ref467379225"/>
      <w:bookmarkStart w:id="177" w:name="_Ref467379195"/>
      <w:bookmarkStart w:id="178" w:name="_Toc487900349"/>
      <w:bookmarkStart w:id="179" w:name="_Ref467379205"/>
      <w:bookmarkStart w:id="180" w:name="_Ref467379109"/>
      <w:bookmarkStart w:id="181" w:name="_Ref467378499"/>
      <w:bookmarkStart w:id="182" w:name="_Ref467379214"/>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15222498"/>
      <w:bookmarkStart w:id="189" w:name="_Toc487900350"/>
      <w:bookmarkStart w:id="190" w:name="_Toc10889"/>
      <w:bookmarkStart w:id="191" w:name="_Toc3174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87900351"/>
      <w:bookmarkStart w:id="193" w:name="_Toc2425"/>
      <w:bookmarkStart w:id="194" w:name="_Toc10492"/>
      <w:bookmarkStart w:id="195" w:name="_Toc415222499"/>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87900352"/>
      <w:bookmarkStart w:id="197" w:name="_Toc18031"/>
      <w:bookmarkStart w:id="198" w:name="_Toc415222500"/>
      <w:bookmarkStart w:id="199" w:name="_Toc4693"/>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15222501"/>
      <w:bookmarkStart w:id="201" w:name="_Toc487900353"/>
      <w:bookmarkStart w:id="202" w:name="_Toc1323"/>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36"/>
      <w:bookmarkStart w:id="205" w:name="_Toc487900354"/>
      <w:bookmarkStart w:id="206" w:name="_Toc11864"/>
      <w:bookmarkStart w:id="207" w:name="_Toc415222502"/>
      <w:bookmarkStart w:id="208" w:name="_Ref467379527"/>
      <w:bookmarkStart w:id="209" w:name="_Ref467379542"/>
      <w:bookmarkStart w:id="210" w:name="_Toc18715"/>
      <w:bookmarkStart w:id="211" w:name="_Ref467378591"/>
      <w:bookmarkStart w:id="212" w:name="_Ref467378541"/>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415222503"/>
      <w:bookmarkStart w:id="216" w:name="_Toc487900355"/>
      <w:bookmarkStart w:id="217" w:name="_Toc662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Ref467379807"/>
      <w:bookmarkStart w:id="219" w:name="_Toc487900357"/>
      <w:bookmarkStart w:id="220" w:name="_Toc26337"/>
      <w:bookmarkStart w:id="221" w:name="_Toc415222504"/>
      <w:bookmarkStart w:id="222" w:name="_Ref467379793"/>
      <w:bookmarkStart w:id="223" w:name="_Toc15361"/>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52"/>
      <w:bookmarkStart w:id="225" w:name="_Toc415222505"/>
      <w:bookmarkStart w:id="226" w:name="_Toc1380"/>
      <w:bookmarkStart w:id="227" w:name="_Ref467379923"/>
      <w:bookmarkStart w:id="228" w:name="_Toc6588"/>
      <w:bookmarkStart w:id="229" w:name="_Ref467379863"/>
      <w:bookmarkStart w:id="230" w:name="_Toc487900358"/>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487900359"/>
      <w:bookmarkStart w:id="232" w:name="_Toc28649"/>
      <w:bookmarkStart w:id="233" w:name="_Ref467377798"/>
      <w:bookmarkStart w:id="234" w:name="_Toc15447"/>
      <w:bookmarkStart w:id="235" w:name="_Ref467377962"/>
      <w:bookmarkStart w:id="236" w:name="_Ref467379946"/>
      <w:bookmarkStart w:id="237" w:name="_Ref467379937"/>
      <w:bookmarkStart w:id="238" w:name="_Toc415222506"/>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11317"/>
      <w:bookmarkStart w:id="242" w:name="_Toc415222507"/>
      <w:bookmarkStart w:id="243" w:name="_Toc7155"/>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21509"/>
      <w:bookmarkStart w:id="245" w:name="_Toc415222508"/>
      <w:bookmarkStart w:id="246" w:name="_Toc31728"/>
      <w:bookmarkStart w:id="247" w:name="_Toc487900361"/>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31482"/>
      <w:bookmarkStart w:id="250" w:name="_Toc15086"/>
      <w:bookmarkStart w:id="251" w:name="_Toc415222509"/>
      <w:bookmarkStart w:id="252" w:name="_Toc48790036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87900363"/>
      <w:bookmarkStart w:id="254" w:name="_Toc19929"/>
      <w:bookmarkStart w:id="255" w:name="_Toc415222510"/>
      <w:bookmarkStart w:id="256" w:name="_Toc3725"/>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6322"/>
      <w:bookmarkStart w:id="258" w:name="_Toc487900364"/>
      <w:bookmarkStart w:id="259" w:name="_Toc415222511"/>
      <w:bookmarkStart w:id="260" w:name="_Toc22040"/>
      <w:bookmarkStart w:id="261" w:name="_Ref467378121"/>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15222512"/>
      <w:bookmarkStart w:id="263" w:name="_Toc1755"/>
      <w:bookmarkStart w:id="264" w:name="_Toc487900365"/>
      <w:bookmarkStart w:id="265" w:name="_Toc29320"/>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17669"/>
      <w:bookmarkStart w:id="269" w:name="_Toc21788"/>
      <w:bookmarkStart w:id="270" w:name="_Toc415222513"/>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87900367"/>
      <w:bookmarkStart w:id="272" w:name="_Toc415222514"/>
      <w:bookmarkStart w:id="273" w:name="_Toc9543"/>
      <w:bookmarkStart w:id="274" w:name="_Toc16231"/>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15222515"/>
      <w:bookmarkStart w:id="277" w:name="_Toc23904"/>
      <w:bookmarkStart w:id="278" w:name="_Toc22065"/>
      <w:bookmarkStart w:id="279" w:name="_Toc487900368"/>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29725"/>
      <w:bookmarkStart w:id="281" w:name="_Toc415222516"/>
      <w:bookmarkStart w:id="282" w:name="_Toc10385"/>
      <w:bookmarkStart w:id="283" w:name="_Toc487900369"/>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13194"/>
      <w:bookmarkStart w:id="285" w:name="_Toc2142"/>
      <w:bookmarkStart w:id="286" w:name="_Toc415222517"/>
      <w:bookmarkStart w:id="287" w:name="_Toc487900370"/>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14345"/>
      <w:bookmarkStart w:id="289" w:name="_Toc487900371"/>
      <w:bookmarkStart w:id="290" w:name="_Toc737"/>
      <w:bookmarkStart w:id="291" w:name="_Toc415222518"/>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87900372"/>
      <w:bookmarkStart w:id="293" w:name="_Toc30523"/>
      <w:bookmarkStart w:id="294" w:name="_Toc27508"/>
      <w:bookmarkStart w:id="295" w:name="_Toc415222519"/>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3747"/>
      <w:bookmarkStart w:id="297" w:name="_Toc28567"/>
      <w:bookmarkStart w:id="298" w:name="_Toc487900373"/>
      <w:bookmarkStart w:id="299" w:name="_Toc415222520"/>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26432"/>
      <w:bookmarkStart w:id="301" w:name="_Toc5896"/>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415222522"/>
      <w:bookmarkStart w:id="305" w:name="_Toc26939"/>
      <w:bookmarkStart w:id="306" w:name="_Toc31958"/>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9175623"/>
      <w:bookmarkStart w:id="308" w:name="_Toc218935339"/>
      <w:bookmarkStart w:id="309" w:name="_Toc216513786"/>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10"/>
        <w:spacing w:line="360" w:lineRule="auto"/>
        <w:ind w:left="540" w:leftChars="257"/>
        <w:rPr>
          <w:rFonts w:hint="eastAsia" w:ascii="宋体" w:hAnsi="宋体" w:cs="宋体"/>
          <w:szCs w:val="21"/>
          <w:highlight w:val="none"/>
        </w:rPr>
      </w:pPr>
    </w:p>
    <w:p>
      <w:pPr>
        <w:pStyle w:val="10"/>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18935352"/>
      <w:bookmarkStart w:id="314" w:name="_Toc15903"/>
      <w:bookmarkStart w:id="315" w:name="_Toc27454"/>
      <w:bookmarkStart w:id="316" w:name="_Toc219175636"/>
      <w:bookmarkStart w:id="317" w:name="_Toc220229326"/>
      <w:bookmarkStart w:id="318" w:name="_Toc220229431"/>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default" w:ascii="宋体" w:hAnsi="宋体" w:eastAsia="宋体"/>
          <w:szCs w:val="21"/>
          <w:highlight w:val="none"/>
          <w:lang w:val="en-US" w:eastAsia="zh-CN"/>
        </w:rPr>
      </w:pPr>
      <w:r>
        <w:rPr>
          <w:rFonts w:hint="eastAsia" w:ascii="宋体" w:hAnsi="宋体"/>
          <w:szCs w:val="21"/>
          <w:highlight w:val="none"/>
        </w:rPr>
        <w:t>6.1　本合同项下的货物交货方式为：适用合同条款6.1.1 现场交货；</w:t>
      </w:r>
      <w:r>
        <w:rPr>
          <w:rFonts w:hint="eastAsia" w:ascii="宋体" w:hAnsi="宋体"/>
          <w:szCs w:val="21"/>
          <w:highlight w:val="none"/>
          <w:lang w:val="en-US" w:eastAsia="zh-CN"/>
        </w:rPr>
        <w:t>投标人负责货物运输、装卸。</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lang w:val="en-US" w:eastAsia="zh-CN"/>
        </w:rPr>
        <w:t>2</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6个月款期，可接受50%银行承兑汇票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eastAsia"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供应商资格证明材料</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415222524"/>
      <w:bookmarkStart w:id="339" w:name="_Toc109736069"/>
      <w:bookmarkStart w:id="340" w:name="_Toc5329"/>
      <w:bookmarkStart w:id="341" w:name="_Toc216582813"/>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见报价一览表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415222525"/>
      <w:bookmarkStart w:id="346" w:name="_Toc480942350"/>
      <w:bookmarkStart w:id="347" w:name="_Toc109736070"/>
      <w:bookmarkStart w:id="348" w:name="_Ref467988705"/>
      <w:bookmarkStart w:id="349" w:name="_Toc216582814"/>
      <w:bookmarkStart w:id="350" w:name="_Toc520356218"/>
      <w:bookmarkStart w:id="351" w:name="_Toc29788"/>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LMH细胞无血清专用培养基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WKZB-2025-012</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039"/>
        <w:gridCol w:w="2550"/>
        <w:gridCol w:w="1629"/>
        <w:gridCol w:w="133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39"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序号</w:t>
            </w:r>
          </w:p>
        </w:tc>
        <w:tc>
          <w:tcPr>
            <w:tcW w:w="537" w:type="pct"/>
            <w:vAlign w:val="center"/>
          </w:tcPr>
          <w:p>
            <w:pPr>
              <w:spacing w:line="380" w:lineRule="exact"/>
              <w:jc w:val="center"/>
              <w:rPr>
                <w:rFonts w:ascii="仿宋" w:hAnsi="仿宋" w:eastAsia="仿宋" w:cs="仿宋"/>
                <w:sz w:val="24"/>
                <w:highlight w:val="none"/>
              </w:rPr>
            </w:pPr>
          </w:p>
        </w:tc>
        <w:tc>
          <w:tcPr>
            <w:tcW w:w="1318"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84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/L</w:t>
            </w:r>
            <w:r>
              <w:rPr>
                <w:rFonts w:hint="eastAsia" w:ascii="仿宋" w:hAnsi="仿宋" w:eastAsia="仿宋" w:cs="仿宋"/>
                <w:sz w:val="24"/>
                <w:highlight w:val="none"/>
              </w:rPr>
              <w:t>）</w:t>
            </w:r>
          </w:p>
        </w:tc>
        <w:tc>
          <w:tcPr>
            <w:tcW w:w="691"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1171"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439"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w:t>
            </w:r>
          </w:p>
        </w:tc>
        <w:tc>
          <w:tcPr>
            <w:tcW w:w="537"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w:t>
            </w:r>
            <w:r>
              <w:rPr>
                <w:rFonts w:hint="eastAsia" w:ascii="仿宋" w:hAnsi="仿宋" w:eastAsia="仿宋" w:cs="仿宋"/>
                <w:sz w:val="24"/>
                <w:highlight w:val="none"/>
                <w:lang w:val="en-US" w:eastAsia="zh-CN"/>
              </w:rPr>
              <w:t>LMH细胞无血清专用培养基</w:t>
            </w:r>
          </w:p>
        </w:tc>
        <w:tc>
          <w:tcPr>
            <w:tcW w:w="1318"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w:t>
            </w:r>
          </w:p>
        </w:tc>
        <w:tc>
          <w:tcPr>
            <w:tcW w:w="84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691"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171"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9" w:type="pct"/>
            <w:vAlign w:val="center"/>
          </w:tcPr>
          <w:p>
            <w:pPr>
              <w:pStyle w:val="2"/>
              <w:rPr>
                <w:rFonts w:hint="eastAsia" w:ascii="宋体" w:hAnsi="宋体" w:eastAsia="宋体" w:cs="Times New Roman"/>
                <w:szCs w:val="21"/>
                <w:highlight w:val="none"/>
              </w:rPr>
            </w:pPr>
          </w:p>
        </w:tc>
        <w:tc>
          <w:tcPr>
            <w:tcW w:w="456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1年</w:t>
            </w:r>
            <w:r>
              <w:rPr>
                <w:rFonts w:hint="eastAsia"/>
                <w:highlight w:val="none"/>
              </w:rPr>
              <w:t>。</w:t>
            </w:r>
          </w:p>
          <w:p>
            <w:pPr>
              <w:pStyle w:val="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9" w:type="pct"/>
            <w:vAlign w:val="center"/>
          </w:tcPr>
          <w:p>
            <w:pPr>
              <w:pStyle w:val="25"/>
              <w:tabs>
                <w:tab w:val="left" w:pos="5580"/>
              </w:tabs>
              <w:spacing w:line="360" w:lineRule="auto"/>
              <w:ind w:firstLine="632" w:firstLineChars="300"/>
              <w:jc w:val="left"/>
              <w:rPr>
                <w:rFonts w:hint="eastAsia" w:hAnsi="宋体"/>
                <w:b/>
                <w:bCs/>
                <w:szCs w:val="21"/>
                <w:highlight w:val="none"/>
                <w:lang w:val="en-US" w:eastAsia="zh-CN"/>
              </w:rPr>
            </w:pPr>
          </w:p>
        </w:tc>
        <w:tc>
          <w:tcPr>
            <w:tcW w:w="456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商务磋商联系人：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216582818"/>
      <w:bookmarkStart w:id="353" w:name="_Toc109736072"/>
      <w:bookmarkStart w:id="354" w:name="_Toc415222529"/>
    </w:p>
    <w:p>
      <w:pPr>
        <w:rPr>
          <w:rFonts w:hint="eastAsia" w:ascii="宋体" w:hAnsi="宋体" w:eastAsia="宋体"/>
          <w:sz w:val="21"/>
          <w:szCs w:val="21"/>
          <w:highlight w:val="none"/>
        </w:rPr>
      </w:pP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LMH细胞无血清专用培养基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WKZB-2025-012</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1.7</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供应商负责货物运输，并卸货至采购方指定位置</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rPr>
              <w:t xml:space="preserve"> </w:t>
            </w:r>
            <w:r>
              <w:rPr>
                <w:rFonts w:hint="eastAsia" w:ascii="宋体" w:hAnsi="宋体"/>
                <w:szCs w:val="21"/>
                <w:highlight w:val="none"/>
                <w:lang w:val="en-US" w:eastAsia="zh-CN"/>
              </w:rPr>
              <w:t>6个月款期，可接受50%银行承兑汇票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kern w:val="2"/>
                <w:sz w:val="21"/>
                <w:szCs w:val="21"/>
                <w:highlight w:val="none"/>
                <w:lang w:val="en-US" w:eastAsia="zh-CN" w:bidi="ar-SA"/>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109736073"/>
      <w:bookmarkStart w:id="358" w:name="_Toc415222528"/>
      <w:bookmarkStart w:id="359" w:name="_Toc216582817"/>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LMH细胞无血清专用培养基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WKZB-2025-012</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
        <w:rPr>
          <w:rFonts w:hint="eastAsia" w:hAnsi="宋体"/>
          <w:szCs w:val="21"/>
          <w:highlight w:val="none"/>
          <w:u w:val="single"/>
        </w:rPr>
      </w:pPr>
    </w:p>
    <w:p>
      <w:pPr>
        <w:pStyle w:val="2"/>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hAnsi="宋体" w:eastAsia="宋体" w:cs="宋体"/>
          <w:szCs w:val="21"/>
          <w:highlight w:val="none"/>
          <w:lang w:val="en-US" w:eastAsia="zh-CN"/>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r>
        <w:rPr>
          <w:rFonts w:hint="eastAsia" w:hAnsi="宋体" w:cs="宋体"/>
          <w:szCs w:val="21"/>
          <w:highlight w:val="none"/>
          <w:lang w:val="en-US" w:eastAsia="zh-CN"/>
        </w:rPr>
        <w:t>未填写视为完全符合并响应招标文件要求。</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480942355"/>
      <w:bookmarkStart w:id="361" w:name="_Ref467988543"/>
      <w:bookmarkStart w:id="362" w:name="_Toc520356224"/>
      <w:bookmarkStart w:id="363" w:name="_Toc216582819"/>
      <w:bookmarkStart w:id="364" w:name="_Toc13093"/>
      <w:bookmarkStart w:id="365" w:name="_Toc415222530"/>
      <w:bookmarkStart w:id="366" w:name="_Toc109736074"/>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供应商资格证明材料</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highlight w:val="none"/>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highlight w:val="none"/>
        </w:rPr>
      </w:pPr>
      <w:bookmarkStart w:id="369" w:name="_Hlt520273973"/>
      <w:bookmarkEnd w:id="369"/>
      <w:bookmarkStart w:id="370" w:name="_Hlt520274407"/>
      <w:bookmarkEnd w:id="370"/>
      <w:bookmarkStart w:id="371" w:name="_Hlt520350918"/>
      <w:bookmarkEnd w:id="371"/>
      <w:bookmarkStart w:id="372" w:name="_Hlt520274393"/>
      <w:bookmarkEnd w:id="372"/>
      <w:bookmarkStart w:id="373" w:name="_Hlt520271212"/>
      <w:bookmarkEnd w:id="373"/>
      <w:bookmarkStart w:id="374" w:name="_Hlt520274065"/>
      <w:bookmarkEnd w:id="374"/>
      <w:bookmarkStart w:id="375" w:name="_Hlt520343392"/>
      <w:bookmarkEnd w:id="375"/>
      <w:bookmarkStart w:id="376" w:name="_Hlt520350957"/>
      <w:bookmarkEnd w:id="376"/>
      <w:bookmarkStart w:id="377" w:name="_Hlt520273711"/>
      <w:bookmarkEnd w:id="377"/>
      <w:bookmarkStart w:id="378" w:name="_Hlt520343000"/>
      <w:bookmarkEnd w:id="378"/>
      <w:bookmarkStart w:id="379" w:name="_Hlt520274121"/>
      <w:bookmarkEnd w:id="379"/>
      <w:bookmarkStart w:id="380" w:name="_Ref467988485"/>
      <w:bookmarkStart w:id="381" w:name="_Toc480942358"/>
      <w:bookmarkStart w:id="382" w:name="_Toc520356229"/>
      <w:bookmarkStart w:id="383" w:name="_Toc520125062"/>
      <w:bookmarkStart w:id="384" w:name="_Toc520356228"/>
      <w:bookmarkStart w:id="385" w:name="_Ref467988479"/>
      <w:bookmarkStart w:id="386" w:name="_Ref467990064"/>
      <w:bookmarkStart w:id="387" w:name="_Toc520125061"/>
      <w:bookmarkStart w:id="388" w:name="_Ref467990101"/>
      <w:bookmarkStart w:id="389" w:name="_Toc480942357"/>
      <w:bookmarkStart w:id="390" w:name="_Ref467988471"/>
      <w:bookmarkStart w:id="391" w:name="_Ref467990058"/>
      <w:bookmarkStart w:id="392" w:name="_Ref467990100"/>
    </w:p>
    <w:p>
      <w:pPr>
        <w:rPr>
          <w:rFonts w:hint="eastAsia" w:ascii="宋体" w:hAnsi="宋体" w:eastAsia="宋体" w:cs="Times New Roman"/>
          <w:b/>
          <w:szCs w:val="21"/>
          <w:highlight w:val="none"/>
        </w:rPr>
      </w:pPr>
      <w:bookmarkStart w:id="393" w:name="_Toc2581"/>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93"/>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注：生产厂家不用提供，代理商投标适用，或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pPr>
        <w:tabs>
          <w:tab w:val="left" w:pos="853"/>
        </w:tabs>
        <w:bidi w:val="0"/>
        <w:jc w:val="left"/>
        <w:rPr>
          <w:rFonts w:hint="default"/>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LMH细胞无血清专用培养基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WKZB-2025-012</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20229434"/>
      <w:bookmarkStart w:id="406" w:name="_Toc109736075"/>
      <w:bookmarkStart w:id="407" w:name="_Toc218935355"/>
      <w:bookmarkStart w:id="408" w:name="_Toc219175639"/>
      <w:bookmarkStart w:id="409" w:name="_Toc216582826"/>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产品质量情况及质保期承诺，</w:t>
            </w:r>
            <w:r>
              <w:rPr>
                <w:rFonts w:hint="eastAsia" w:ascii="微软雅黑" w:hAnsi="微软雅黑" w:eastAsia="微软雅黑" w:cs="微软雅黑"/>
                <w:i w:val="0"/>
                <w:iCs w:val="0"/>
                <w:color w:val="000000"/>
                <w:sz w:val="21"/>
                <w:szCs w:val="21"/>
                <w:highlight w:val="none"/>
                <w:u w:val="none"/>
                <w:lang w:val="en-US" w:eastAsia="zh-CN"/>
              </w:rPr>
              <w:t>最优得10分，第二得8分，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使用情况</w:t>
                  </w:r>
                </w:p>
              </w:tc>
            </w:tr>
          </w:tbl>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根据投标人提供过往产品或者是试用产品的实际使用情况优劣进行评分，最高得5分，最低不得分。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根据售后服务方案，包括但不限于：（1）退换服务内容、（2）退换流程、（3）响应时间、（4）人员安排的全面性、科学性及对本项目的针对性进行评分。方案完整科学、对本项目的针对性强的得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各有效投标报价以基准价为标准进行比较：每高于基准价1%扣0.2分，以此类推，扣完为止。计算公式为：报价得分=50-[（投标报价-基准价）/基准价]×100×0.2；</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
        <w:spacing w:line="360" w:lineRule="auto"/>
        <w:ind w:firstLine="472" w:firstLineChars="225"/>
        <w:rPr>
          <w:rFonts w:hint="eastAsia" w:ascii="宋体" w:hAnsi="宋体" w:cs="宋体"/>
          <w:szCs w:val="21"/>
          <w:highlight w:val="none"/>
        </w:rPr>
      </w:pPr>
    </w:p>
    <w:p>
      <w:pPr>
        <w:pStyle w:val="2"/>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pStyle w:val="2"/>
        <w:rPr>
          <w:rFonts w:hint="eastAsia" w:ascii="宋体" w:hAnsi="宋体" w:eastAsia="宋体" w:cs="宋体"/>
          <w:b/>
          <w:bCs/>
          <w:sz w:val="28"/>
          <w:szCs w:val="28"/>
          <w:lang w:val="en-US" w:eastAsia="zh-CN"/>
        </w:rPr>
      </w:pPr>
      <w:bookmarkStart w:id="415" w:name="_Toc18725"/>
      <w:bookmarkStart w:id="416" w:name="_Toc1561"/>
      <w:bookmarkStart w:id="417" w:name="_Toc61418267"/>
      <w:bookmarkStart w:id="418" w:name="_Toc188181412"/>
      <w:bookmarkStart w:id="419" w:name="_Toc512327974"/>
      <w:r>
        <w:rPr>
          <w:rFonts w:hint="eastAsia" w:ascii="宋体" w:hAnsi="宋体" w:eastAsia="宋体" w:cs="宋体"/>
          <w:b/>
          <w:bCs/>
          <w:sz w:val="28"/>
          <w:szCs w:val="28"/>
          <w:lang w:val="en-US" w:eastAsia="zh-CN"/>
        </w:rPr>
        <w:t>1、目的</w:t>
      </w:r>
      <w:bookmarkEnd w:id="415"/>
      <w:bookmarkEnd w:id="416"/>
    </w:p>
    <w:bookmarkEnd w:id="417"/>
    <w:bookmarkEnd w:id="418"/>
    <w:p>
      <w:pPr>
        <w:pStyle w:val="2"/>
        <w:rPr>
          <w:rFonts w:hint="eastAsia" w:ascii="宋体" w:hAnsi="宋体" w:eastAsia="宋体" w:cs="宋体"/>
          <w:sz w:val="28"/>
          <w:szCs w:val="28"/>
          <w:lang w:val="en-US" w:eastAsia="zh-CN"/>
        </w:rPr>
      </w:pPr>
      <w:bookmarkStart w:id="420" w:name="_Hlk528847756"/>
      <w:bookmarkStart w:id="421" w:name="_Toc28598"/>
      <w:r>
        <w:rPr>
          <w:rFonts w:hint="eastAsia" w:ascii="宋体" w:hAnsi="宋体" w:eastAsia="宋体" w:cs="宋体"/>
          <w:sz w:val="28"/>
          <w:szCs w:val="28"/>
          <w:lang w:val="en-US" w:eastAsia="zh-CN"/>
        </w:rPr>
        <w:t>本URS文件旨在以文件的形式描述规定LMH细胞无血清专用培养基质量标准。以保证供应商所提供的产品符合我公司的所有要求。</w:t>
      </w:r>
    </w:p>
    <w:bookmarkEnd w:id="420"/>
    <w:p>
      <w:pPr>
        <w:pStyle w:val="2"/>
        <w:rPr>
          <w:rFonts w:hint="eastAsia" w:ascii="宋体" w:hAnsi="宋体" w:eastAsia="宋体" w:cs="宋体"/>
          <w:b/>
          <w:bCs/>
          <w:sz w:val="28"/>
          <w:szCs w:val="28"/>
          <w:lang w:val="en-US" w:eastAsia="zh-CN"/>
        </w:rPr>
      </w:pPr>
      <w:bookmarkStart w:id="422" w:name="_Toc716"/>
      <w:r>
        <w:rPr>
          <w:rFonts w:hint="eastAsia" w:ascii="宋体" w:hAnsi="宋体" w:eastAsia="宋体" w:cs="宋体"/>
          <w:b/>
          <w:bCs/>
          <w:sz w:val="28"/>
          <w:szCs w:val="28"/>
          <w:lang w:val="en-US" w:eastAsia="zh-CN"/>
        </w:rPr>
        <w:t>2、范围</w:t>
      </w:r>
      <w:bookmarkEnd w:id="421"/>
      <w:bookmarkEnd w:id="422"/>
    </w:p>
    <w:p>
      <w:pPr>
        <w:pStyle w:val="2"/>
        <w:rPr>
          <w:rFonts w:hint="eastAsia" w:ascii="宋体" w:hAnsi="宋体" w:eastAsia="宋体" w:cs="宋体"/>
          <w:sz w:val="28"/>
          <w:szCs w:val="28"/>
          <w:lang w:val="en-US" w:eastAsia="zh-CN"/>
        </w:rPr>
      </w:pPr>
      <w:bookmarkStart w:id="423" w:name="_Hlk528847449"/>
      <w:r>
        <w:rPr>
          <w:rFonts w:hint="eastAsia" w:ascii="宋体" w:hAnsi="宋体" w:eastAsia="宋体" w:cs="宋体"/>
          <w:sz w:val="28"/>
          <w:szCs w:val="28"/>
          <w:lang w:val="en-US" w:eastAsia="zh-CN"/>
        </w:rPr>
        <w:t>用于规定LMH细胞悬浮培养中细胞培养阶段及细胞接种后病毒增殖阶段培养基的质量标准。</w:t>
      </w:r>
    </w:p>
    <w:bookmarkEnd w:id="423"/>
    <w:p>
      <w:pPr>
        <w:pStyle w:val="2"/>
        <w:rPr>
          <w:rFonts w:hint="eastAsia" w:ascii="宋体" w:hAnsi="宋体" w:eastAsia="宋体" w:cs="宋体"/>
          <w:b/>
          <w:bCs/>
          <w:sz w:val="28"/>
          <w:szCs w:val="28"/>
          <w:lang w:val="en-US" w:eastAsia="zh-CN"/>
        </w:rPr>
      </w:pPr>
      <w:bookmarkStart w:id="424" w:name="_Toc14542"/>
      <w:bookmarkStart w:id="425" w:name="_Toc20878"/>
      <w:r>
        <w:rPr>
          <w:rFonts w:hint="eastAsia" w:ascii="宋体" w:hAnsi="宋体" w:eastAsia="宋体" w:cs="宋体"/>
          <w:b/>
          <w:bCs/>
          <w:sz w:val="28"/>
          <w:szCs w:val="28"/>
          <w:lang w:val="en-US" w:eastAsia="zh-CN"/>
        </w:rPr>
        <w:t>3、技术规格</w:t>
      </w:r>
      <w:bookmarkEnd w:id="424"/>
      <w:bookmarkEnd w:id="425"/>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URS中用户仅提出基本的质量要求，并未涵盖和限制制造商所提供的产品具有更高的制造标准。制造方的产品应满足国家有关规范和强制性标准要求。报告单随产品附检测合格报告及标准。</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培养基清单</w:t>
      </w:r>
    </w:p>
    <w:p>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4、质量需求</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4.1.1性状：固体组分为类白色粉末，120目通过率≥70%，液体组分为澄清透明液体。</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4.1.2pH值（每升标示量/L）为6.8~7.6。</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4.1.3干燥减量的质量分数应≤5.0%。</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4.1.4配制后渗透压：270~340 mOsm/kg。</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4.1.5微生物限度：细菌数≤200 CFU/g；霉菌数≤50 CFU/g。</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4.1.6干粉培养基配制后细菌内毒素应不高于10EU/ml。</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4.1.7细胞生长试验</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4.1.7.1细胞形态：细胞呈圆形，透亮，大小均匀。</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4.1.7.2细胞活力：当细胞密度达6×106个/ml时，细胞活率应≥95%。</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4.1.7.3倍增时间：当细胞密度在1.0-1.2×106个/ml时，细胞倍增时间为18-24小时。 </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4.1.8、病毒繁殖试验</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在相同条件下，病毒繁殖量需不低于对照培养基病毒繁殖量，且效价及病毒增殖符合公司内控质量标准。</w:t>
      </w:r>
      <w:bookmarkEnd w:id="419"/>
      <w:bookmarkStart w:id="426" w:name="_Toc4099"/>
      <w:bookmarkStart w:id="427" w:name="_Toc31996"/>
      <w:bookmarkStart w:id="428" w:name="_Toc23939"/>
      <w:bookmarkStart w:id="429" w:name="_Toc7699"/>
      <w:bookmarkStart w:id="430" w:name="_Toc14874"/>
      <w:bookmarkStart w:id="431" w:name="_Toc18770"/>
      <w:bookmarkStart w:id="432" w:name="_Toc345051512"/>
    </w:p>
    <w:p>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5、包装需求</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5.1.1包装规格：各组分装量均为配制100L培养基所需的量。</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5.1.2标签：完整清晰的显示产品名称、批号、生产日期、有效期等信息</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5.1.3包装材料：粉末组分直接接触包装材料使用铝箔纸具体要求，液体成分直接接触材料使用PP塑料瓶包装。</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5.1.4各组分装箱需合理，方便出入库。</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5.1.5泡沫箱及外包装材料需结实耐用，严禁出现运输过程损坏影响产品质量。</w:t>
      </w:r>
    </w:p>
    <w:p>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6、运输条件</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供应商供货须保证培养基冷链条件下运输至采购方，产品外观无明显损坏，否则采购方拒收。</w:t>
      </w:r>
    </w:p>
    <w:bookmarkEnd w:id="426"/>
    <w:bookmarkEnd w:id="427"/>
    <w:bookmarkEnd w:id="428"/>
    <w:bookmarkEnd w:id="429"/>
    <w:bookmarkEnd w:id="430"/>
    <w:bookmarkEnd w:id="431"/>
    <w:bookmarkEnd w:id="432"/>
    <w:p>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7、收货标准</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如有破损，剔除破损数量，按实际收货数量计算。</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同一次供货，对于同一品种、同一规格、同一剂型的，供应商应提供同一批号的产品，若因特殊原因不能满足要求，须提前与采购方协商解决，否则采购方拒收。</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因产品的特殊性，成交供应商所供小试三批，每批产品不低于100L培养基，若小试不合格，对试用培养基不予结算，采购人有权退回该产品；若小试产品试用合格，按合同价格予以结算。</w:t>
      </w:r>
    </w:p>
    <w:p>
      <w:pPr>
        <w:pStyle w:val="2"/>
        <w:rPr>
          <w:rFonts w:hint="eastAsia"/>
          <w:lang w:val="en-US" w:eastAsia="zh-CN"/>
        </w:rPr>
      </w:pPr>
    </w:p>
    <w:sectPr>
      <w:footerReference r:id="rId18" w:type="first"/>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9E7AE1"/>
    <w:rsid w:val="01CD4F1F"/>
    <w:rsid w:val="01CD506F"/>
    <w:rsid w:val="025D3C33"/>
    <w:rsid w:val="0299777A"/>
    <w:rsid w:val="03310133"/>
    <w:rsid w:val="033A7147"/>
    <w:rsid w:val="034072F4"/>
    <w:rsid w:val="03D33F78"/>
    <w:rsid w:val="0442138C"/>
    <w:rsid w:val="04CD3744"/>
    <w:rsid w:val="05BD6C4F"/>
    <w:rsid w:val="068A051E"/>
    <w:rsid w:val="06E27CD9"/>
    <w:rsid w:val="07714A42"/>
    <w:rsid w:val="084367D4"/>
    <w:rsid w:val="084E0615"/>
    <w:rsid w:val="09545AC8"/>
    <w:rsid w:val="0AFF4E4A"/>
    <w:rsid w:val="0B933243"/>
    <w:rsid w:val="0BD842AB"/>
    <w:rsid w:val="0BEE13A6"/>
    <w:rsid w:val="0D04723D"/>
    <w:rsid w:val="0D792EAC"/>
    <w:rsid w:val="0D8D0EA8"/>
    <w:rsid w:val="0E175D7C"/>
    <w:rsid w:val="100F10E1"/>
    <w:rsid w:val="114C6D7B"/>
    <w:rsid w:val="119D1D5C"/>
    <w:rsid w:val="124848DD"/>
    <w:rsid w:val="12AF40AF"/>
    <w:rsid w:val="143E54A0"/>
    <w:rsid w:val="149208C7"/>
    <w:rsid w:val="17493924"/>
    <w:rsid w:val="17524BB4"/>
    <w:rsid w:val="17634B0D"/>
    <w:rsid w:val="17DD21C5"/>
    <w:rsid w:val="1A060CD7"/>
    <w:rsid w:val="1A164AB8"/>
    <w:rsid w:val="1ABD1A3F"/>
    <w:rsid w:val="1C2362A8"/>
    <w:rsid w:val="1C644176"/>
    <w:rsid w:val="1C846CAA"/>
    <w:rsid w:val="1D1919F8"/>
    <w:rsid w:val="1D1E3239"/>
    <w:rsid w:val="1D447F67"/>
    <w:rsid w:val="1D511438"/>
    <w:rsid w:val="1D7E18EE"/>
    <w:rsid w:val="1D952DF5"/>
    <w:rsid w:val="1DA4399A"/>
    <w:rsid w:val="1F1727BF"/>
    <w:rsid w:val="20734F9D"/>
    <w:rsid w:val="21517356"/>
    <w:rsid w:val="217E3D4D"/>
    <w:rsid w:val="21B8302F"/>
    <w:rsid w:val="21ED0E21"/>
    <w:rsid w:val="227930C6"/>
    <w:rsid w:val="22C96A86"/>
    <w:rsid w:val="238649B8"/>
    <w:rsid w:val="23AD4E1E"/>
    <w:rsid w:val="24C741C2"/>
    <w:rsid w:val="25350541"/>
    <w:rsid w:val="268E2E7C"/>
    <w:rsid w:val="27A02191"/>
    <w:rsid w:val="27E04F0C"/>
    <w:rsid w:val="285C308D"/>
    <w:rsid w:val="28865E00"/>
    <w:rsid w:val="289A3148"/>
    <w:rsid w:val="2907617B"/>
    <w:rsid w:val="29A273A6"/>
    <w:rsid w:val="29F518B2"/>
    <w:rsid w:val="2A3B6454"/>
    <w:rsid w:val="2A8A52DA"/>
    <w:rsid w:val="2AE26DC9"/>
    <w:rsid w:val="2AFC6857"/>
    <w:rsid w:val="2D361BB0"/>
    <w:rsid w:val="2F6D3579"/>
    <w:rsid w:val="30343EB8"/>
    <w:rsid w:val="305F6588"/>
    <w:rsid w:val="30923BB0"/>
    <w:rsid w:val="31A71994"/>
    <w:rsid w:val="31C03214"/>
    <w:rsid w:val="3371124C"/>
    <w:rsid w:val="33716BC9"/>
    <w:rsid w:val="33BB31BC"/>
    <w:rsid w:val="33DA7906"/>
    <w:rsid w:val="3436155A"/>
    <w:rsid w:val="347A6C66"/>
    <w:rsid w:val="34E83EA9"/>
    <w:rsid w:val="350A3B21"/>
    <w:rsid w:val="359C48DD"/>
    <w:rsid w:val="35F37D16"/>
    <w:rsid w:val="3674202A"/>
    <w:rsid w:val="379C09D5"/>
    <w:rsid w:val="37E551CF"/>
    <w:rsid w:val="38023102"/>
    <w:rsid w:val="384D3D8D"/>
    <w:rsid w:val="38A02D03"/>
    <w:rsid w:val="38A92A23"/>
    <w:rsid w:val="39CE54E1"/>
    <w:rsid w:val="39E25AC3"/>
    <w:rsid w:val="3A601B79"/>
    <w:rsid w:val="3A9A2C2A"/>
    <w:rsid w:val="3BCD47A7"/>
    <w:rsid w:val="3BD87783"/>
    <w:rsid w:val="3C440E8D"/>
    <w:rsid w:val="3CC80902"/>
    <w:rsid w:val="3D342B6E"/>
    <w:rsid w:val="3DF57708"/>
    <w:rsid w:val="3EA238CA"/>
    <w:rsid w:val="402D4B16"/>
    <w:rsid w:val="407A573F"/>
    <w:rsid w:val="40B567C2"/>
    <w:rsid w:val="40F23A4C"/>
    <w:rsid w:val="411A359C"/>
    <w:rsid w:val="44E645F9"/>
    <w:rsid w:val="45A253AD"/>
    <w:rsid w:val="45E40A76"/>
    <w:rsid w:val="45EB594E"/>
    <w:rsid w:val="48AC304C"/>
    <w:rsid w:val="48CA449B"/>
    <w:rsid w:val="49772E24"/>
    <w:rsid w:val="4A4C29D1"/>
    <w:rsid w:val="4B6C5100"/>
    <w:rsid w:val="4BE75898"/>
    <w:rsid w:val="4C0C1018"/>
    <w:rsid w:val="4C52117B"/>
    <w:rsid w:val="4DED1D23"/>
    <w:rsid w:val="4DF06CFE"/>
    <w:rsid w:val="4E2539F2"/>
    <w:rsid w:val="4FE85234"/>
    <w:rsid w:val="50C06A6F"/>
    <w:rsid w:val="51AB25E2"/>
    <w:rsid w:val="52C77193"/>
    <w:rsid w:val="531A366F"/>
    <w:rsid w:val="53455313"/>
    <w:rsid w:val="53B7054A"/>
    <w:rsid w:val="54181E8F"/>
    <w:rsid w:val="55AB065F"/>
    <w:rsid w:val="56074CC6"/>
    <w:rsid w:val="56456AAE"/>
    <w:rsid w:val="574F5F4C"/>
    <w:rsid w:val="58276CF5"/>
    <w:rsid w:val="589715D5"/>
    <w:rsid w:val="59FA3F6D"/>
    <w:rsid w:val="5A0A5462"/>
    <w:rsid w:val="5AAF3A76"/>
    <w:rsid w:val="5ADB1E70"/>
    <w:rsid w:val="5B4C57D4"/>
    <w:rsid w:val="5C3667D4"/>
    <w:rsid w:val="5CDB033A"/>
    <w:rsid w:val="5CFA0384"/>
    <w:rsid w:val="5D422007"/>
    <w:rsid w:val="5DAF2A40"/>
    <w:rsid w:val="5E284D12"/>
    <w:rsid w:val="5F042803"/>
    <w:rsid w:val="5F5D6BEB"/>
    <w:rsid w:val="5FAD636F"/>
    <w:rsid w:val="600B149F"/>
    <w:rsid w:val="61994029"/>
    <w:rsid w:val="61F6744C"/>
    <w:rsid w:val="635D0E7E"/>
    <w:rsid w:val="63827325"/>
    <w:rsid w:val="639F5962"/>
    <w:rsid w:val="64E01543"/>
    <w:rsid w:val="65130267"/>
    <w:rsid w:val="6A1D6B70"/>
    <w:rsid w:val="6AF56893"/>
    <w:rsid w:val="6B085BBE"/>
    <w:rsid w:val="6B0C4773"/>
    <w:rsid w:val="6B277F37"/>
    <w:rsid w:val="6B716B29"/>
    <w:rsid w:val="6C4D6B80"/>
    <w:rsid w:val="6C741EF9"/>
    <w:rsid w:val="6D094D94"/>
    <w:rsid w:val="6DC65A80"/>
    <w:rsid w:val="6E380D0C"/>
    <w:rsid w:val="6ED42A0E"/>
    <w:rsid w:val="6EE168B7"/>
    <w:rsid w:val="70977707"/>
    <w:rsid w:val="711663FD"/>
    <w:rsid w:val="714D5CAB"/>
    <w:rsid w:val="73951FFE"/>
    <w:rsid w:val="73BA04D5"/>
    <w:rsid w:val="74DC70A9"/>
    <w:rsid w:val="753B3AE9"/>
    <w:rsid w:val="75F113D5"/>
    <w:rsid w:val="76190D95"/>
    <w:rsid w:val="770478DC"/>
    <w:rsid w:val="773C186D"/>
    <w:rsid w:val="78BC2324"/>
    <w:rsid w:val="78CC6D3B"/>
    <w:rsid w:val="78DC67E8"/>
    <w:rsid w:val="792340C6"/>
    <w:rsid w:val="7AAB15D2"/>
    <w:rsid w:val="7B6706DA"/>
    <w:rsid w:val="7C6A2093"/>
    <w:rsid w:val="7CBF52AE"/>
    <w:rsid w:val="7D817FF3"/>
    <w:rsid w:val="7DC70AA0"/>
    <w:rsid w:val="7E5E24A6"/>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 w:type="character" w:customStyle="1" w:styleId="209">
    <w:name w:val="font51"/>
    <w:basedOn w:val="5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18641</Words>
  <Characters>19742</Characters>
  <Lines>243</Lines>
  <Paragraphs>68</Paragraphs>
  <TotalTime>12</TotalTime>
  <ScaleCrop>false</ScaleCrop>
  <LinksUpToDate>false</LinksUpToDate>
  <CharactersWithSpaces>21728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2025-05-09T08:07:52Z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