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8142EE9">
      <w:pPr>
        <w:spacing w:line="360" w:lineRule="auto"/>
        <w:rPr>
          <w:rFonts w:hint="eastAsia" w:ascii="宋体" w:hAnsi="宋体"/>
          <w:b/>
          <w:szCs w:val="21"/>
          <w:highlight w:val="none"/>
        </w:rPr>
      </w:pPr>
    </w:p>
    <w:p w14:paraId="6EDB71DE">
      <w:pPr>
        <w:jc w:val="center"/>
        <w:rPr>
          <w:rFonts w:hint="eastAsia" w:ascii="宋体" w:hAnsi="宋体"/>
          <w:b/>
          <w:szCs w:val="21"/>
          <w:highlight w:val="none"/>
        </w:rPr>
      </w:pPr>
      <w:bookmarkStart w:id="0" w:name="_Toc144974478"/>
      <w:bookmarkStart w:id="1" w:name="_Toc152042286"/>
    </w:p>
    <w:p w14:paraId="25AEFFD1">
      <w:pPr>
        <w:jc w:val="center"/>
        <w:rPr>
          <w:rFonts w:ascii="宋体" w:hAnsi="宋体"/>
          <w:b/>
          <w:sz w:val="72"/>
          <w:szCs w:val="72"/>
          <w:highlight w:val="none"/>
        </w:rPr>
      </w:pPr>
      <w:r>
        <w:rPr>
          <w:rFonts w:hint="eastAsia" w:ascii="宋体" w:hAnsi="宋体"/>
          <w:b/>
          <w:sz w:val="72"/>
          <w:szCs w:val="72"/>
          <w:highlight w:val="none"/>
        </w:rPr>
        <w:t>招  标  文  件</w:t>
      </w:r>
    </w:p>
    <w:p w14:paraId="289085A2">
      <w:pPr>
        <w:jc w:val="center"/>
        <w:rPr>
          <w:rFonts w:ascii="宋体" w:hAnsi="宋体"/>
          <w:b/>
          <w:szCs w:val="21"/>
          <w:highlight w:val="none"/>
        </w:rPr>
      </w:pPr>
    </w:p>
    <w:p w14:paraId="2FD97C70">
      <w:pPr>
        <w:pStyle w:val="3"/>
        <w:tabs>
          <w:tab w:val="left" w:pos="5040"/>
        </w:tabs>
        <w:spacing w:before="0" w:after="0"/>
        <w:outlineLvl w:val="9"/>
        <w:rPr>
          <w:rFonts w:hint="eastAsia" w:ascii="宋体" w:hAnsi="宋体"/>
          <w:sz w:val="21"/>
          <w:szCs w:val="21"/>
          <w:highlight w:val="none"/>
        </w:rPr>
      </w:pPr>
    </w:p>
    <w:p w14:paraId="38A3C075">
      <w:pPr>
        <w:rPr>
          <w:rFonts w:hint="eastAsia" w:ascii="宋体" w:hAnsi="宋体"/>
          <w:szCs w:val="21"/>
          <w:highlight w:val="none"/>
        </w:rPr>
      </w:pPr>
    </w:p>
    <w:p w14:paraId="62C1EC8F">
      <w:pPr>
        <w:rPr>
          <w:rFonts w:hint="eastAsia" w:ascii="宋体" w:hAnsi="宋体"/>
          <w:szCs w:val="21"/>
          <w:highlight w:val="none"/>
        </w:rPr>
      </w:pPr>
    </w:p>
    <w:p w14:paraId="7B3AD777">
      <w:pPr>
        <w:rPr>
          <w:rFonts w:ascii="宋体" w:hAnsi="宋体"/>
          <w:szCs w:val="21"/>
          <w:highlight w:val="none"/>
        </w:rPr>
      </w:pPr>
    </w:p>
    <w:p w14:paraId="44866789">
      <w:pPr>
        <w:pStyle w:val="2"/>
        <w:spacing w:line="360" w:lineRule="auto"/>
        <w:ind w:left="1440" w:right="-22" w:firstLine="422"/>
        <w:rPr>
          <w:rFonts w:ascii="宋体" w:hAnsi="宋体"/>
          <w:b/>
          <w:szCs w:val="21"/>
          <w:highlight w:val="none"/>
        </w:rPr>
      </w:pPr>
    </w:p>
    <w:p w14:paraId="444ED938">
      <w:pPr>
        <w:pStyle w:val="2"/>
        <w:tabs>
          <w:tab w:val="left" w:pos="7230"/>
        </w:tabs>
        <w:spacing w:line="360" w:lineRule="auto"/>
        <w:ind w:left="1440" w:right="-22" w:firstLine="602"/>
        <w:rPr>
          <w:rFonts w:hint="eastAsia" w:ascii="宋体" w:hAnsi="宋体" w:eastAsia="宋体"/>
          <w:b/>
          <w:sz w:val="30"/>
          <w:szCs w:val="30"/>
          <w:highlight w:val="none"/>
          <w:lang w:val="en-US" w:eastAsia="zh-CN"/>
        </w:rPr>
      </w:pPr>
      <w:r>
        <w:rPr>
          <w:rFonts w:hint="eastAsia" w:ascii="宋体" w:hAnsi="宋体"/>
          <w:b/>
          <w:sz w:val="30"/>
          <w:szCs w:val="30"/>
          <w:highlight w:val="none"/>
        </w:rPr>
        <w:t xml:space="preserve">招标文件编号： </w:t>
      </w:r>
      <w:r>
        <w:rPr>
          <w:rFonts w:hint="eastAsia" w:ascii="宋体" w:hAnsi="宋体"/>
          <w:b/>
          <w:sz w:val="30"/>
          <w:szCs w:val="30"/>
          <w:highlight w:val="none"/>
          <w:lang w:eastAsia="zh-CN"/>
        </w:rPr>
        <w:t>WKZB-202</w:t>
      </w:r>
      <w:r>
        <w:rPr>
          <w:rFonts w:hint="eastAsia" w:ascii="宋体" w:hAnsi="宋体"/>
          <w:b/>
          <w:sz w:val="30"/>
          <w:szCs w:val="30"/>
          <w:highlight w:val="none"/>
          <w:lang w:val="en-US" w:eastAsia="zh-CN"/>
        </w:rPr>
        <w:t>6</w:t>
      </w:r>
      <w:r>
        <w:rPr>
          <w:rFonts w:hint="eastAsia" w:ascii="宋体" w:hAnsi="宋体"/>
          <w:b/>
          <w:sz w:val="30"/>
          <w:szCs w:val="30"/>
          <w:highlight w:val="none"/>
          <w:lang w:eastAsia="zh-CN"/>
        </w:rPr>
        <w:t>-02</w:t>
      </w:r>
      <w:r>
        <w:rPr>
          <w:rFonts w:hint="eastAsia" w:ascii="宋体" w:hAnsi="宋体"/>
          <w:b/>
          <w:sz w:val="30"/>
          <w:szCs w:val="30"/>
          <w:highlight w:val="none"/>
          <w:lang w:val="en-US" w:eastAsia="zh-CN"/>
        </w:rPr>
        <w:t>5</w:t>
      </w:r>
    </w:p>
    <w:p w14:paraId="6BEC3FE5">
      <w:pPr>
        <w:ind w:firstLine="2126" w:firstLineChars="706"/>
        <w:rPr>
          <w:rFonts w:hint="eastAsia" w:ascii="宋体" w:hAnsi="宋体"/>
          <w:b/>
          <w:sz w:val="30"/>
          <w:szCs w:val="30"/>
          <w:highlight w:val="none"/>
          <w:lang w:val="en-US" w:eastAsia="zh-CN"/>
        </w:rPr>
      </w:pPr>
      <w:r>
        <w:rPr>
          <w:rFonts w:hint="eastAsia" w:ascii="宋体" w:hAnsi="宋体"/>
          <w:b/>
          <w:sz w:val="30"/>
          <w:szCs w:val="30"/>
          <w:highlight w:val="none"/>
          <w:lang w:eastAsia="zh-CN"/>
        </w:rPr>
        <w:t>项目</w:t>
      </w:r>
      <w:r>
        <w:rPr>
          <w:rFonts w:hint="eastAsia" w:ascii="宋体" w:hAnsi="宋体"/>
          <w:b/>
          <w:sz w:val="30"/>
          <w:szCs w:val="30"/>
          <w:highlight w:val="none"/>
        </w:rPr>
        <w:t>名称：</w:t>
      </w:r>
      <w:r>
        <w:rPr>
          <w:rFonts w:hint="eastAsia" w:ascii="宋体" w:hAnsi="宋体"/>
          <w:b/>
          <w:sz w:val="30"/>
          <w:szCs w:val="30"/>
          <w:highlight w:val="none"/>
          <w:lang w:val="en-US" w:eastAsia="zh-CN"/>
        </w:rPr>
        <w:t>鸡血清</w:t>
      </w:r>
    </w:p>
    <w:p w14:paraId="331934DD">
      <w:pPr>
        <w:ind w:firstLine="2126" w:firstLineChars="706"/>
        <w:rPr>
          <w:rFonts w:ascii="宋体" w:hAnsi="宋体"/>
          <w:b/>
          <w:sz w:val="30"/>
          <w:szCs w:val="30"/>
          <w:highlight w:val="none"/>
        </w:rPr>
      </w:pPr>
      <w:r>
        <w:rPr>
          <w:rFonts w:hint="eastAsia" w:ascii="宋体" w:hAnsi="宋体"/>
          <w:b/>
          <w:sz w:val="30"/>
          <w:szCs w:val="30"/>
          <w:highlight w:val="none"/>
        </w:rPr>
        <w:t>招标人：国药集团扬州威克生物工程有限公司</w:t>
      </w:r>
    </w:p>
    <w:p w14:paraId="34C40E8A">
      <w:pPr>
        <w:pStyle w:val="2"/>
        <w:tabs>
          <w:tab w:val="left" w:pos="3045"/>
        </w:tabs>
        <w:spacing w:line="360" w:lineRule="auto"/>
        <w:ind w:left="1440" w:right="-22" w:firstLine="602"/>
        <w:rPr>
          <w:rFonts w:ascii="宋体" w:hAnsi="宋体"/>
          <w:b/>
          <w:sz w:val="30"/>
          <w:szCs w:val="30"/>
          <w:highlight w:val="none"/>
        </w:rPr>
      </w:pPr>
    </w:p>
    <w:p w14:paraId="23DF7D14">
      <w:pPr>
        <w:spacing w:line="360" w:lineRule="auto"/>
        <w:rPr>
          <w:rFonts w:ascii="宋体" w:hAnsi="宋体"/>
          <w:sz w:val="30"/>
          <w:szCs w:val="30"/>
          <w:highlight w:val="none"/>
        </w:rPr>
      </w:pPr>
    </w:p>
    <w:p w14:paraId="741056F6">
      <w:pPr>
        <w:pStyle w:val="2"/>
        <w:tabs>
          <w:tab w:val="left" w:pos="3675"/>
          <w:tab w:val="left" w:pos="5040"/>
        </w:tabs>
        <w:spacing w:line="360" w:lineRule="auto"/>
        <w:ind w:right="-22" w:firstLine="422"/>
        <w:rPr>
          <w:rFonts w:ascii="宋体" w:hAnsi="宋体"/>
          <w:b/>
          <w:szCs w:val="21"/>
          <w:highlight w:val="none"/>
        </w:rPr>
      </w:pPr>
      <w:r>
        <w:rPr>
          <w:rFonts w:hint="eastAsia" w:ascii="宋体" w:hAnsi="宋体"/>
          <w:b/>
          <w:szCs w:val="21"/>
          <w:highlight w:val="none"/>
        </w:rPr>
        <w:t xml:space="preserve">             </w:t>
      </w:r>
    </w:p>
    <w:p w14:paraId="4A2D72B2">
      <w:pPr>
        <w:pStyle w:val="2"/>
        <w:tabs>
          <w:tab w:val="left" w:pos="3675"/>
          <w:tab w:val="left" w:pos="5040"/>
        </w:tabs>
        <w:spacing w:line="360" w:lineRule="auto"/>
        <w:ind w:right="-22" w:firstLine="1476" w:firstLineChars="700"/>
        <w:rPr>
          <w:rFonts w:hint="eastAsia" w:ascii="宋体" w:hAnsi="宋体"/>
          <w:b/>
          <w:szCs w:val="21"/>
          <w:highlight w:val="none"/>
        </w:rPr>
      </w:pPr>
      <w:r>
        <w:rPr>
          <w:rFonts w:hint="eastAsia" w:ascii="宋体" w:hAnsi="宋体"/>
          <w:b/>
          <w:szCs w:val="21"/>
          <w:highlight w:val="none"/>
        </w:rPr>
        <w:t xml:space="preserve">    </w:t>
      </w:r>
    </w:p>
    <w:p w14:paraId="28FB1A69">
      <w:pPr>
        <w:pStyle w:val="2"/>
        <w:tabs>
          <w:tab w:val="left" w:pos="3675"/>
          <w:tab w:val="left" w:pos="5040"/>
        </w:tabs>
        <w:spacing w:line="360" w:lineRule="auto"/>
        <w:ind w:right="-22" w:firstLine="1476" w:firstLineChars="700"/>
        <w:rPr>
          <w:rFonts w:hint="eastAsia" w:ascii="宋体" w:hAnsi="宋体"/>
          <w:b/>
          <w:szCs w:val="21"/>
          <w:highlight w:val="none"/>
        </w:rPr>
      </w:pPr>
    </w:p>
    <w:p w14:paraId="48CD9504">
      <w:pPr>
        <w:pStyle w:val="2"/>
        <w:tabs>
          <w:tab w:val="left" w:pos="3675"/>
          <w:tab w:val="left" w:pos="5040"/>
        </w:tabs>
        <w:spacing w:line="360" w:lineRule="auto"/>
        <w:ind w:right="-22" w:firstLine="1476" w:firstLineChars="700"/>
        <w:rPr>
          <w:rFonts w:hint="eastAsia" w:ascii="宋体" w:hAnsi="宋体"/>
          <w:b/>
          <w:szCs w:val="21"/>
          <w:highlight w:val="none"/>
        </w:rPr>
      </w:pPr>
    </w:p>
    <w:p w14:paraId="5574EB39">
      <w:pPr>
        <w:pStyle w:val="2"/>
        <w:tabs>
          <w:tab w:val="left" w:pos="3675"/>
          <w:tab w:val="left" w:pos="5040"/>
        </w:tabs>
        <w:spacing w:line="360" w:lineRule="auto"/>
        <w:ind w:right="-22" w:firstLine="0" w:firstLineChars="0"/>
        <w:jc w:val="center"/>
        <w:rPr>
          <w:rFonts w:ascii="宋体" w:hAnsi="宋体"/>
          <w:b/>
          <w:sz w:val="32"/>
          <w:szCs w:val="32"/>
          <w:highlight w:val="none"/>
        </w:rPr>
      </w:pPr>
      <w:r>
        <w:rPr>
          <w:rFonts w:hint="eastAsia" w:ascii="宋体" w:hAnsi="宋体"/>
          <w:b/>
          <w:sz w:val="32"/>
          <w:szCs w:val="32"/>
          <w:highlight w:val="none"/>
        </w:rPr>
        <w:t>国药集团扬州威克生物工程有限公司</w:t>
      </w:r>
    </w:p>
    <w:p w14:paraId="512E0AF3">
      <w:pPr>
        <w:pStyle w:val="2"/>
        <w:tabs>
          <w:tab w:val="left" w:pos="5040"/>
        </w:tabs>
        <w:spacing w:line="360" w:lineRule="auto"/>
        <w:ind w:right="-22" w:firstLine="0" w:firstLineChars="0"/>
        <w:jc w:val="center"/>
        <w:rPr>
          <w:rFonts w:ascii="宋体" w:hAnsi="宋体"/>
          <w:b/>
          <w:sz w:val="32"/>
          <w:szCs w:val="32"/>
          <w:highlight w:val="none"/>
        </w:rPr>
      </w:pPr>
      <w:r>
        <w:rPr>
          <w:rFonts w:hint="eastAsia" w:ascii="宋体" w:hAnsi="宋体"/>
          <w:b/>
          <w:sz w:val="32"/>
          <w:szCs w:val="32"/>
          <w:highlight w:val="none"/>
        </w:rPr>
        <w:t>二○二</w:t>
      </w:r>
      <w:r>
        <w:rPr>
          <w:rFonts w:hint="eastAsia" w:ascii="宋体" w:hAnsi="宋体"/>
          <w:b/>
          <w:sz w:val="32"/>
          <w:szCs w:val="32"/>
          <w:highlight w:val="none"/>
          <w:lang w:val="en-US" w:eastAsia="zh-CN"/>
        </w:rPr>
        <w:t>六</w:t>
      </w:r>
      <w:r>
        <w:rPr>
          <w:rFonts w:hint="eastAsia" w:ascii="宋体" w:hAnsi="宋体"/>
          <w:b/>
          <w:sz w:val="32"/>
          <w:szCs w:val="32"/>
          <w:highlight w:val="none"/>
        </w:rPr>
        <w:t>年</w:t>
      </w:r>
      <w:r>
        <w:rPr>
          <w:rFonts w:hint="eastAsia" w:ascii="宋体" w:hAnsi="宋体"/>
          <w:b/>
          <w:sz w:val="32"/>
          <w:szCs w:val="32"/>
          <w:highlight w:val="none"/>
          <w:lang w:val="en-US" w:eastAsia="zh-CN"/>
        </w:rPr>
        <w:t>十</w:t>
      </w:r>
      <w:r>
        <w:rPr>
          <w:rFonts w:hint="eastAsia" w:ascii="宋体" w:hAnsi="宋体"/>
          <w:b/>
          <w:sz w:val="32"/>
          <w:szCs w:val="32"/>
          <w:highlight w:val="none"/>
        </w:rPr>
        <w:t>月</w:t>
      </w:r>
    </w:p>
    <w:p w14:paraId="7E894FEB">
      <w:pPr>
        <w:spacing w:line="360" w:lineRule="auto"/>
        <w:jc w:val="center"/>
        <w:rPr>
          <w:rFonts w:hint="eastAsia" w:ascii="宋体" w:hAnsi="宋体"/>
          <w:b/>
          <w:szCs w:val="21"/>
          <w:highlight w:val="none"/>
        </w:rPr>
        <w:sectPr>
          <w:headerReference r:id="rId5" w:type="first"/>
          <w:headerReference r:id="rId3" w:type="default"/>
          <w:headerReference r:id="rId4" w:type="even"/>
          <w:footerReference r:id="rId6" w:type="even"/>
          <w:pgSz w:w="11906" w:h="16838"/>
          <w:pgMar w:top="1134" w:right="1134" w:bottom="1134" w:left="1134" w:header="851" w:footer="992" w:gutter="0"/>
          <w:pgNumType w:start="1"/>
          <w:cols w:space="720" w:num="1"/>
          <w:titlePg/>
          <w:docGrid w:type="lines" w:linePitch="312" w:charSpace="0"/>
        </w:sectPr>
      </w:pPr>
    </w:p>
    <w:bookmarkEnd w:id="0"/>
    <w:bookmarkEnd w:id="1"/>
    <w:p w14:paraId="712E130F">
      <w:pPr>
        <w:pStyle w:val="33"/>
        <w:rPr>
          <w:rFonts w:hint="eastAsia" w:ascii="宋体" w:hAnsi="宋体"/>
          <w:szCs w:val="21"/>
          <w:highlight w:val="none"/>
        </w:rPr>
      </w:pPr>
      <w:r>
        <w:rPr>
          <w:rFonts w:hint="eastAsia" w:ascii="宋体" w:hAnsi="宋体"/>
          <w:szCs w:val="21"/>
          <w:highlight w:val="none"/>
        </w:rPr>
        <w:t>目            录</w:t>
      </w:r>
    </w:p>
    <w:sdt>
      <w:sdtPr>
        <w:rPr>
          <w:rFonts w:ascii="宋体" w:hAnsi="宋体" w:eastAsia="宋体"/>
          <w:kern w:val="2"/>
          <w:sz w:val="21"/>
          <w:szCs w:val="24"/>
          <w:highlight w:val="none"/>
          <w:lang w:val="en-US" w:eastAsia="zh-CN" w:bidi="ar-SA"/>
        </w:rPr>
        <w:id w:val="147465802"/>
        <w15:color w:val="DBDBDB"/>
        <w:docPartObj>
          <w:docPartGallery w:val="Table of Contents"/>
          <w:docPartUnique/>
        </w:docPartObj>
      </w:sdtPr>
      <w:sdtEndPr>
        <w:rPr>
          <w:rFonts w:hint="eastAsia" w:ascii="宋体" w:hAnsi="宋体" w:eastAsia="宋体"/>
          <w:kern w:val="2"/>
          <w:sz w:val="16"/>
          <w:szCs w:val="21"/>
          <w:highlight w:val="none"/>
          <w:lang w:val="en-US" w:eastAsia="zh-CN" w:bidi="ar-SA"/>
        </w:rPr>
      </w:sdtEndPr>
      <w:sdtContent>
        <w:p w14:paraId="43AA207D">
          <w:pPr>
            <w:spacing w:before="0" w:beforeLines="0" w:after="0" w:afterLines="0" w:line="240" w:lineRule="auto"/>
            <w:ind w:left="0" w:leftChars="0" w:right="0" w:rightChars="0" w:firstLine="0" w:firstLineChars="0"/>
            <w:jc w:val="center"/>
            <w:rPr>
              <w:highlight w:val="none"/>
            </w:rPr>
          </w:pPr>
        </w:p>
        <w:p w14:paraId="0565C221">
          <w:pPr>
            <w:pStyle w:val="33"/>
            <w:tabs>
              <w:tab w:val="right" w:leader="dot" w:pos="8306"/>
              <w:tab w:val="clear" w:pos="8296"/>
            </w:tabs>
            <w:rPr>
              <w:sz w:val="24"/>
              <w:szCs w:val="24"/>
              <w:highlight w:val="none"/>
            </w:rPr>
          </w:pPr>
          <w:r>
            <w:rPr>
              <w:rFonts w:hint="eastAsia" w:ascii="宋体" w:hAnsi="宋体"/>
              <w:sz w:val="21"/>
              <w:szCs w:val="21"/>
              <w:highlight w:val="none"/>
            </w:rPr>
            <w:fldChar w:fldCharType="begin"/>
          </w:r>
          <w:r>
            <w:rPr>
              <w:rFonts w:hint="eastAsia" w:ascii="宋体" w:hAnsi="宋体"/>
              <w:sz w:val="21"/>
              <w:szCs w:val="21"/>
              <w:highlight w:val="none"/>
            </w:rPr>
            <w:instrText xml:space="preserve">TOC \o "1-3" \h \u </w:instrText>
          </w:r>
          <w:r>
            <w:rPr>
              <w:rFonts w:hint="eastAsia" w:ascii="宋体" w:hAnsi="宋体"/>
              <w:sz w:val="21"/>
              <w:szCs w:val="21"/>
              <w:highlight w:val="none"/>
            </w:rPr>
            <w:fldChar w:fldCharType="separate"/>
          </w: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_Toc30703 </w:instrText>
          </w:r>
          <w:r>
            <w:rPr>
              <w:rFonts w:hint="eastAsia" w:ascii="宋体" w:hAnsi="宋体"/>
              <w:sz w:val="24"/>
              <w:szCs w:val="24"/>
              <w:highlight w:val="none"/>
            </w:rPr>
            <w:fldChar w:fldCharType="separate"/>
          </w:r>
          <w:r>
            <w:rPr>
              <w:rFonts w:hint="default" w:ascii="宋体" w:hAnsi="宋体"/>
              <w:bCs/>
              <w:sz w:val="24"/>
              <w:szCs w:val="24"/>
              <w:highlight w:val="none"/>
              <w:lang w:val="en-US"/>
            </w:rPr>
            <w:t xml:space="preserve">第一章 </w:t>
          </w:r>
          <w:r>
            <w:rPr>
              <w:rFonts w:hint="eastAsia" w:ascii="宋体" w:hAnsi="宋体"/>
              <w:bCs w:val="0"/>
              <w:sz w:val="24"/>
              <w:szCs w:val="24"/>
              <w:highlight w:val="none"/>
            </w:rPr>
            <w:t>投标</w:t>
          </w:r>
          <w:r>
            <w:rPr>
              <w:rFonts w:hint="eastAsia" w:ascii="宋体" w:hAnsi="宋体"/>
              <w:bCs w:val="0"/>
              <w:sz w:val="24"/>
              <w:szCs w:val="24"/>
              <w:highlight w:val="none"/>
              <w:lang w:val="en-US" w:eastAsia="zh-CN"/>
            </w:rPr>
            <w:t>公告</w:t>
          </w:r>
          <w:r>
            <w:rPr>
              <w:sz w:val="24"/>
              <w:szCs w:val="24"/>
              <w:highlight w:val="none"/>
            </w:rPr>
            <w:tab/>
          </w:r>
          <w:r>
            <w:rPr>
              <w:sz w:val="24"/>
              <w:szCs w:val="24"/>
              <w:highlight w:val="none"/>
            </w:rPr>
            <w:fldChar w:fldCharType="begin"/>
          </w:r>
          <w:r>
            <w:rPr>
              <w:sz w:val="24"/>
              <w:szCs w:val="24"/>
              <w:highlight w:val="none"/>
            </w:rPr>
            <w:instrText xml:space="preserve"> PAGEREF _Toc30703 \h </w:instrText>
          </w:r>
          <w:r>
            <w:rPr>
              <w:sz w:val="24"/>
              <w:szCs w:val="24"/>
              <w:highlight w:val="none"/>
            </w:rPr>
            <w:fldChar w:fldCharType="separate"/>
          </w:r>
          <w:r>
            <w:rPr>
              <w:sz w:val="24"/>
              <w:szCs w:val="24"/>
              <w:highlight w:val="none"/>
            </w:rPr>
            <w:t>1</w:t>
          </w:r>
          <w:r>
            <w:rPr>
              <w:sz w:val="24"/>
              <w:szCs w:val="24"/>
              <w:highlight w:val="none"/>
            </w:rPr>
            <w:fldChar w:fldCharType="end"/>
          </w:r>
          <w:r>
            <w:rPr>
              <w:rFonts w:hint="eastAsia" w:ascii="宋体" w:hAnsi="宋体"/>
              <w:sz w:val="24"/>
              <w:szCs w:val="24"/>
              <w:highlight w:val="none"/>
            </w:rPr>
            <w:fldChar w:fldCharType="end"/>
          </w:r>
        </w:p>
        <w:p w14:paraId="38453E97">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_Toc25653 </w:instrText>
          </w:r>
          <w:r>
            <w:rPr>
              <w:rFonts w:hint="eastAsia" w:ascii="宋体" w:hAnsi="宋体"/>
              <w:sz w:val="24"/>
              <w:szCs w:val="24"/>
              <w:highlight w:val="none"/>
            </w:rPr>
            <w:fldChar w:fldCharType="separate"/>
          </w:r>
          <w:r>
            <w:rPr>
              <w:rFonts w:hint="eastAsia" w:ascii="宋体" w:hAnsi="宋体"/>
              <w:bCs w:val="0"/>
              <w:sz w:val="24"/>
              <w:szCs w:val="24"/>
              <w:highlight w:val="none"/>
            </w:rPr>
            <w:t>第二章 投标人须知</w:t>
          </w:r>
          <w:r>
            <w:rPr>
              <w:sz w:val="24"/>
              <w:szCs w:val="24"/>
              <w:highlight w:val="none"/>
            </w:rPr>
            <w:tab/>
          </w:r>
          <w:r>
            <w:rPr>
              <w:sz w:val="24"/>
              <w:szCs w:val="24"/>
              <w:highlight w:val="none"/>
            </w:rPr>
            <w:fldChar w:fldCharType="begin"/>
          </w:r>
          <w:r>
            <w:rPr>
              <w:sz w:val="24"/>
              <w:szCs w:val="24"/>
              <w:highlight w:val="none"/>
            </w:rPr>
            <w:instrText xml:space="preserve"> PAGEREF _Toc25653 \h </w:instrText>
          </w:r>
          <w:r>
            <w:rPr>
              <w:sz w:val="24"/>
              <w:szCs w:val="24"/>
              <w:highlight w:val="none"/>
            </w:rPr>
            <w:fldChar w:fldCharType="separate"/>
          </w:r>
          <w:r>
            <w:rPr>
              <w:sz w:val="24"/>
              <w:szCs w:val="24"/>
              <w:highlight w:val="none"/>
            </w:rPr>
            <w:t>4</w:t>
          </w:r>
          <w:r>
            <w:rPr>
              <w:sz w:val="24"/>
              <w:szCs w:val="24"/>
              <w:highlight w:val="none"/>
            </w:rPr>
            <w:fldChar w:fldCharType="end"/>
          </w:r>
          <w:r>
            <w:rPr>
              <w:rFonts w:hint="eastAsia" w:ascii="宋体" w:hAnsi="宋体"/>
              <w:sz w:val="24"/>
              <w:szCs w:val="24"/>
              <w:highlight w:val="none"/>
            </w:rPr>
            <w:fldChar w:fldCharType="end"/>
          </w:r>
        </w:p>
        <w:p w14:paraId="2F8DAA8A">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_Toc11624 </w:instrText>
          </w:r>
          <w:r>
            <w:rPr>
              <w:rFonts w:hint="eastAsia" w:ascii="宋体" w:hAnsi="宋体"/>
              <w:sz w:val="24"/>
              <w:szCs w:val="24"/>
              <w:highlight w:val="none"/>
            </w:rPr>
            <w:fldChar w:fldCharType="separate"/>
          </w:r>
          <w:r>
            <w:rPr>
              <w:rFonts w:hint="eastAsia" w:ascii="宋体" w:hAnsi="宋体"/>
              <w:bCs w:val="0"/>
              <w:sz w:val="24"/>
              <w:szCs w:val="24"/>
              <w:highlight w:val="none"/>
            </w:rPr>
            <w:t>第三章 合同条款</w:t>
          </w:r>
          <w:r>
            <w:rPr>
              <w:sz w:val="24"/>
              <w:szCs w:val="24"/>
              <w:highlight w:val="none"/>
            </w:rPr>
            <w:tab/>
          </w:r>
          <w:r>
            <w:rPr>
              <w:sz w:val="24"/>
              <w:szCs w:val="24"/>
              <w:highlight w:val="none"/>
            </w:rPr>
            <w:fldChar w:fldCharType="begin"/>
          </w:r>
          <w:r>
            <w:rPr>
              <w:sz w:val="24"/>
              <w:szCs w:val="24"/>
              <w:highlight w:val="none"/>
            </w:rPr>
            <w:instrText xml:space="preserve"> PAGEREF _Toc11624 \h </w:instrText>
          </w:r>
          <w:r>
            <w:rPr>
              <w:sz w:val="24"/>
              <w:szCs w:val="24"/>
              <w:highlight w:val="none"/>
            </w:rPr>
            <w:fldChar w:fldCharType="separate"/>
          </w:r>
          <w:r>
            <w:rPr>
              <w:sz w:val="24"/>
              <w:szCs w:val="24"/>
              <w:highlight w:val="none"/>
            </w:rPr>
            <w:t>16</w:t>
          </w:r>
          <w:r>
            <w:rPr>
              <w:sz w:val="24"/>
              <w:szCs w:val="24"/>
              <w:highlight w:val="none"/>
            </w:rPr>
            <w:fldChar w:fldCharType="end"/>
          </w:r>
          <w:r>
            <w:rPr>
              <w:rFonts w:hint="eastAsia" w:ascii="宋体" w:hAnsi="宋体"/>
              <w:sz w:val="24"/>
              <w:szCs w:val="24"/>
              <w:highlight w:val="none"/>
            </w:rPr>
            <w:fldChar w:fldCharType="end"/>
          </w:r>
        </w:p>
        <w:p w14:paraId="4B0CCDBA">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_Toc29842 </w:instrText>
          </w:r>
          <w:r>
            <w:rPr>
              <w:rFonts w:hint="eastAsia" w:ascii="宋体" w:hAnsi="宋体"/>
              <w:sz w:val="24"/>
              <w:szCs w:val="24"/>
              <w:highlight w:val="none"/>
            </w:rPr>
            <w:fldChar w:fldCharType="separate"/>
          </w:r>
          <w:r>
            <w:rPr>
              <w:rFonts w:hint="eastAsia" w:ascii="宋体" w:hAnsi="宋体"/>
              <w:sz w:val="24"/>
              <w:szCs w:val="24"/>
              <w:highlight w:val="none"/>
            </w:rPr>
            <w:t>第四章 附件—投标文件格式</w:t>
          </w:r>
          <w:r>
            <w:rPr>
              <w:sz w:val="24"/>
              <w:szCs w:val="24"/>
              <w:highlight w:val="none"/>
            </w:rPr>
            <w:tab/>
          </w:r>
          <w:r>
            <w:rPr>
              <w:sz w:val="24"/>
              <w:szCs w:val="24"/>
              <w:highlight w:val="none"/>
            </w:rPr>
            <w:fldChar w:fldCharType="begin"/>
          </w:r>
          <w:r>
            <w:rPr>
              <w:sz w:val="24"/>
              <w:szCs w:val="24"/>
              <w:highlight w:val="none"/>
            </w:rPr>
            <w:instrText xml:space="preserve"> PAGEREF _Toc29842 \h </w:instrText>
          </w:r>
          <w:r>
            <w:rPr>
              <w:sz w:val="24"/>
              <w:szCs w:val="24"/>
              <w:highlight w:val="none"/>
            </w:rPr>
            <w:fldChar w:fldCharType="separate"/>
          </w:r>
          <w:r>
            <w:rPr>
              <w:sz w:val="24"/>
              <w:szCs w:val="24"/>
              <w:highlight w:val="none"/>
            </w:rPr>
            <w:t>26</w:t>
          </w:r>
          <w:r>
            <w:rPr>
              <w:sz w:val="24"/>
              <w:szCs w:val="24"/>
              <w:highlight w:val="none"/>
            </w:rPr>
            <w:fldChar w:fldCharType="end"/>
          </w:r>
          <w:r>
            <w:rPr>
              <w:rFonts w:hint="eastAsia" w:ascii="宋体" w:hAnsi="宋体"/>
              <w:sz w:val="24"/>
              <w:szCs w:val="24"/>
              <w:highlight w:val="none"/>
            </w:rPr>
            <w:fldChar w:fldCharType="end"/>
          </w:r>
        </w:p>
        <w:p w14:paraId="6A87F2C8">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_Toc5329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附件1　投标书（格式）</w:t>
          </w:r>
          <w:r>
            <w:rPr>
              <w:sz w:val="24"/>
              <w:szCs w:val="24"/>
              <w:highlight w:val="none"/>
            </w:rPr>
            <w:tab/>
          </w:r>
          <w:r>
            <w:rPr>
              <w:sz w:val="24"/>
              <w:szCs w:val="24"/>
              <w:highlight w:val="none"/>
            </w:rPr>
            <w:fldChar w:fldCharType="begin"/>
          </w:r>
          <w:r>
            <w:rPr>
              <w:sz w:val="24"/>
              <w:szCs w:val="24"/>
              <w:highlight w:val="none"/>
            </w:rPr>
            <w:instrText xml:space="preserve"> PAGEREF _Toc5329 \h </w:instrText>
          </w:r>
          <w:r>
            <w:rPr>
              <w:sz w:val="24"/>
              <w:szCs w:val="24"/>
              <w:highlight w:val="none"/>
            </w:rPr>
            <w:fldChar w:fldCharType="separate"/>
          </w:r>
          <w:r>
            <w:rPr>
              <w:sz w:val="24"/>
              <w:szCs w:val="24"/>
              <w:highlight w:val="none"/>
            </w:rPr>
            <w:t>27</w:t>
          </w:r>
          <w:r>
            <w:rPr>
              <w:sz w:val="24"/>
              <w:szCs w:val="24"/>
              <w:highlight w:val="none"/>
            </w:rPr>
            <w:fldChar w:fldCharType="end"/>
          </w:r>
          <w:r>
            <w:rPr>
              <w:rFonts w:hint="eastAsia" w:ascii="宋体" w:hAnsi="宋体"/>
              <w:sz w:val="24"/>
              <w:szCs w:val="24"/>
              <w:highlight w:val="none"/>
            </w:rPr>
            <w:fldChar w:fldCharType="end"/>
          </w:r>
        </w:p>
        <w:p w14:paraId="78CAC7D3">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_Toc29788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附件2　开标一览表</w:t>
          </w:r>
          <w:r>
            <w:rPr>
              <w:sz w:val="24"/>
              <w:szCs w:val="24"/>
              <w:highlight w:val="none"/>
            </w:rPr>
            <w:tab/>
          </w:r>
          <w:r>
            <w:rPr>
              <w:sz w:val="24"/>
              <w:szCs w:val="24"/>
              <w:highlight w:val="none"/>
            </w:rPr>
            <w:fldChar w:fldCharType="begin"/>
          </w:r>
          <w:r>
            <w:rPr>
              <w:sz w:val="24"/>
              <w:szCs w:val="24"/>
              <w:highlight w:val="none"/>
            </w:rPr>
            <w:instrText xml:space="preserve"> PAGEREF _Toc29788 \h </w:instrText>
          </w:r>
          <w:r>
            <w:rPr>
              <w:sz w:val="24"/>
              <w:szCs w:val="24"/>
              <w:highlight w:val="none"/>
            </w:rPr>
            <w:fldChar w:fldCharType="separate"/>
          </w:r>
          <w:r>
            <w:rPr>
              <w:sz w:val="24"/>
              <w:szCs w:val="24"/>
              <w:highlight w:val="none"/>
            </w:rPr>
            <w:t>28</w:t>
          </w:r>
          <w:r>
            <w:rPr>
              <w:sz w:val="24"/>
              <w:szCs w:val="24"/>
              <w:highlight w:val="none"/>
            </w:rPr>
            <w:fldChar w:fldCharType="end"/>
          </w:r>
          <w:r>
            <w:rPr>
              <w:rFonts w:hint="eastAsia" w:ascii="宋体" w:hAnsi="宋体"/>
              <w:sz w:val="24"/>
              <w:szCs w:val="24"/>
              <w:highlight w:val="none"/>
            </w:rPr>
            <w:fldChar w:fldCharType="end"/>
          </w:r>
        </w:p>
        <w:p w14:paraId="1120E681">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_Toc20884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3</w:t>
          </w:r>
          <w:r>
            <w:rPr>
              <w:rFonts w:hint="eastAsia" w:ascii="宋体" w:hAnsi="宋体" w:eastAsia="宋体"/>
              <w:sz w:val="24"/>
              <w:szCs w:val="24"/>
              <w:highlight w:val="none"/>
            </w:rPr>
            <w:t>　商务条款偏离表</w:t>
          </w:r>
          <w:r>
            <w:rPr>
              <w:sz w:val="24"/>
              <w:szCs w:val="24"/>
              <w:highlight w:val="none"/>
            </w:rPr>
            <w:tab/>
          </w:r>
          <w:r>
            <w:rPr>
              <w:sz w:val="24"/>
              <w:szCs w:val="24"/>
              <w:highlight w:val="none"/>
            </w:rPr>
            <w:fldChar w:fldCharType="begin"/>
          </w:r>
          <w:r>
            <w:rPr>
              <w:sz w:val="24"/>
              <w:szCs w:val="24"/>
              <w:highlight w:val="none"/>
            </w:rPr>
            <w:instrText xml:space="preserve"> PAGEREF _Toc20884 \h </w:instrText>
          </w:r>
          <w:r>
            <w:rPr>
              <w:sz w:val="24"/>
              <w:szCs w:val="24"/>
              <w:highlight w:val="none"/>
            </w:rPr>
            <w:fldChar w:fldCharType="separate"/>
          </w:r>
          <w:r>
            <w:rPr>
              <w:sz w:val="24"/>
              <w:szCs w:val="24"/>
              <w:highlight w:val="none"/>
            </w:rPr>
            <w:t>29</w:t>
          </w:r>
          <w:r>
            <w:rPr>
              <w:sz w:val="24"/>
              <w:szCs w:val="24"/>
              <w:highlight w:val="none"/>
            </w:rPr>
            <w:fldChar w:fldCharType="end"/>
          </w:r>
          <w:r>
            <w:rPr>
              <w:rFonts w:hint="eastAsia" w:ascii="宋体" w:hAnsi="宋体"/>
              <w:sz w:val="24"/>
              <w:szCs w:val="24"/>
              <w:highlight w:val="none"/>
            </w:rPr>
            <w:fldChar w:fldCharType="end"/>
          </w:r>
        </w:p>
        <w:p w14:paraId="4CB40CA2">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_Toc13093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5</w:t>
          </w:r>
          <w:r>
            <w:rPr>
              <w:rFonts w:hint="eastAsia" w:ascii="宋体" w:hAnsi="宋体" w:eastAsia="宋体"/>
              <w:sz w:val="24"/>
              <w:szCs w:val="24"/>
              <w:highlight w:val="none"/>
            </w:rPr>
            <w:t>　资格、资信证明文件（格式）</w:t>
          </w:r>
          <w:r>
            <w:rPr>
              <w:sz w:val="24"/>
              <w:szCs w:val="24"/>
              <w:highlight w:val="none"/>
            </w:rPr>
            <w:tab/>
          </w:r>
          <w:r>
            <w:rPr>
              <w:sz w:val="24"/>
              <w:szCs w:val="24"/>
              <w:highlight w:val="none"/>
            </w:rPr>
            <w:fldChar w:fldCharType="begin"/>
          </w:r>
          <w:r>
            <w:rPr>
              <w:sz w:val="24"/>
              <w:szCs w:val="24"/>
              <w:highlight w:val="none"/>
            </w:rPr>
            <w:instrText xml:space="preserve"> PAGEREF _Toc13093 \h </w:instrText>
          </w:r>
          <w:r>
            <w:rPr>
              <w:sz w:val="24"/>
              <w:szCs w:val="24"/>
              <w:highlight w:val="none"/>
            </w:rPr>
            <w:fldChar w:fldCharType="separate"/>
          </w:r>
          <w:r>
            <w:rPr>
              <w:sz w:val="24"/>
              <w:szCs w:val="24"/>
              <w:highlight w:val="none"/>
            </w:rPr>
            <w:t>31</w:t>
          </w:r>
          <w:r>
            <w:rPr>
              <w:sz w:val="24"/>
              <w:szCs w:val="24"/>
              <w:highlight w:val="none"/>
            </w:rPr>
            <w:fldChar w:fldCharType="end"/>
          </w:r>
          <w:r>
            <w:rPr>
              <w:rFonts w:hint="eastAsia" w:ascii="宋体" w:hAnsi="宋体"/>
              <w:sz w:val="24"/>
              <w:szCs w:val="24"/>
              <w:highlight w:val="none"/>
            </w:rPr>
            <w:fldChar w:fldCharType="end"/>
          </w:r>
        </w:p>
        <w:p w14:paraId="62C35DBC">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_Toc18175 </w:instrText>
          </w:r>
          <w:r>
            <w:rPr>
              <w:rFonts w:hint="eastAsia" w:ascii="宋体" w:hAnsi="宋体"/>
              <w:sz w:val="24"/>
              <w:szCs w:val="24"/>
              <w:highlight w:val="none"/>
            </w:rPr>
            <w:fldChar w:fldCharType="separate"/>
          </w:r>
          <w:r>
            <w:rPr>
              <w:rFonts w:hint="eastAsia" w:hAnsi="宋体"/>
              <w:sz w:val="24"/>
              <w:szCs w:val="24"/>
              <w:highlight w:val="none"/>
            </w:rPr>
            <w:t>附件</w:t>
          </w:r>
          <w:r>
            <w:rPr>
              <w:rFonts w:hint="eastAsia" w:hAnsi="宋体"/>
              <w:sz w:val="24"/>
              <w:szCs w:val="24"/>
              <w:highlight w:val="none"/>
              <w:lang w:val="en-US" w:eastAsia="zh-CN"/>
            </w:rPr>
            <w:t>5</w:t>
          </w:r>
          <w:r>
            <w:rPr>
              <w:rFonts w:hint="eastAsia" w:hAnsi="宋体"/>
              <w:sz w:val="24"/>
              <w:szCs w:val="24"/>
              <w:highlight w:val="none"/>
            </w:rPr>
            <w:t>-1   法人或者其他组织的营业执照等证明文件</w:t>
          </w:r>
          <w:r>
            <w:rPr>
              <w:sz w:val="24"/>
              <w:szCs w:val="24"/>
              <w:highlight w:val="none"/>
            </w:rPr>
            <w:tab/>
          </w:r>
          <w:r>
            <w:rPr>
              <w:sz w:val="24"/>
              <w:szCs w:val="24"/>
              <w:highlight w:val="none"/>
            </w:rPr>
            <w:fldChar w:fldCharType="begin"/>
          </w:r>
          <w:r>
            <w:rPr>
              <w:sz w:val="24"/>
              <w:szCs w:val="24"/>
              <w:highlight w:val="none"/>
            </w:rPr>
            <w:instrText xml:space="preserve"> PAGEREF _Toc18175 \h </w:instrText>
          </w:r>
          <w:r>
            <w:rPr>
              <w:sz w:val="24"/>
              <w:szCs w:val="24"/>
              <w:highlight w:val="none"/>
            </w:rPr>
            <w:fldChar w:fldCharType="separate"/>
          </w:r>
          <w:r>
            <w:rPr>
              <w:sz w:val="24"/>
              <w:szCs w:val="24"/>
              <w:highlight w:val="none"/>
            </w:rPr>
            <w:t>32</w:t>
          </w:r>
          <w:r>
            <w:rPr>
              <w:sz w:val="24"/>
              <w:szCs w:val="24"/>
              <w:highlight w:val="none"/>
            </w:rPr>
            <w:fldChar w:fldCharType="end"/>
          </w:r>
          <w:r>
            <w:rPr>
              <w:rFonts w:hint="eastAsia" w:ascii="宋体" w:hAnsi="宋体"/>
              <w:sz w:val="24"/>
              <w:szCs w:val="24"/>
              <w:highlight w:val="none"/>
            </w:rPr>
            <w:fldChar w:fldCharType="end"/>
          </w:r>
        </w:p>
        <w:p w14:paraId="14CE78F3">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_Toc2581 </w:instrText>
          </w:r>
          <w:r>
            <w:rPr>
              <w:rFonts w:hint="eastAsia" w:ascii="宋体" w:hAnsi="宋体"/>
              <w:sz w:val="24"/>
              <w:szCs w:val="24"/>
              <w:highlight w:val="none"/>
            </w:rPr>
            <w:fldChar w:fldCharType="separate"/>
          </w:r>
          <w:r>
            <w:rPr>
              <w:rFonts w:hint="eastAsia" w:ascii="宋体" w:hAnsi="宋体" w:eastAsia="宋体" w:cs="Times New Roman"/>
              <w:sz w:val="24"/>
              <w:szCs w:val="24"/>
              <w:highlight w:val="none"/>
            </w:rPr>
            <w:t>附件</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rPr>
            <w:t xml:space="preserve">   法定代表人授权书(格式，自然人投标的无需提供)</w:t>
          </w:r>
          <w:r>
            <w:rPr>
              <w:sz w:val="24"/>
              <w:szCs w:val="24"/>
              <w:highlight w:val="none"/>
            </w:rPr>
            <w:tab/>
          </w:r>
          <w:r>
            <w:rPr>
              <w:sz w:val="24"/>
              <w:szCs w:val="24"/>
              <w:highlight w:val="none"/>
            </w:rPr>
            <w:fldChar w:fldCharType="begin"/>
          </w:r>
          <w:r>
            <w:rPr>
              <w:sz w:val="24"/>
              <w:szCs w:val="24"/>
              <w:highlight w:val="none"/>
            </w:rPr>
            <w:instrText xml:space="preserve"> PAGEREF _Toc2581 \h </w:instrText>
          </w:r>
          <w:r>
            <w:rPr>
              <w:sz w:val="24"/>
              <w:szCs w:val="24"/>
              <w:highlight w:val="none"/>
            </w:rPr>
            <w:fldChar w:fldCharType="separate"/>
          </w:r>
          <w:r>
            <w:rPr>
              <w:sz w:val="24"/>
              <w:szCs w:val="24"/>
              <w:highlight w:val="none"/>
            </w:rPr>
            <w:t>33</w:t>
          </w:r>
          <w:r>
            <w:rPr>
              <w:sz w:val="24"/>
              <w:szCs w:val="24"/>
              <w:highlight w:val="none"/>
            </w:rPr>
            <w:fldChar w:fldCharType="end"/>
          </w:r>
          <w:r>
            <w:rPr>
              <w:rFonts w:hint="eastAsia" w:ascii="宋体" w:hAnsi="宋体"/>
              <w:sz w:val="24"/>
              <w:szCs w:val="24"/>
              <w:highlight w:val="none"/>
            </w:rPr>
            <w:fldChar w:fldCharType="end"/>
          </w:r>
        </w:p>
        <w:p w14:paraId="3CECB5E3">
          <w:pPr>
            <w:pStyle w:val="43"/>
            <w:tabs>
              <w:tab w:val="right" w:leader="dot" w:pos="8306"/>
            </w:tabs>
            <w:ind w:firstLine="480" w:firstLineChars="200"/>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_Toc27092 </w:instrText>
          </w:r>
          <w:r>
            <w:rPr>
              <w:rFonts w:hint="eastAsia" w:ascii="宋体" w:hAnsi="宋体"/>
              <w:sz w:val="24"/>
              <w:szCs w:val="24"/>
              <w:highlight w:val="none"/>
            </w:rPr>
            <w:fldChar w:fldCharType="separate"/>
          </w:r>
          <w:r>
            <w:rPr>
              <w:rFonts w:hint="eastAsia" w:ascii="宋体" w:hAnsi="宋体" w:eastAsia="宋体" w:cs="Times New Roman"/>
              <w:kern w:val="2"/>
              <w:sz w:val="24"/>
              <w:szCs w:val="24"/>
              <w:highlight w:val="none"/>
              <w:lang w:val="en-US" w:eastAsia="zh-CN" w:bidi="ar-SA"/>
            </w:rPr>
            <w:t>附件5-3  生产厂商授权书</w:t>
          </w:r>
          <w:r>
            <w:rPr>
              <w:sz w:val="24"/>
              <w:szCs w:val="24"/>
              <w:highlight w:val="none"/>
            </w:rPr>
            <w:tab/>
          </w:r>
          <w:r>
            <w:rPr>
              <w:sz w:val="24"/>
              <w:szCs w:val="24"/>
              <w:highlight w:val="none"/>
            </w:rPr>
            <w:fldChar w:fldCharType="begin"/>
          </w:r>
          <w:r>
            <w:rPr>
              <w:sz w:val="24"/>
              <w:szCs w:val="24"/>
              <w:highlight w:val="none"/>
            </w:rPr>
            <w:instrText xml:space="preserve"> PAGEREF _Toc27092 \h </w:instrText>
          </w:r>
          <w:r>
            <w:rPr>
              <w:sz w:val="24"/>
              <w:szCs w:val="24"/>
              <w:highlight w:val="none"/>
            </w:rPr>
            <w:fldChar w:fldCharType="separate"/>
          </w:r>
          <w:r>
            <w:rPr>
              <w:sz w:val="24"/>
              <w:szCs w:val="24"/>
              <w:highlight w:val="none"/>
            </w:rPr>
            <w:t>35</w:t>
          </w:r>
          <w:r>
            <w:rPr>
              <w:sz w:val="24"/>
              <w:szCs w:val="24"/>
              <w:highlight w:val="none"/>
            </w:rPr>
            <w:fldChar w:fldCharType="end"/>
          </w:r>
          <w:r>
            <w:rPr>
              <w:rFonts w:hint="eastAsia" w:ascii="宋体" w:hAnsi="宋体"/>
              <w:sz w:val="24"/>
              <w:szCs w:val="24"/>
              <w:highlight w:val="none"/>
            </w:rPr>
            <w:fldChar w:fldCharType="end"/>
          </w:r>
        </w:p>
        <w:p w14:paraId="44FFAE4B">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_Toc8383 </w:instrText>
          </w:r>
          <w:r>
            <w:rPr>
              <w:rFonts w:hint="eastAsia" w:ascii="宋体" w:hAnsi="宋体"/>
              <w:sz w:val="24"/>
              <w:szCs w:val="24"/>
              <w:highlight w:val="none"/>
            </w:rPr>
            <w:fldChar w:fldCharType="separate"/>
          </w:r>
          <w:r>
            <w:rPr>
              <w:rFonts w:hint="eastAsia" w:ascii="宋体" w:hAnsi="宋体" w:eastAsia="宋体" w:cs="Times New Roman"/>
              <w:sz w:val="24"/>
              <w:szCs w:val="24"/>
              <w:highlight w:val="none"/>
            </w:rPr>
            <w:t>附件</w:t>
          </w:r>
          <w:r>
            <w:rPr>
              <w:rFonts w:hint="eastAsia" w:ascii="宋体" w:hAnsi="宋体" w:eastAsia="宋体" w:cs="Times New Roman"/>
              <w:sz w:val="24"/>
              <w:szCs w:val="24"/>
              <w:highlight w:val="none"/>
              <w:lang w:val="en-US" w:eastAsia="zh-CN"/>
            </w:rPr>
            <w:t>5-4</w:t>
          </w: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val="en-US" w:eastAsia="zh-CN"/>
            </w:rPr>
            <w:t>财务情况</w:t>
          </w:r>
          <w:r>
            <w:rPr>
              <w:sz w:val="24"/>
              <w:szCs w:val="24"/>
              <w:highlight w:val="none"/>
            </w:rPr>
            <w:tab/>
          </w:r>
          <w:r>
            <w:rPr>
              <w:sz w:val="24"/>
              <w:szCs w:val="24"/>
              <w:highlight w:val="none"/>
            </w:rPr>
            <w:fldChar w:fldCharType="begin"/>
          </w:r>
          <w:r>
            <w:rPr>
              <w:sz w:val="24"/>
              <w:szCs w:val="24"/>
              <w:highlight w:val="none"/>
            </w:rPr>
            <w:instrText xml:space="preserve"> PAGEREF _Toc8383 \h </w:instrText>
          </w:r>
          <w:r>
            <w:rPr>
              <w:sz w:val="24"/>
              <w:szCs w:val="24"/>
              <w:highlight w:val="none"/>
            </w:rPr>
            <w:fldChar w:fldCharType="separate"/>
          </w:r>
          <w:r>
            <w:rPr>
              <w:sz w:val="24"/>
              <w:szCs w:val="24"/>
              <w:highlight w:val="none"/>
            </w:rPr>
            <w:t>36</w:t>
          </w:r>
          <w:r>
            <w:rPr>
              <w:sz w:val="24"/>
              <w:szCs w:val="24"/>
              <w:highlight w:val="none"/>
            </w:rPr>
            <w:fldChar w:fldCharType="end"/>
          </w:r>
          <w:r>
            <w:rPr>
              <w:rFonts w:hint="eastAsia" w:ascii="宋体" w:hAnsi="宋体"/>
              <w:sz w:val="24"/>
              <w:szCs w:val="24"/>
              <w:highlight w:val="none"/>
            </w:rPr>
            <w:fldChar w:fldCharType="end"/>
          </w:r>
        </w:p>
        <w:p w14:paraId="78D35C29">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_Toc17911 </w:instrText>
          </w:r>
          <w:r>
            <w:rPr>
              <w:rFonts w:hint="eastAsia" w:ascii="宋体" w:hAnsi="宋体"/>
              <w:sz w:val="24"/>
              <w:szCs w:val="24"/>
              <w:highlight w:val="none"/>
            </w:rPr>
            <w:fldChar w:fldCharType="separate"/>
          </w:r>
          <w:r>
            <w:rPr>
              <w:rFonts w:hint="eastAsia" w:ascii="宋体" w:hAnsi="宋体" w:eastAsia="宋体" w:cs="Times New Roman"/>
              <w:sz w:val="24"/>
              <w:szCs w:val="24"/>
              <w:highlight w:val="none"/>
            </w:rPr>
            <w:t>附件</w:t>
          </w:r>
          <w:r>
            <w:rPr>
              <w:rFonts w:hint="eastAsia" w:ascii="宋体" w:hAnsi="宋体" w:eastAsia="宋体" w:cs="Times New Roman"/>
              <w:sz w:val="24"/>
              <w:szCs w:val="24"/>
              <w:highlight w:val="none"/>
              <w:lang w:val="en-US" w:eastAsia="zh-CN"/>
            </w:rPr>
            <w:t>5-5</w:t>
          </w:r>
          <w:r>
            <w:rPr>
              <w:rFonts w:hint="eastAsia" w:ascii="宋体" w:hAnsi="宋体" w:eastAsia="宋体" w:cs="Times New Roman"/>
              <w:sz w:val="24"/>
              <w:szCs w:val="24"/>
              <w:highlight w:val="none"/>
            </w:rPr>
            <w:t xml:space="preserve">   依法缴纳税收和社会保障资金的记录</w:t>
          </w:r>
          <w:r>
            <w:rPr>
              <w:sz w:val="24"/>
              <w:szCs w:val="24"/>
              <w:highlight w:val="none"/>
            </w:rPr>
            <w:tab/>
          </w:r>
          <w:r>
            <w:rPr>
              <w:sz w:val="24"/>
              <w:szCs w:val="24"/>
              <w:highlight w:val="none"/>
            </w:rPr>
            <w:fldChar w:fldCharType="begin"/>
          </w:r>
          <w:r>
            <w:rPr>
              <w:sz w:val="24"/>
              <w:szCs w:val="24"/>
              <w:highlight w:val="none"/>
            </w:rPr>
            <w:instrText xml:space="preserve"> PAGEREF _Toc17911 \h </w:instrText>
          </w:r>
          <w:r>
            <w:rPr>
              <w:sz w:val="24"/>
              <w:szCs w:val="24"/>
              <w:highlight w:val="none"/>
            </w:rPr>
            <w:fldChar w:fldCharType="separate"/>
          </w:r>
          <w:r>
            <w:rPr>
              <w:sz w:val="24"/>
              <w:szCs w:val="24"/>
              <w:highlight w:val="none"/>
            </w:rPr>
            <w:t>37</w:t>
          </w:r>
          <w:r>
            <w:rPr>
              <w:sz w:val="24"/>
              <w:szCs w:val="24"/>
              <w:highlight w:val="none"/>
            </w:rPr>
            <w:fldChar w:fldCharType="end"/>
          </w:r>
          <w:r>
            <w:rPr>
              <w:rFonts w:hint="eastAsia" w:ascii="宋体" w:hAnsi="宋体"/>
              <w:sz w:val="24"/>
              <w:szCs w:val="24"/>
              <w:highlight w:val="none"/>
            </w:rPr>
            <w:fldChar w:fldCharType="end"/>
          </w:r>
        </w:p>
        <w:p w14:paraId="4F86FEDF">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_Toc21274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5-6</w:t>
          </w:r>
          <w:r>
            <w:rPr>
              <w:rFonts w:hint="eastAsia" w:ascii="宋体" w:hAnsi="宋体"/>
              <w:sz w:val="24"/>
              <w:szCs w:val="24"/>
              <w:highlight w:val="none"/>
            </w:rPr>
            <w:t xml:space="preserve">   </w:t>
          </w:r>
          <w:r>
            <w:rPr>
              <w:rFonts w:hint="eastAsia" w:ascii="宋体" w:hAnsi="宋体"/>
              <w:sz w:val="24"/>
              <w:szCs w:val="24"/>
              <w:highlight w:val="none"/>
              <w:lang w:val="en-US" w:eastAsia="zh-CN"/>
            </w:rPr>
            <w:t>无</w:t>
          </w:r>
          <w:r>
            <w:rPr>
              <w:rFonts w:hint="eastAsia" w:ascii="宋体" w:hAnsi="宋体"/>
              <w:sz w:val="24"/>
              <w:szCs w:val="24"/>
              <w:highlight w:val="none"/>
            </w:rPr>
            <w:t>重大违法记录的书面声明</w:t>
          </w:r>
          <w:r>
            <w:rPr>
              <w:sz w:val="24"/>
              <w:szCs w:val="24"/>
              <w:highlight w:val="none"/>
            </w:rPr>
            <w:tab/>
          </w:r>
          <w:r>
            <w:rPr>
              <w:sz w:val="24"/>
              <w:szCs w:val="24"/>
              <w:highlight w:val="none"/>
            </w:rPr>
            <w:fldChar w:fldCharType="begin"/>
          </w:r>
          <w:r>
            <w:rPr>
              <w:sz w:val="24"/>
              <w:szCs w:val="24"/>
              <w:highlight w:val="none"/>
            </w:rPr>
            <w:instrText xml:space="preserve"> PAGEREF _Toc21274 \h </w:instrText>
          </w:r>
          <w:r>
            <w:rPr>
              <w:sz w:val="24"/>
              <w:szCs w:val="24"/>
              <w:highlight w:val="none"/>
            </w:rPr>
            <w:fldChar w:fldCharType="separate"/>
          </w:r>
          <w:r>
            <w:rPr>
              <w:sz w:val="24"/>
              <w:szCs w:val="24"/>
              <w:highlight w:val="none"/>
            </w:rPr>
            <w:t>38</w:t>
          </w:r>
          <w:r>
            <w:rPr>
              <w:sz w:val="24"/>
              <w:szCs w:val="24"/>
              <w:highlight w:val="none"/>
            </w:rPr>
            <w:fldChar w:fldCharType="end"/>
          </w:r>
          <w:r>
            <w:rPr>
              <w:rFonts w:hint="eastAsia" w:ascii="宋体" w:hAnsi="宋体"/>
              <w:sz w:val="24"/>
              <w:szCs w:val="24"/>
              <w:highlight w:val="none"/>
            </w:rPr>
            <w:fldChar w:fldCharType="end"/>
          </w:r>
        </w:p>
        <w:p w14:paraId="7FD5920F">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_Toc25918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 xml:space="preserve">5-7   </w:t>
          </w:r>
          <w:r>
            <w:rPr>
              <w:rFonts w:hint="eastAsia" w:ascii="宋体" w:hAnsi="宋体"/>
              <w:sz w:val="24"/>
              <w:szCs w:val="24"/>
              <w:highlight w:val="none"/>
            </w:rPr>
            <w:t>近三年类似项目业绩一览表</w:t>
          </w:r>
          <w:r>
            <w:rPr>
              <w:sz w:val="24"/>
              <w:szCs w:val="24"/>
              <w:highlight w:val="none"/>
            </w:rPr>
            <w:tab/>
          </w:r>
          <w:r>
            <w:rPr>
              <w:sz w:val="24"/>
              <w:szCs w:val="24"/>
              <w:highlight w:val="none"/>
            </w:rPr>
            <w:fldChar w:fldCharType="begin"/>
          </w:r>
          <w:r>
            <w:rPr>
              <w:sz w:val="24"/>
              <w:szCs w:val="24"/>
              <w:highlight w:val="none"/>
            </w:rPr>
            <w:instrText xml:space="preserve"> PAGEREF _Toc25918 \h </w:instrText>
          </w:r>
          <w:r>
            <w:rPr>
              <w:sz w:val="24"/>
              <w:szCs w:val="24"/>
              <w:highlight w:val="none"/>
            </w:rPr>
            <w:fldChar w:fldCharType="separate"/>
          </w:r>
          <w:r>
            <w:rPr>
              <w:sz w:val="24"/>
              <w:szCs w:val="24"/>
              <w:highlight w:val="none"/>
            </w:rPr>
            <w:t>39</w:t>
          </w:r>
          <w:r>
            <w:rPr>
              <w:sz w:val="24"/>
              <w:szCs w:val="24"/>
              <w:highlight w:val="none"/>
            </w:rPr>
            <w:fldChar w:fldCharType="end"/>
          </w:r>
          <w:r>
            <w:rPr>
              <w:rFonts w:hint="eastAsia" w:ascii="宋体" w:hAnsi="宋体"/>
              <w:sz w:val="24"/>
              <w:szCs w:val="24"/>
              <w:highlight w:val="none"/>
            </w:rPr>
            <w:fldChar w:fldCharType="end"/>
          </w:r>
        </w:p>
        <w:p w14:paraId="2A4FD1C3">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_Toc12888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5-8</w:t>
          </w:r>
          <w:r>
            <w:rPr>
              <w:rFonts w:hint="eastAsia" w:ascii="宋体" w:hAnsi="宋体"/>
              <w:sz w:val="24"/>
              <w:szCs w:val="24"/>
              <w:highlight w:val="none"/>
            </w:rPr>
            <w:t xml:space="preserve">   招标文件</w:t>
          </w:r>
          <w:r>
            <w:rPr>
              <w:rFonts w:hint="eastAsia" w:ascii="宋体" w:hAnsi="宋体"/>
              <w:bCs/>
              <w:sz w:val="24"/>
              <w:szCs w:val="24"/>
              <w:highlight w:val="none"/>
            </w:rPr>
            <w:t>要求的其他资格证明文件</w:t>
          </w:r>
          <w:r>
            <w:rPr>
              <w:sz w:val="24"/>
              <w:szCs w:val="24"/>
              <w:highlight w:val="none"/>
            </w:rPr>
            <w:tab/>
          </w:r>
          <w:r>
            <w:rPr>
              <w:sz w:val="24"/>
              <w:szCs w:val="24"/>
              <w:highlight w:val="none"/>
            </w:rPr>
            <w:fldChar w:fldCharType="begin"/>
          </w:r>
          <w:r>
            <w:rPr>
              <w:sz w:val="24"/>
              <w:szCs w:val="24"/>
              <w:highlight w:val="none"/>
            </w:rPr>
            <w:instrText xml:space="preserve"> PAGEREF _Toc12888 \h </w:instrText>
          </w:r>
          <w:r>
            <w:rPr>
              <w:sz w:val="24"/>
              <w:szCs w:val="24"/>
              <w:highlight w:val="none"/>
            </w:rPr>
            <w:fldChar w:fldCharType="separate"/>
          </w:r>
          <w:r>
            <w:rPr>
              <w:sz w:val="24"/>
              <w:szCs w:val="24"/>
              <w:highlight w:val="none"/>
            </w:rPr>
            <w:t>40</w:t>
          </w:r>
          <w:r>
            <w:rPr>
              <w:sz w:val="24"/>
              <w:szCs w:val="24"/>
              <w:highlight w:val="none"/>
            </w:rPr>
            <w:fldChar w:fldCharType="end"/>
          </w:r>
          <w:r>
            <w:rPr>
              <w:rFonts w:hint="eastAsia" w:ascii="宋体" w:hAnsi="宋体"/>
              <w:sz w:val="24"/>
              <w:szCs w:val="24"/>
              <w:highlight w:val="none"/>
            </w:rPr>
            <w:fldChar w:fldCharType="end"/>
          </w:r>
        </w:p>
        <w:p w14:paraId="61D0574F">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_Toc31300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6</w:t>
          </w:r>
          <w:r>
            <w:rPr>
              <w:rFonts w:ascii="宋体" w:hAnsi="宋体"/>
              <w:sz w:val="24"/>
              <w:szCs w:val="24"/>
              <w:highlight w:val="none"/>
            </w:rPr>
            <w:t xml:space="preserve">  </w:t>
          </w:r>
          <w:r>
            <w:rPr>
              <w:rFonts w:hint="eastAsia" w:ascii="宋体" w:hAnsi="宋体"/>
              <w:sz w:val="24"/>
              <w:szCs w:val="24"/>
              <w:highlight w:val="none"/>
            </w:rPr>
            <w:t>反商业贿赂承诺书</w:t>
          </w:r>
          <w:r>
            <w:rPr>
              <w:sz w:val="24"/>
              <w:szCs w:val="24"/>
              <w:highlight w:val="none"/>
            </w:rPr>
            <w:tab/>
          </w:r>
          <w:r>
            <w:rPr>
              <w:sz w:val="24"/>
              <w:szCs w:val="24"/>
              <w:highlight w:val="none"/>
            </w:rPr>
            <w:fldChar w:fldCharType="begin"/>
          </w:r>
          <w:r>
            <w:rPr>
              <w:sz w:val="24"/>
              <w:szCs w:val="24"/>
              <w:highlight w:val="none"/>
            </w:rPr>
            <w:instrText xml:space="preserve"> PAGEREF _Toc31300 \h </w:instrText>
          </w:r>
          <w:r>
            <w:rPr>
              <w:sz w:val="24"/>
              <w:szCs w:val="24"/>
              <w:highlight w:val="none"/>
            </w:rPr>
            <w:fldChar w:fldCharType="separate"/>
          </w:r>
          <w:r>
            <w:rPr>
              <w:sz w:val="24"/>
              <w:szCs w:val="24"/>
              <w:highlight w:val="none"/>
            </w:rPr>
            <w:t>41</w:t>
          </w:r>
          <w:r>
            <w:rPr>
              <w:sz w:val="24"/>
              <w:szCs w:val="24"/>
              <w:highlight w:val="none"/>
            </w:rPr>
            <w:fldChar w:fldCharType="end"/>
          </w:r>
          <w:r>
            <w:rPr>
              <w:rFonts w:hint="eastAsia" w:ascii="宋体" w:hAnsi="宋体"/>
              <w:sz w:val="24"/>
              <w:szCs w:val="24"/>
              <w:highlight w:val="none"/>
            </w:rPr>
            <w:fldChar w:fldCharType="end"/>
          </w:r>
        </w:p>
        <w:p w14:paraId="2D8449FB">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_Toc15610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7</w:t>
          </w:r>
          <w:r>
            <w:rPr>
              <w:rFonts w:hint="eastAsia" w:ascii="宋体" w:hAnsi="宋体" w:eastAsia="宋体"/>
              <w:sz w:val="24"/>
              <w:szCs w:val="24"/>
              <w:highlight w:val="none"/>
            </w:rPr>
            <w:t xml:space="preserve"> 详细的实施方案</w:t>
          </w:r>
          <w:r>
            <w:rPr>
              <w:sz w:val="24"/>
              <w:szCs w:val="24"/>
              <w:highlight w:val="none"/>
            </w:rPr>
            <w:tab/>
          </w:r>
          <w:r>
            <w:rPr>
              <w:sz w:val="24"/>
              <w:szCs w:val="24"/>
              <w:highlight w:val="none"/>
            </w:rPr>
            <w:fldChar w:fldCharType="begin"/>
          </w:r>
          <w:r>
            <w:rPr>
              <w:sz w:val="24"/>
              <w:szCs w:val="24"/>
              <w:highlight w:val="none"/>
            </w:rPr>
            <w:instrText xml:space="preserve"> PAGEREF _Toc15610 \h </w:instrText>
          </w:r>
          <w:r>
            <w:rPr>
              <w:sz w:val="24"/>
              <w:szCs w:val="24"/>
              <w:highlight w:val="none"/>
            </w:rPr>
            <w:fldChar w:fldCharType="separate"/>
          </w:r>
          <w:r>
            <w:rPr>
              <w:sz w:val="24"/>
              <w:szCs w:val="24"/>
              <w:highlight w:val="none"/>
            </w:rPr>
            <w:t>42</w:t>
          </w:r>
          <w:r>
            <w:rPr>
              <w:sz w:val="24"/>
              <w:szCs w:val="24"/>
              <w:highlight w:val="none"/>
            </w:rPr>
            <w:fldChar w:fldCharType="end"/>
          </w:r>
          <w:r>
            <w:rPr>
              <w:rFonts w:hint="eastAsia" w:ascii="宋体" w:hAnsi="宋体"/>
              <w:sz w:val="24"/>
              <w:szCs w:val="24"/>
              <w:highlight w:val="none"/>
            </w:rPr>
            <w:fldChar w:fldCharType="end"/>
          </w:r>
        </w:p>
        <w:p w14:paraId="15C1BDB5">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_Toc3766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8</w:t>
          </w:r>
          <w:r>
            <w:rPr>
              <w:rFonts w:hint="eastAsia" w:ascii="宋体" w:hAnsi="宋体" w:eastAsia="宋体"/>
              <w:sz w:val="24"/>
              <w:szCs w:val="24"/>
              <w:highlight w:val="none"/>
            </w:rPr>
            <w:t xml:space="preserve"> 售后服务方案及承诺</w:t>
          </w:r>
          <w:r>
            <w:rPr>
              <w:sz w:val="24"/>
              <w:szCs w:val="24"/>
              <w:highlight w:val="none"/>
            </w:rPr>
            <w:tab/>
          </w:r>
          <w:r>
            <w:rPr>
              <w:sz w:val="24"/>
              <w:szCs w:val="24"/>
              <w:highlight w:val="none"/>
            </w:rPr>
            <w:fldChar w:fldCharType="begin"/>
          </w:r>
          <w:r>
            <w:rPr>
              <w:sz w:val="24"/>
              <w:szCs w:val="24"/>
              <w:highlight w:val="none"/>
            </w:rPr>
            <w:instrText xml:space="preserve"> PAGEREF _Toc3766 \h </w:instrText>
          </w:r>
          <w:r>
            <w:rPr>
              <w:sz w:val="24"/>
              <w:szCs w:val="24"/>
              <w:highlight w:val="none"/>
            </w:rPr>
            <w:fldChar w:fldCharType="separate"/>
          </w:r>
          <w:r>
            <w:rPr>
              <w:sz w:val="24"/>
              <w:szCs w:val="24"/>
              <w:highlight w:val="none"/>
            </w:rPr>
            <w:t>43</w:t>
          </w:r>
          <w:r>
            <w:rPr>
              <w:sz w:val="24"/>
              <w:szCs w:val="24"/>
              <w:highlight w:val="none"/>
            </w:rPr>
            <w:fldChar w:fldCharType="end"/>
          </w:r>
          <w:r>
            <w:rPr>
              <w:rFonts w:hint="eastAsia" w:ascii="宋体" w:hAnsi="宋体"/>
              <w:sz w:val="24"/>
              <w:szCs w:val="24"/>
              <w:highlight w:val="none"/>
            </w:rPr>
            <w:fldChar w:fldCharType="end"/>
          </w:r>
        </w:p>
        <w:p w14:paraId="236A56C1">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_Toc20055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9</w:t>
          </w:r>
          <w:r>
            <w:rPr>
              <w:rFonts w:hint="eastAsia" w:ascii="宋体" w:hAnsi="宋体" w:eastAsia="宋体"/>
              <w:sz w:val="24"/>
              <w:szCs w:val="24"/>
              <w:highlight w:val="none"/>
            </w:rPr>
            <w:t xml:space="preserve"> 投标人认为需要提供的其它材料</w:t>
          </w:r>
          <w:r>
            <w:rPr>
              <w:sz w:val="24"/>
              <w:szCs w:val="24"/>
              <w:highlight w:val="none"/>
            </w:rPr>
            <w:tab/>
          </w:r>
          <w:r>
            <w:rPr>
              <w:sz w:val="24"/>
              <w:szCs w:val="24"/>
              <w:highlight w:val="none"/>
            </w:rPr>
            <w:fldChar w:fldCharType="begin"/>
          </w:r>
          <w:r>
            <w:rPr>
              <w:sz w:val="24"/>
              <w:szCs w:val="24"/>
              <w:highlight w:val="none"/>
            </w:rPr>
            <w:instrText xml:space="preserve"> PAGEREF _Toc20055 \h </w:instrText>
          </w:r>
          <w:r>
            <w:rPr>
              <w:sz w:val="24"/>
              <w:szCs w:val="24"/>
              <w:highlight w:val="none"/>
            </w:rPr>
            <w:fldChar w:fldCharType="separate"/>
          </w:r>
          <w:r>
            <w:rPr>
              <w:sz w:val="24"/>
              <w:szCs w:val="24"/>
              <w:highlight w:val="none"/>
            </w:rPr>
            <w:t>44</w:t>
          </w:r>
          <w:r>
            <w:rPr>
              <w:sz w:val="24"/>
              <w:szCs w:val="24"/>
              <w:highlight w:val="none"/>
            </w:rPr>
            <w:fldChar w:fldCharType="end"/>
          </w:r>
          <w:r>
            <w:rPr>
              <w:rFonts w:hint="eastAsia" w:ascii="宋体" w:hAnsi="宋体"/>
              <w:sz w:val="24"/>
              <w:szCs w:val="24"/>
              <w:highlight w:val="none"/>
            </w:rPr>
            <w:fldChar w:fldCharType="end"/>
          </w:r>
        </w:p>
        <w:p w14:paraId="3A24A35A">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_Toc10658 </w:instrText>
          </w:r>
          <w:r>
            <w:rPr>
              <w:rFonts w:hint="eastAsia" w:ascii="宋体" w:hAnsi="宋体"/>
              <w:sz w:val="24"/>
              <w:szCs w:val="24"/>
              <w:highlight w:val="none"/>
            </w:rPr>
            <w:fldChar w:fldCharType="separate"/>
          </w:r>
          <w:r>
            <w:rPr>
              <w:rFonts w:hint="eastAsia"/>
              <w:sz w:val="24"/>
              <w:szCs w:val="24"/>
              <w:highlight w:val="none"/>
            </w:rPr>
            <w:t>附件</w:t>
          </w:r>
          <w:r>
            <w:rPr>
              <w:rFonts w:hint="eastAsia" w:eastAsia="宋体"/>
              <w:sz w:val="24"/>
              <w:szCs w:val="24"/>
              <w:highlight w:val="none"/>
              <w:lang w:val="en-US" w:eastAsia="zh-CN"/>
            </w:rPr>
            <w:t>10</w:t>
          </w:r>
          <w:r>
            <w:rPr>
              <w:rFonts w:hint="eastAsia"/>
              <w:sz w:val="24"/>
              <w:szCs w:val="24"/>
              <w:highlight w:val="none"/>
            </w:rPr>
            <w:t xml:space="preserve"> 不参与围标串标承诺书</w:t>
          </w:r>
          <w:r>
            <w:rPr>
              <w:sz w:val="24"/>
              <w:szCs w:val="24"/>
              <w:highlight w:val="none"/>
            </w:rPr>
            <w:tab/>
          </w:r>
          <w:r>
            <w:rPr>
              <w:sz w:val="24"/>
              <w:szCs w:val="24"/>
              <w:highlight w:val="none"/>
            </w:rPr>
            <w:fldChar w:fldCharType="begin"/>
          </w:r>
          <w:r>
            <w:rPr>
              <w:sz w:val="24"/>
              <w:szCs w:val="24"/>
              <w:highlight w:val="none"/>
            </w:rPr>
            <w:instrText xml:space="preserve"> PAGEREF _Toc10658 \h </w:instrText>
          </w:r>
          <w:r>
            <w:rPr>
              <w:sz w:val="24"/>
              <w:szCs w:val="24"/>
              <w:highlight w:val="none"/>
            </w:rPr>
            <w:fldChar w:fldCharType="separate"/>
          </w:r>
          <w:r>
            <w:rPr>
              <w:sz w:val="24"/>
              <w:szCs w:val="24"/>
              <w:highlight w:val="none"/>
            </w:rPr>
            <w:t>45</w:t>
          </w:r>
          <w:r>
            <w:rPr>
              <w:sz w:val="24"/>
              <w:szCs w:val="24"/>
              <w:highlight w:val="none"/>
            </w:rPr>
            <w:fldChar w:fldCharType="end"/>
          </w:r>
          <w:r>
            <w:rPr>
              <w:rFonts w:hint="eastAsia" w:ascii="宋体" w:hAnsi="宋体"/>
              <w:sz w:val="24"/>
              <w:szCs w:val="24"/>
              <w:highlight w:val="none"/>
            </w:rPr>
            <w:fldChar w:fldCharType="end"/>
          </w:r>
        </w:p>
        <w:p w14:paraId="02BF6043">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_Toc24364 </w:instrText>
          </w:r>
          <w:r>
            <w:rPr>
              <w:rFonts w:hint="eastAsia" w:ascii="宋体" w:hAnsi="宋体"/>
              <w:sz w:val="24"/>
              <w:szCs w:val="24"/>
              <w:highlight w:val="none"/>
            </w:rPr>
            <w:fldChar w:fldCharType="separate"/>
          </w:r>
          <w:r>
            <w:rPr>
              <w:rFonts w:hint="eastAsia" w:ascii="宋体" w:hAnsi="宋体" w:cs="宋体"/>
              <w:sz w:val="24"/>
              <w:szCs w:val="24"/>
              <w:highlight w:val="none"/>
            </w:rPr>
            <w:t>第五章 评标方法和标准</w:t>
          </w:r>
          <w:r>
            <w:rPr>
              <w:sz w:val="24"/>
              <w:szCs w:val="24"/>
              <w:highlight w:val="none"/>
            </w:rPr>
            <w:tab/>
          </w:r>
          <w:r>
            <w:rPr>
              <w:sz w:val="24"/>
              <w:szCs w:val="24"/>
              <w:highlight w:val="none"/>
            </w:rPr>
            <w:fldChar w:fldCharType="begin"/>
          </w:r>
          <w:r>
            <w:rPr>
              <w:sz w:val="24"/>
              <w:szCs w:val="24"/>
              <w:highlight w:val="none"/>
            </w:rPr>
            <w:instrText xml:space="preserve"> PAGEREF _Toc24364 \h </w:instrText>
          </w:r>
          <w:r>
            <w:rPr>
              <w:sz w:val="24"/>
              <w:szCs w:val="24"/>
              <w:highlight w:val="none"/>
            </w:rPr>
            <w:fldChar w:fldCharType="separate"/>
          </w:r>
          <w:r>
            <w:rPr>
              <w:sz w:val="24"/>
              <w:szCs w:val="24"/>
              <w:highlight w:val="none"/>
            </w:rPr>
            <w:t>46</w:t>
          </w:r>
          <w:r>
            <w:rPr>
              <w:sz w:val="24"/>
              <w:szCs w:val="24"/>
              <w:highlight w:val="none"/>
            </w:rPr>
            <w:fldChar w:fldCharType="end"/>
          </w:r>
          <w:r>
            <w:rPr>
              <w:rFonts w:hint="eastAsia" w:ascii="宋体" w:hAnsi="宋体"/>
              <w:sz w:val="24"/>
              <w:szCs w:val="24"/>
              <w:highlight w:val="none"/>
            </w:rPr>
            <w:fldChar w:fldCharType="end"/>
          </w:r>
        </w:p>
        <w:p w14:paraId="4A8F5760">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_Toc24902 </w:instrText>
          </w:r>
          <w:r>
            <w:rPr>
              <w:rFonts w:hint="eastAsia" w:ascii="宋体" w:hAnsi="宋体"/>
              <w:sz w:val="24"/>
              <w:szCs w:val="24"/>
              <w:highlight w:val="none"/>
            </w:rPr>
            <w:fldChar w:fldCharType="separate"/>
          </w:r>
          <w:r>
            <w:rPr>
              <w:rFonts w:hint="eastAsia" w:ascii="宋体" w:hAnsi="宋体" w:cs="宋体"/>
              <w:bCs/>
              <w:sz w:val="24"/>
              <w:szCs w:val="24"/>
              <w:highlight w:val="none"/>
            </w:rPr>
            <w:t>第六章  货物技术要求</w:t>
          </w:r>
          <w:r>
            <w:rPr>
              <w:sz w:val="24"/>
              <w:szCs w:val="24"/>
              <w:highlight w:val="none"/>
            </w:rPr>
            <w:tab/>
          </w:r>
          <w:r>
            <w:rPr>
              <w:sz w:val="24"/>
              <w:szCs w:val="24"/>
              <w:highlight w:val="none"/>
            </w:rPr>
            <w:fldChar w:fldCharType="begin"/>
          </w:r>
          <w:r>
            <w:rPr>
              <w:sz w:val="24"/>
              <w:szCs w:val="24"/>
              <w:highlight w:val="none"/>
            </w:rPr>
            <w:instrText xml:space="preserve"> PAGEREF _Toc24902 \h </w:instrText>
          </w:r>
          <w:r>
            <w:rPr>
              <w:sz w:val="24"/>
              <w:szCs w:val="24"/>
              <w:highlight w:val="none"/>
            </w:rPr>
            <w:fldChar w:fldCharType="separate"/>
          </w:r>
          <w:r>
            <w:rPr>
              <w:sz w:val="24"/>
              <w:szCs w:val="24"/>
              <w:highlight w:val="none"/>
            </w:rPr>
            <w:t>46</w:t>
          </w:r>
          <w:r>
            <w:rPr>
              <w:sz w:val="24"/>
              <w:szCs w:val="24"/>
              <w:highlight w:val="none"/>
            </w:rPr>
            <w:fldChar w:fldCharType="end"/>
          </w:r>
          <w:r>
            <w:rPr>
              <w:rFonts w:hint="eastAsia" w:ascii="宋体" w:hAnsi="宋体"/>
              <w:sz w:val="24"/>
              <w:szCs w:val="24"/>
              <w:highlight w:val="none"/>
            </w:rPr>
            <w:fldChar w:fldCharType="end"/>
          </w:r>
        </w:p>
        <w:p w14:paraId="4D18A5EB">
          <w:pPr>
            <w:pStyle w:val="24"/>
            <w:tabs>
              <w:tab w:val="right" w:leader="dot" w:pos="8306"/>
            </w:tabs>
            <w:rPr>
              <w:highlight w:val="none"/>
            </w:rPr>
          </w:pPr>
        </w:p>
        <w:p w14:paraId="65FB0B6A">
          <w:pPr>
            <w:pStyle w:val="40"/>
            <w:rPr>
              <w:rFonts w:hint="eastAsia" w:ascii="宋体" w:hAnsi="宋体"/>
              <w:sz w:val="21"/>
              <w:szCs w:val="21"/>
              <w:highlight w:val="none"/>
            </w:rPr>
          </w:pPr>
          <w:r>
            <w:rPr>
              <w:rFonts w:hint="eastAsia" w:ascii="宋体" w:hAnsi="宋体"/>
              <w:szCs w:val="21"/>
              <w:highlight w:val="none"/>
            </w:rPr>
            <w:fldChar w:fldCharType="end"/>
          </w:r>
        </w:p>
      </w:sdtContent>
    </w:sdt>
    <w:p w14:paraId="274FC1FF">
      <w:pPr>
        <w:pStyle w:val="40"/>
        <w:rPr>
          <w:rFonts w:hint="eastAsia" w:ascii="宋体" w:hAnsi="宋体"/>
          <w:sz w:val="21"/>
          <w:szCs w:val="21"/>
          <w:highlight w:val="none"/>
        </w:rPr>
        <w:sectPr>
          <w:footerReference r:id="rId7" w:type="default"/>
          <w:pgSz w:w="11906" w:h="16838"/>
          <w:pgMar w:top="1440" w:right="1800" w:bottom="1440" w:left="1800" w:header="851" w:footer="992" w:gutter="0"/>
          <w:pgNumType w:start="1"/>
          <w:cols w:space="720" w:num="1"/>
          <w:docGrid w:type="lines" w:linePitch="312" w:charSpace="0"/>
        </w:sectPr>
      </w:pPr>
    </w:p>
    <w:p w14:paraId="260F01A8">
      <w:pPr>
        <w:pStyle w:val="3"/>
        <w:numPr>
          <w:ilvl w:val="0"/>
          <w:numId w:val="8"/>
        </w:numPr>
        <w:spacing w:before="120" w:after="120" w:line="360" w:lineRule="auto"/>
        <w:jc w:val="center"/>
        <w:rPr>
          <w:rFonts w:hint="default" w:ascii="宋体" w:hAnsi="宋体"/>
          <w:bCs w:val="0"/>
          <w:sz w:val="28"/>
          <w:szCs w:val="28"/>
          <w:highlight w:val="none"/>
          <w:lang w:val="en-US"/>
        </w:rPr>
      </w:pPr>
      <w:bookmarkStart w:id="2" w:name="_Toc109736025"/>
      <w:bookmarkStart w:id="3" w:name="_Toc390940504"/>
      <w:bookmarkStart w:id="4" w:name="_Toc30703"/>
      <w:r>
        <w:rPr>
          <w:rFonts w:hint="eastAsia" w:ascii="宋体" w:hAnsi="宋体"/>
          <w:bCs w:val="0"/>
          <w:sz w:val="28"/>
          <w:szCs w:val="28"/>
          <w:highlight w:val="none"/>
        </w:rPr>
        <w:t>投标</w:t>
      </w:r>
      <w:bookmarkEnd w:id="2"/>
      <w:bookmarkEnd w:id="3"/>
      <w:r>
        <w:rPr>
          <w:rFonts w:hint="eastAsia" w:ascii="宋体" w:hAnsi="宋体"/>
          <w:bCs w:val="0"/>
          <w:sz w:val="28"/>
          <w:szCs w:val="28"/>
          <w:highlight w:val="none"/>
          <w:lang w:val="en-US" w:eastAsia="zh-CN"/>
        </w:rPr>
        <w:t>公告</w:t>
      </w:r>
      <w:bookmarkEnd w:id="4"/>
    </w:p>
    <w:p w14:paraId="7B12DFC6">
      <w:pPr>
        <w:keepNext w:val="0"/>
        <w:keepLines w:val="0"/>
        <w:pageBreakBefore w:val="0"/>
        <w:widowControl w:val="0"/>
        <w:kinsoku/>
        <w:wordWrap/>
        <w:overflowPunct/>
        <w:topLinePunct w:val="0"/>
        <w:bidi w:val="0"/>
        <w:adjustRightInd/>
        <w:snapToGrid/>
        <w:spacing w:line="360" w:lineRule="exact"/>
        <w:ind w:firstLine="848" w:firstLineChars="404"/>
        <w:jc w:val="center"/>
        <w:textAlignment w:val="auto"/>
        <w:outlineLvl w:val="1"/>
        <w:rPr>
          <w:rFonts w:hint="eastAsia" w:ascii="宋体" w:hAnsi="宋体" w:cs="宋体"/>
          <w:szCs w:val="21"/>
          <w:highlight w:val="none"/>
          <w:lang w:val="zh-CN" w:bidi="zh-CN"/>
        </w:rPr>
      </w:pPr>
      <w:bookmarkStart w:id="5" w:name="_Toc7847"/>
      <w:bookmarkStart w:id="6" w:name="_Toc7081"/>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鸡血清</w:t>
      </w:r>
      <w:r>
        <w:rPr>
          <w:rFonts w:hint="eastAsia" w:ascii="宋体" w:hAnsi="宋体" w:cs="宋体"/>
          <w:szCs w:val="21"/>
          <w:highlight w:val="none"/>
          <w:lang w:val="zh-CN" w:bidi="zh-CN"/>
        </w:rPr>
        <w:t>采购</w:t>
      </w:r>
      <w:bookmarkEnd w:id="5"/>
      <w:bookmarkEnd w:id="6"/>
      <w:r>
        <w:rPr>
          <w:rFonts w:hint="eastAsia" w:ascii="宋体" w:hAnsi="宋体" w:cs="宋体"/>
          <w:szCs w:val="21"/>
          <w:highlight w:val="none"/>
          <w:lang w:val="zh-CN" w:bidi="zh-CN"/>
        </w:rPr>
        <w:t>采购公告</w:t>
      </w:r>
    </w:p>
    <w:p w14:paraId="2870E0A6">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outlineLvl w:val="1"/>
        <w:rPr>
          <w:rFonts w:hint="eastAsia" w:ascii="宋体" w:hAnsi="宋体" w:cs="宋体"/>
          <w:szCs w:val="21"/>
          <w:highlight w:val="none"/>
          <w:lang w:val="zh-CN" w:bidi="zh-CN"/>
        </w:rPr>
      </w:pPr>
      <w:bookmarkStart w:id="7" w:name="_Toc6492"/>
      <w:bookmarkStart w:id="8" w:name="_Toc4790"/>
      <w:r>
        <w:rPr>
          <w:rFonts w:hint="eastAsia" w:ascii="宋体" w:hAnsi="宋体" w:cs="宋体"/>
          <w:szCs w:val="21"/>
          <w:highlight w:val="none"/>
        </w:rPr>
        <w:t>（招标编号：</w:t>
      </w:r>
      <w:r>
        <w:rPr>
          <w:rFonts w:hint="eastAsia" w:ascii="宋体" w:hAnsi="宋体" w:cs="宋体"/>
          <w:szCs w:val="21"/>
          <w:highlight w:val="none"/>
          <w:lang w:val="en-US" w:eastAsia="zh-CN"/>
        </w:rPr>
        <w:t>WKZB-2026-025</w:t>
      </w:r>
      <w:r>
        <w:rPr>
          <w:rFonts w:hint="eastAsia" w:ascii="宋体" w:hAnsi="宋体" w:cs="宋体"/>
          <w:szCs w:val="21"/>
          <w:highlight w:val="none"/>
        </w:rPr>
        <w:t>）</w:t>
      </w:r>
      <w:bookmarkEnd w:id="7"/>
      <w:bookmarkEnd w:id="8"/>
    </w:p>
    <w:p w14:paraId="35D7644B">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项目所在地区：</w:t>
      </w:r>
      <w:r>
        <w:rPr>
          <w:rFonts w:hint="eastAsia" w:ascii="宋体" w:hAnsi="宋体" w:cs="宋体"/>
          <w:szCs w:val="21"/>
          <w:highlight w:val="none"/>
          <w:lang w:val="en-US" w:bidi="zh-CN"/>
        </w:rPr>
        <w:t>江苏省扬州市</w:t>
      </w:r>
    </w:p>
    <w:p w14:paraId="19629C7B">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9" w:name="_Toc8276"/>
      <w:bookmarkStart w:id="10" w:name="_Toc24469"/>
      <w:bookmarkStart w:id="11" w:name="_Toc5989"/>
      <w:r>
        <w:rPr>
          <w:rFonts w:hint="eastAsia" w:ascii="宋体" w:hAnsi="宋体" w:cs="宋体"/>
          <w:b/>
          <w:bCs/>
          <w:szCs w:val="21"/>
          <w:highlight w:val="none"/>
          <w:lang w:val="zh-CN" w:bidi="zh-CN"/>
        </w:rPr>
        <w:t>一、招标条件</w:t>
      </w:r>
      <w:bookmarkEnd w:id="9"/>
      <w:bookmarkEnd w:id="10"/>
      <w:bookmarkEnd w:id="11"/>
    </w:p>
    <w:p w14:paraId="6B1A1705">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w:t>
      </w:r>
      <w:r>
        <w:rPr>
          <w:rFonts w:hint="eastAsia" w:ascii="宋体" w:hAnsi="宋体" w:cs="宋体"/>
          <w:spacing w:val="-27"/>
          <w:szCs w:val="21"/>
          <w:highlight w:val="none"/>
          <w:lang w:val="zh-CN" w:bidi="zh-CN"/>
        </w:rPr>
        <w:t xml:space="preserve">本 </w:t>
      </w:r>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鸡血清</w:t>
      </w:r>
      <w:r>
        <w:rPr>
          <w:rFonts w:hint="eastAsia" w:ascii="宋体" w:hAnsi="宋体" w:cs="宋体"/>
          <w:szCs w:val="21"/>
          <w:highlight w:val="none"/>
          <w:lang w:val="zh-CN" w:bidi="zh-CN"/>
        </w:rPr>
        <w:t>采购，项目资金来源为</w:t>
      </w:r>
      <w:r>
        <w:rPr>
          <w:rFonts w:hint="eastAsia" w:ascii="宋体" w:hAnsi="宋体" w:cs="宋体"/>
          <w:b/>
          <w:bCs/>
          <w:spacing w:val="-5"/>
          <w:szCs w:val="21"/>
          <w:highlight w:val="none"/>
          <w:lang w:bidi="zh-CN"/>
        </w:rPr>
        <w:t>自筹资金</w:t>
      </w:r>
      <w:r>
        <w:rPr>
          <w:rFonts w:hint="eastAsia" w:ascii="宋体" w:hAnsi="宋体" w:cs="宋体"/>
          <w:szCs w:val="21"/>
          <w:highlight w:val="none"/>
          <w:lang w:val="zh-CN" w:bidi="zh-CN"/>
        </w:rPr>
        <w:t>，招标人为国药集团扬州威克生物工程有限公司。本项目已具备招标条件，现招标方式为</w:t>
      </w:r>
      <w:r>
        <w:rPr>
          <w:rFonts w:hint="eastAsia" w:ascii="宋体" w:hAnsi="宋体" w:cs="宋体"/>
          <w:szCs w:val="21"/>
          <w:highlight w:val="none"/>
          <w:lang w:val="en-US" w:bidi="zh-CN"/>
        </w:rPr>
        <w:t>竞争性磋商</w:t>
      </w:r>
      <w:r>
        <w:rPr>
          <w:rFonts w:hint="eastAsia" w:ascii="宋体" w:hAnsi="宋体" w:cs="宋体"/>
          <w:szCs w:val="21"/>
          <w:highlight w:val="none"/>
          <w:lang w:val="zh-CN" w:bidi="zh-CN"/>
        </w:rPr>
        <w:t>。</w:t>
      </w:r>
    </w:p>
    <w:p w14:paraId="288359C9">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12" w:name="_Toc6931"/>
      <w:bookmarkStart w:id="13" w:name="_Toc10698"/>
      <w:bookmarkStart w:id="14" w:name="_Toc28608"/>
      <w:r>
        <w:rPr>
          <w:rFonts w:hint="eastAsia" w:ascii="宋体" w:hAnsi="宋体" w:cs="宋体"/>
          <w:b/>
          <w:bCs/>
          <w:szCs w:val="21"/>
          <w:highlight w:val="none"/>
          <w:lang w:val="zh-CN" w:bidi="zh-CN"/>
        </w:rPr>
        <w:t>二、项目概况和招标范围</w:t>
      </w:r>
      <w:bookmarkEnd w:id="12"/>
      <w:bookmarkEnd w:id="13"/>
      <w:bookmarkEnd w:id="14"/>
    </w:p>
    <w:p w14:paraId="76CAA6BE">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color w:val="FF0000"/>
          <w:szCs w:val="21"/>
          <w:highlight w:val="none"/>
          <w:lang w:val="en-US" w:bidi="zh-CN"/>
        </w:rPr>
      </w:pPr>
      <w:r>
        <w:rPr>
          <w:rFonts w:hint="eastAsia" w:ascii="宋体" w:hAnsi="宋体" w:cs="宋体"/>
          <w:color w:val="FF0000"/>
          <w:szCs w:val="21"/>
          <w:highlight w:val="none"/>
          <w:lang w:val="zh-CN" w:bidi="zh-CN"/>
        </w:rPr>
        <w:t>规模：国药集团扬州威克生物工程有限公司</w:t>
      </w:r>
      <w:r>
        <w:rPr>
          <w:rFonts w:hint="eastAsia" w:ascii="宋体" w:hAnsi="宋体" w:cs="宋体"/>
          <w:color w:val="FF0000"/>
          <w:szCs w:val="21"/>
          <w:highlight w:val="none"/>
          <w:lang w:bidi="zh-CN"/>
        </w:rPr>
        <w:t>拟采购</w:t>
      </w:r>
      <w:r>
        <w:rPr>
          <w:rFonts w:hint="eastAsia" w:ascii="宋体" w:hAnsi="宋体" w:cs="宋体"/>
          <w:color w:val="FF0000"/>
          <w:szCs w:val="21"/>
          <w:highlight w:val="none"/>
          <w:lang w:val="en-US" w:bidi="zh-CN"/>
        </w:rPr>
        <w:t>鸡血清。</w:t>
      </w:r>
    </w:p>
    <w:p w14:paraId="0080E148">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color w:val="FF0000"/>
          <w:szCs w:val="21"/>
          <w:highlight w:val="none"/>
          <w:lang w:val="zh-CN" w:bidi="zh-CN"/>
        </w:rPr>
      </w:pPr>
      <w:r>
        <w:rPr>
          <w:rFonts w:hint="eastAsia" w:ascii="宋体" w:hAnsi="宋体" w:cs="宋体"/>
          <w:color w:val="FF0000"/>
          <w:spacing w:val="-5"/>
          <w:szCs w:val="21"/>
          <w:highlight w:val="none"/>
          <w:lang w:val="zh-CN" w:bidi="zh-CN"/>
        </w:rPr>
        <w:t xml:space="preserve">范围：本招标项目划分为 </w:t>
      </w:r>
      <w:r>
        <w:rPr>
          <w:rFonts w:hint="eastAsia" w:ascii="宋体" w:hAnsi="宋体" w:cs="宋体"/>
          <w:color w:val="FF0000"/>
          <w:spacing w:val="-5"/>
          <w:szCs w:val="21"/>
          <w:highlight w:val="none"/>
          <w:lang w:val="en-US" w:bidi="zh-CN"/>
        </w:rPr>
        <w:t>1</w:t>
      </w:r>
      <w:r>
        <w:rPr>
          <w:rFonts w:hint="eastAsia" w:ascii="宋体" w:hAnsi="宋体" w:cs="宋体"/>
          <w:color w:val="FF0000"/>
          <w:szCs w:val="21"/>
          <w:highlight w:val="none"/>
          <w:lang w:val="zh-CN" w:bidi="zh-CN"/>
        </w:rPr>
        <w:t>个标段，本次招标为其中的：</w:t>
      </w:r>
    </w:p>
    <w:p w14:paraId="1AFA7337">
      <w:pPr>
        <w:keepNext w:val="0"/>
        <w:keepLines w:val="0"/>
        <w:pageBreakBefore w:val="0"/>
        <w:kinsoku/>
        <w:wordWrap/>
        <w:overflowPunct/>
        <w:topLinePunct w:val="0"/>
        <w:autoSpaceDE w:val="0"/>
        <w:autoSpaceDN w:val="0"/>
        <w:bidi w:val="0"/>
        <w:adjustRightInd/>
        <w:snapToGrid/>
        <w:spacing w:line="360" w:lineRule="auto"/>
        <w:ind w:firstLine="420"/>
        <w:jc w:val="left"/>
        <w:textAlignment w:val="auto"/>
        <w:outlineLvl w:val="9"/>
        <w:rPr>
          <w:rFonts w:hint="eastAsia" w:ascii="宋体" w:hAnsi="宋体" w:cs="宋体"/>
          <w:color w:val="FF0000"/>
          <w:szCs w:val="21"/>
          <w:highlight w:val="none"/>
          <w:lang w:val="zh-CN" w:bidi="zh-CN"/>
        </w:rPr>
      </w:pPr>
      <w:r>
        <w:rPr>
          <w:rFonts w:hint="eastAsia" w:ascii="宋体" w:hAnsi="宋体" w:cs="宋体"/>
          <w:color w:val="FF0000"/>
          <w:szCs w:val="21"/>
          <w:highlight w:val="none"/>
          <w:lang w:val="zh-CN" w:bidi="zh-CN"/>
        </w:rPr>
        <w:t>(001)国药集团扬州威克生物工程有限公司</w:t>
      </w:r>
      <w:r>
        <w:rPr>
          <w:rFonts w:hint="eastAsia" w:ascii="宋体" w:hAnsi="宋体" w:cs="宋体"/>
          <w:color w:val="FF0000"/>
          <w:szCs w:val="21"/>
          <w:highlight w:val="none"/>
          <w:lang w:val="en-US" w:bidi="zh-CN"/>
        </w:rPr>
        <w:t>鸡血清</w:t>
      </w:r>
      <w:r>
        <w:rPr>
          <w:rFonts w:hint="eastAsia" w:ascii="宋体" w:hAnsi="宋体" w:cs="宋体"/>
          <w:color w:val="FF0000"/>
          <w:szCs w:val="21"/>
          <w:highlight w:val="none"/>
          <w:lang w:val="zh-CN" w:bidi="zh-CN"/>
        </w:rPr>
        <w:t xml:space="preserve">采购;  </w:t>
      </w:r>
    </w:p>
    <w:p w14:paraId="39A780FD">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15" w:name="_Toc15843"/>
      <w:bookmarkStart w:id="16" w:name="_Toc1963"/>
      <w:bookmarkStart w:id="17" w:name="_Toc23826"/>
      <w:r>
        <w:rPr>
          <w:rFonts w:hint="eastAsia" w:ascii="宋体" w:hAnsi="宋体" w:cs="宋体"/>
          <w:b/>
          <w:bCs/>
          <w:szCs w:val="21"/>
          <w:highlight w:val="none"/>
          <w:lang w:val="zh-CN" w:bidi="zh-CN"/>
        </w:rPr>
        <w:t>三、投标人资格要求</w:t>
      </w:r>
      <w:bookmarkEnd w:id="15"/>
      <w:bookmarkEnd w:id="16"/>
      <w:bookmarkEnd w:id="17"/>
    </w:p>
    <w:p w14:paraId="38DF18F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鸡血清</w:t>
      </w:r>
      <w:r>
        <w:rPr>
          <w:rFonts w:hint="eastAsia" w:ascii="宋体" w:hAnsi="宋体" w:cs="宋体"/>
          <w:szCs w:val="21"/>
          <w:highlight w:val="none"/>
          <w:lang w:val="zh-CN" w:bidi="zh-CN"/>
        </w:rPr>
        <w:t>采购</w:t>
      </w:r>
      <w:r>
        <w:rPr>
          <w:rFonts w:hint="eastAsia" w:ascii="宋体" w:hAnsi="宋体" w:cs="宋体"/>
          <w:spacing w:val="-1"/>
          <w:szCs w:val="21"/>
          <w:highlight w:val="none"/>
          <w:lang w:val="zh-CN" w:bidi="zh-CN"/>
        </w:rPr>
        <w:t>的投标人资格能</w:t>
      </w:r>
      <w:r>
        <w:rPr>
          <w:rFonts w:hint="eastAsia" w:ascii="宋体" w:hAnsi="宋体" w:cs="宋体"/>
          <w:szCs w:val="21"/>
          <w:highlight w:val="none"/>
          <w:lang w:val="zh-CN" w:bidi="zh-CN"/>
        </w:rPr>
        <w:t>力要求：</w:t>
      </w:r>
    </w:p>
    <w:p w14:paraId="7EF01524">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在中国境内注册的法人或其他组织，遵守中国的法律、法规和条例</w:t>
      </w:r>
      <w:r>
        <w:rPr>
          <w:rFonts w:hint="eastAsia"/>
          <w:highlight w:val="none"/>
        </w:rPr>
        <w:t>；</w:t>
      </w:r>
    </w:p>
    <w:p w14:paraId="39B2ED92">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color w:val="FF0000"/>
          <w:szCs w:val="21"/>
          <w:highlight w:val="none"/>
        </w:rPr>
      </w:pPr>
      <w:r>
        <w:rPr>
          <w:rFonts w:hint="eastAsia" w:ascii="宋体" w:hAnsi="宋体" w:cs="宋体"/>
          <w:bCs/>
          <w:color w:val="auto"/>
          <w:szCs w:val="21"/>
          <w:highlight w:val="none"/>
        </w:rPr>
        <w:t>具有</w:t>
      </w:r>
      <w:r>
        <w:rPr>
          <w:rFonts w:hint="eastAsia" w:ascii="宋体" w:hAnsi="宋体" w:cs="宋体"/>
          <w:bCs/>
          <w:szCs w:val="21"/>
          <w:highlight w:val="none"/>
        </w:rPr>
        <w:t>良好的财务状况(提供202</w:t>
      </w:r>
      <w:r>
        <w:rPr>
          <w:rFonts w:hint="eastAsia" w:ascii="宋体" w:hAnsi="宋体" w:cs="宋体"/>
          <w:bCs/>
          <w:szCs w:val="21"/>
          <w:highlight w:val="none"/>
          <w:lang w:val="en-US" w:eastAsia="zh-CN"/>
        </w:rPr>
        <w:t>5</w:t>
      </w:r>
      <w:r>
        <w:rPr>
          <w:rFonts w:hint="eastAsia" w:ascii="宋体" w:hAnsi="宋体" w:cs="宋体"/>
          <w:bCs/>
          <w:szCs w:val="21"/>
          <w:highlight w:val="none"/>
        </w:rPr>
        <w:t>年年度经会计师事务所审计财务报表，含资产负债表、损益表（利润表）、现金流量表，有依法缴纳税收和社会保障资金的良好记录（提供投标截止日前6个月内任意连续3个月已缴凭证）；</w:t>
      </w:r>
    </w:p>
    <w:p w14:paraId="0D24B820">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投标人应为拟投产品</w:t>
      </w:r>
      <w:r>
        <w:rPr>
          <w:rFonts w:hint="eastAsia" w:ascii="宋体" w:hAnsi="宋体" w:cs="Arial"/>
          <w:szCs w:val="21"/>
          <w:highlight w:val="none"/>
        </w:rPr>
        <w:t>生产商</w:t>
      </w:r>
      <w:r>
        <w:rPr>
          <w:rFonts w:hint="eastAsia" w:ascii="宋体" w:hAnsi="宋体" w:cs="宋体"/>
          <w:bCs/>
          <w:szCs w:val="21"/>
          <w:highlight w:val="none"/>
        </w:rPr>
        <w:t>或代理商，如果投标人是代理商，应提供所投产品</w:t>
      </w:r>
      <w:r>
        <w:rPr>
          <w:rFonts w:hint="eastAsia" w:ascii="宋体" w:hAnsi="宋体" w:cs="Arial"/>
          <w:szCs w:val="21"/>
          <w:highlight w:val="none"/>
        </w:rPr>
        <w:t>生产商</w:t>
      </w:r>
      <w:r>
        <w:rPr>
          <w:rFonts w:hint="eastAsia" w:ascii="宋体" w:hAnsi="宋体" w:cs="宋体"/>
          <w:bCs/>
          <w:szCs w:val="21"/>
          <w:highlight w:val="none"/>
        </w:rPr>
        <w:t>出具的合法且在有效期内的授权书；</w:t>
      </w:r>
    </w:p>
    <w:p w14:paraId="716EE34D">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szCs w:val="21"/>
          <w:highlight w:val="none"/>
        </w:rPr>
      </w:pPr>
      <w:r>
        <w:rPr>
          <w:rFonts w:hint="eastAsia" w:ascii="宋体" w:hAnsi="宋体" w:cs="宋体"/>
          <w:bCs/>
          <w:szCs w:val="21"/>
          <w:highlight w:val="none"/>
        </w:rPr>
        <w:t>投标人法定代表人为同一个人的两个及两个以上法人，母公司与全资子公司/由其控股的子公司，不得同时参与本项目；</w:t>
      </w:r>
    </w:p>
    <w:p w14:paraId="58C3973B">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投标人在法律和财务上独立、合法运作并独立于招标人，不得直接或间接地与招标人为本项目所委托的咨询公司或其附属机构有任何关联；</w:t>
      </w:r>
    </w:p>
    <w:p w14:paraId="0361F7F4">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须保证，招标人在其本国使用其提供的货物及服务时，不存在任何已知的不合法的情形，也不存在任何已知的与第三方专利权、著作权、商标权或工业设计权相关的任何争议。如果有任何因招标人使用投标人提供的服务而提起的侵权指控，投标人须依法承担全部责任；</w:t>
      </w:r>
    </w:p>
    <w:p w14:paraId="5970A9FD">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投标人须承诺企业及企业法定代表人近三年内未受到监管机构重大处罚、无行贿受贿违法行为、未被“信用中国网站”（www.creditchina.gov.cn）列入失信被执行人、重大税收违法案件当事人名单、政府采购严重违法失信名单，具有较强的风险控制和较好的经营业绩且经营状况良好，严格遵守国家有关的法律法规，内部管理规范、控制制度严密，具有严格的操作规程和保密措施；</w:t>
      </w:r>
    </w:p>
    <w:p w14:paraId="1383785F">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投标人不得将本项目招标内容以任何方式进行转包或分包；</w:t>
      </w:r>
    </w:p>
    <w:p w14:paraId="3DCF35DF">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lang w:val="zh-CN"/>
        </w:rPr>
      </w:pPr>
      <w:r>
        <w:rPr>
          <w:rFonts w:hint="eastAsia" w:ascii="宋体" w:hAnsi="宋体" w:cs="宋体"/>
          <w:bCs/>
          <w:szCs w:val="21"/>
          <w:highlight w:val="none"/>
        </w:rPr>
        <w:t>本项目不接受联合体投标。</w:t>
      </w:r>
    </w:p>
    <w:p w14:paraId="585EA3B1">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18" w:name="_Toc31840"/>
      <w:bookmarkStart w:id="19" w:name="_Toc7377"/>
      <w:bookmarkStart w:id="20" w:name="_Toc8299"/>
      <w:r>
        <w:rPr>
          <w:rFonts w:hint="eastAsia" w:ascii="宋体" w:hAnsi="宋体" w:cs="宋体"/>
          <w:b/>
          <w:bCs/>
          <w:szCs w:val="21"/>
          <w:highlight w:val="none"/>
          <w:lang w:val="zh-CN" w:bidi="zh-CN"/>
        </w:rPr>
        <w:t>四、招标文件的获取</w:t>
      </w:r>
      <w:bookmarkEnd w:id="18"/>
      <w:bookmarkEnd w:id="19"/>
      <w:bookmarkEnd w:id="20"/>
    </w:p>
    <w:p w14:paraId="2F974BA4">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yellow"/>
          <w:lang w:val="zh-CN" w:bidi="zh-CN"/>
        </w:rPr>
      </w:pPr>
      <w:r>
        <w:rPr>
          <w:rFonts w:hint="eastAsia" w:ascii="宋体" w:hAnsi="宋体" w:cs="宋体"/>
          <w:szCs w:val="21"/>
          <w:highlight w:val="none"/>
          <w:lang w:val="zh-CN" w:bidi="zh-CN"/>
        </w:rPr>
        <w:t>获取时间：</w:t>
      </w:r>
      <w:r>
        <w:rPr>
          <w:rFonts w:hint="eastAsia" w:ascii="宋体" w:hAnsi="宋体" w:cs="宋体"/>
          <w:szCs w:val="21"/>
          <w:highlight w:val="yellow"/>
          <w:lang w:val="zh-CN" w:bidi="zh-CN"/>
        </w:rPr>
        <w:t>以采购公告时间为准</w:t>
      </w:r>
    </w:p>
    <w:p w14:paraId="5A5376D8">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lang w:bidi="zh-CN"/>
        </w:rPr>
      </w:pPr>
      <w:r>
        <w:rPr>
          <w:rFonts w:hint="eastAsia" w:ascii="宋体" w:hAnsi="宋体" w:cs="宋体"/>
          <w:szCs w:val="21"/>
          <w:highlight w:val="none"/>
          <w:lang w:val="zh-CN" w:bidi="zh-CN"/>
        </w:rPr>
        <w:t>获取方式：提供</w:t>
      </w:r>
      <w:r>
        <w:rPr>
          <w:rFonts w:hint="eastAsia" w:ascii="宋体" w:hAnsi="宋体" w:cs="宋体"/>
          <w:szCs w:val="21"/>
          <w:highlight w:val="none"/>
          <w:lang w:val="en-US" w:bidi="zh-CN"/>
        </w:rPr>
        <w:t>1、</w:t>
      </w:r>
      <w:r>
        <w:rPr>
          <w:rFonts w:hint="eastAsia" w:ascii="宋体" w:hAnsi="宋体" w:cs="宋体"/>
          <w:szCs w:val="21"/>
          <w:highlight w:val="none"/>
          <w:lang w:val="zh-CN" w:bidi="zh-CN"/>
        </w:rPr>
        <w:t>营业执照副本；2、行业许可证；</w:t>
      </w:r>
      <w:r>
        <w:rPr>
          <w:rFonts w:hint="eastAsia" w:ascii="宋体" w:hAnsi="宋体" w:cs="宋体"/>
          <w:szCs w:val="21"/>
          <w:highlight w:val="none"/>
          <w:lang w:bidi="zh-CN"/>
        </w:rPr>
        <w:t>投标报名表（①授权委托书；②法人身份证复印件、③代理人身份证复印件）4、反商业贿赂承诺书；</w:t>
      </w:r>
    </w:p>
    <w:p w14:paraId="208C09FE">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lang w:bidi="zh-CN"/>
        </w:rPr>
      </w:pPr>
      <w:r>
        <w:rPr>
          <w:rFonts w:hint="eastAsia" w:ascii="宋体" w:hAnsi="宋体" w:cs="宋体"/>
          <w:szCs w:val="21"/>
          <w:highlight w:val="none"/>
          <w:lang w:bidi="zh-CN"/>
        </w:rPr>
        <w:t>5、本公司认为其它需要提供的资料，包括但不限于业绩证明、诚信经营承诺书、技术交流确认函等。国家规定的专业性公司必须提供行业许可证，区域代理商或者独家商必须提供代理授权文件。</w:t>
      </w:r>
    </w:p>
    <w:p w14:paraId="6C4F2FA7">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rPr>
      </w:pPr>
      <w:r>
        <w:rPr>
          <w:rFonts w:hint="eastAsia" w:ascii="宋体" w:hAnsi="宋体" w:cs="宋体"/>
          <w:szCs w:val="21"/>
          <w:highlight w:val="none"/>
          <w:lang w:bidi="zh-CN"/>
        </w:rPr>
        <w:t>（以上文件必须在有效期内，必须加盖所在单位公章）</w:t>
      </w:r>
      <w:r>
        <w:rPr>
          <w:rFonts w:hint="eastAsia" w:ascii="宋体" w:hAnsi="宋体" w:cs="宋体"/>
          <w:szCs w:val="21"/>
          <w:highlight w:val="none"/>
          <w:lang w:val="zh-CN" w:bidi="zh-CN"/>
        </w:rPr>
        <w:t>（以上材料均须加盖公章，将电子版报名材料发至联系邮箱：），</w:t>
      </w:r>
      <w:r>
        <w:rPr>
          <w:rFonts w:hint="eastAsia" w:ascii="宋体" w:hAnsi="宋体" w:cs="宋体"/>
          <w:szCs w:val="21"/>
          <w:highlight w:val="none"/>
          <w:lang w:val="en-US" w:bidi="zh-CN"/>
        </w:rPr>
        <w:t>登记</w:t>
      </w:r>
      <w:r>
        <w:rPr>
          <w:rFonts w:hint="eastAsia" w:ascii="宋体" w:hAnsi="宋体" w:cs="宋体"/>
          <w:szCs w:val="21"/>
          <w:highlight w:val="none"/>
          <w:lang w:val="zh-CN" w:bidi="zh-CN"/>
        </w:rPr>
        <w:t>后购买招标文件</w:t>
      </w:r>
      <w:r>
        <w:rPr>
          <w:rFonts w:hint="eastAsia" w:ascii="宋体" w:hAnsi="宋体" w:cs="宋体"/>
          <w:kern w:val="0"/>
          <w:szCs w:val="21"/>
          <w:highlight w:val="none"/>
        </w:rPr>
        <w:t>。</w:t>
      </w:r>
    </w:p>
    <w:p w14:paraId="29791A8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1" w:name="_Toc10836"/>
      <w:bookmarkStart w:id="22" w:name="_Toc14098"/>
      <w:r>
        <w:rPr>
          <w:rFonts w:hint="eastAsia" w:ascii="宋体" w:hAnsi="宋体" w:cs="宋体"/>
          <w:b/>
          <w:bCs/>
          <w:szCs w:val="21"/>
          <w:highlight w:val="none"/>
          <w:lang w:val="zh-CN" w:bidi="zh-CN"/>
        </w:rPr>
        <w:t>五、投标文件的递交</w:t>
      </w:r>
      <w:bookmarkEnd w:id="21"/>
      <w:bookmarkEnd w:id="22"/>
    </w:p>
    <w:p w14:paraId="01EEAB8A">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yellow"/>
          <w:lang w:val="zh-CN" w:bidi="zh-CN"/>
        </w:rPr>
      </w:pPr>
      <w:r>
        <w:rPr>
          <w:rFonts w:hint="eastAsia" w:ascii="宋体" w:hAnsi="宋体" w:cs="宋体"/>
          <w:szCs w:val="21"/>
          <w:highlight w:val="none"/>
          <w:lang w:val="zh-CN" w:bidi="zh-CN"/>
        </w:rPr>
        <w:t>递交截止时间：</w:t>
      </w:r>
      <w:r>
        <w:rPr>
          <w:rFonts w:hint="eastAsia" w:ascii="宋体" w:hAnsi="宋体" w:cs="宋体"/>
          <w:szCs w:val="21"/>
          <w:highlight w:val="yellow"/>
          <w:lang w:val="zh-CN" w:bidi="zh-CN"/>
        </w:rPr>
        <w:t>以采购公告时间为准</w:t>
      </w:r>
    </w:p>
    <w:p w14:paraId="6E04F80F">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递交方式：</w:t>
      </w:r>
      <w:r>
        <w:rPr>
          <w:rFonts w:hint="eastAsia" w:ascii="宋体" w:hAnsi="宋体" w:cs="宋体"/>
          <w:szCs w:val="21"/>
          <w:highlight w:val="none"/>
          <w:lang w:val="en-US" w:bidi="zh-CN"/>
        </w:rPr>
        <w:t>江苏省扬州市邗江区牧羊路15号</w:t>
      </w:r>
      <w:r>
        <w:rPr>
          <w:rFonts w:hint="eastAsia" w:ascii="宋体" w:hAnsi="宋体" w:cs="宋体"/>
          <w:szCs w:val="21"/>
          <w:highlight w:val="none"/>
          <w:lang w:val="zh-CN" w:bidi="zh-CN"/>
        </w:rPr>
        <w:t>，</w:t>
      </w:r>
      <w:r>
        <w:rPr>
          <w:rFonts w:hint="eastAsia" w:ascii="宋体" w:hAnsi="宋体" w:cs="宋体"/>
          <w:szCs w:val="21"/>
          <w:highlight w:val="none"/>
          <w:lang w:bidi="zh-CN"/>
        </w:rPr>
        <w:t>纸质</w:t>
      </w:r>
      <w:r>
        <w:rPr>
          <w:rFonts w:hint="eastAsia" w:ascii="宋体" w:hAnsi="宋体" w:cs="宋体"/>
          <w:szCs w:val="21"/>
          <w:highlight w:val="none"/>
          <w:lang w:val="zh-CN" w:bidi="zh-CN"/>
        </w:rPr>
        <w:t>文件递交（</w:t>
      </w:r>
      <w:r>
        <w:rPr>
          <w:rFonts w:hint="eastAsia" w:ascii="宋体" w:hAnsi="宋体" w:cs="宋体"/>
          <w:szCs w:val="21"/>
          <w:highlight w:val="none"/>
          <w:lang w:val="en-US" w:bidi="zh-CN"/>
        </w:rPr>
        <w:t>可邮寄）</w:t>
      </w:r>
    </w:p>
    <w:p w14:paraId="3DDD158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3" w:name="_Toc6081"/>
      <w:bookmarkStart w:id="24" w:name="_Toc28425"/>
      <w:bookmarkStart w:id="25" w:name="_Toc23490"/>
      <w:r>
        <w:rPr>
          <w:rFonts w:hint="eastAsia" w:ascii="宋体" w:hAnsi="宋体" w:cs="宋体"/>
          <w:b/>
          <w:bCs/>
          <w:szCs w:val="21"/>
          <w:highlight w:val="none"/>
          <w:lang w:val="zh-CN" w:bidi="zh-CN"/>
        </w:rPr>
        <w:t>六、开标时间及地点</w:t>
      </w:r>
      <w:bookmarkEnd w:id="23"/>
      <w:bookmarkEnd w:id="24"/>
      <w:bookmarkEnd w:id="25"/>
    </w:p>
    <w:p w14:paraId="6FC0DF06">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en-US" w:bidi="zh-CN"/>
        </w:rPr>
      </w:pPr>
      <w:r>
        <w:rPr>
          <w:rFonts w:hint="eastAsia" w:ascii="宋体" w:hAnsi="宋体" w:cs="宋体"/>
          <w:szCs w:val="21"/>
          <w:highlight w:val="none"/>
          <w:lang w:val="zh-CN" w:bidi="zh-CN"/>
        </w:rPr>
        <w:t>开标时间：</w:t>
      </w:r>
      <w:r>
        <w:rPr>
          <w:rFonts w:hint="eastAsia" w:ascii="宋体" w:hAnsi="宋体" w:cs="宋体"/>
          <w:szCs w:val="21"/>
          <w:highlight w:val="none"/>
          <w:lang w:val="en-US" w:bidi="zh-CN"/>
        </w:rPr>
        <w:t>电话另行通知</w:t>
      </w:r>
    </w:p>
    <w:p w14:paraId="7ACEAC01">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开标地点：</w:t>
      </w:r>
      <w:r>
        <w:rPr>
          <w:rFonts w:hint="eastAsia" w:ascii="宋体" w:hAnsi="宋体" w:cs="宋体"/>
          <w:szCs w:val="21"/>
          <w:highlight w:val="none"/>
          <w:lang w:val="en-US" w:bidi="zh-CN"/>
        </w:rPr>
        <w:t>江苏省扬州市邗江区牧羊路15号</w:t>
      </w:r>
      <w:r>
        <w:rPr>
          <w:rFonts w:hint="eastAsia" w:ascii="宋体" w:hAnsi="宋体" w:cs="宋体"/>
          <w:szCs w:val="21"/>
          <w:highlight w:val="none"/>
          <w:lang w:val="zh-CN" w:bidi="zh-CN"/>
        </w:rPr>
        <w:t>（</w:t>
      </w:r>
      <w:r>
        <w:rPr>
          <w:rFonts w:hint="eastAsia" w:ascii="宋体" w:hAnsi="宋体" w:cs="宋体"/>
          <w:szCs w:val="21"/>
          <w:highlight w:val="none"/>
          <w:lang w:bidi="zh-CN"/>
        </w:rPr>
        <w:t>采用</w:t>
      </w:r>
      <w:r>
        <w:rPr>
          <w:rFonts w:hint="eastAsia" w:ascii="宋体" w:hAnsi="宋体" w:cs="宋体"/>
          <w:szCs w:val="21"/>
          <w:highlight w:val="none"/>
          <w:lang w:val="en-US" w:bidi="zh-CN"/>
        </w:rPr>
        <w:t>视频会议远程开标</w:t>
      </w:r>
      <w:r>
        <w:rPr>
          <w:rFonts w:hint="eastAsia" w:ascii="宋体" w:hAnsi="宋体" w:cs="宋体"/>
          <w:szCs w:val="21"/>
          <w:highlight w:val="none"/>
          <w:lang w:bidi="zh-CN"/>
        </w:rPr>
        <w:t>）</w:t>
      </w:r>
    </w:p>
    <w:p w14:paraId="315CFCC2">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6" w:name="_Toc7374"/>
      <w:bookmarkStart w:id="27" w:name="_Toc11141"/>
      <w:bookmarkStart w:id="28" w:name="_Toc21387"/>
      <w:r>
        <w:rPr>
          <w:rFonts w:hint="eastAsia" w:ascii="宋体" w:hAnsi="宋体" w:cs="宋体"/>
          <w:b/>
          <w:bCs/>
          <w:szCs w:val="21"/>
          <w:highlight w:val="none"/>
          <w:lang w:val="zh-CN" w:bidi="zh-CN"/>
        </w:rPr>
        <w:t>七、其他</w:t>
      </w:r>
      <w:bookmarkEnd w:id="26"/>
      <w:bookmarkEnd w:id="27"/>
      <w:bookmarkEnd w:id="28"/>
    </w:p>
    <w:p w14:paraId="52D0AB95">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kern w:val="2"/>
          <w:sz w:val="21"/>
          <w:szCs w:val="21"/>
          <w:highlight w:val="none"/>
          <w:lang w:val="en-US" w:eastAsia="zh-CN" w:bidi="zh-CN"/>
        </w:rPr>
      </w:pPr>
      <w:r>
        <w:rPr>
          <w:rFonts w:hint="eastAsia" w:ascii="宋体" w:hAnsi="宋体" w:cs="宋体"/>
          <w:szCs w:val="21"/>
          <w:highlight w:val="none"/>
          <w:lang w:val="zh-CN" w:bidi="zh-CN"/>
        </w:rPr>
        <w:t>采购需求：</w:t>
      </w:r>
      <w:r>
        <w:rPr>
          <w:rFonts w:hint="eastAsia" w:ascii="宋体" w:hAnsi="宋体" w:cs="宋体"/>
          <w:szCs w:val="21"/>
          <w:highlight w:val="none"/>
          <w:lang w:bidi="zh-CN"/>
        </w:rPr>
        <w:t>国药集团扬州威克生物工程有限公司拟通过招标方式选择</w:t>
      </w:r>
      <w:r>
        <w:rPr>
          <w:rFonts w:hint="eastAsia" w:ascii="宋体" w:hAnsi="宋体" w:cs="宋体"/>
          <w:color w:val="FF0000"/>
          <w:szCs w:val="21"/>
          <w:highlight w:val="none"/>
          <w:u w:val="none"/>
          <w:lang w:val="en-US" w:bidi="zh-CN"/>
        </w:rPr>
        <w:t>2-3名</w:t>
      </w:r>
      <w:r>
        <w:rPr>
          <w:rFonts w:hint="eastAsia" w:ascii="宋体" w:hAnsi="宋体" w:cs="宋体"/>
          <w:szCs w:val="21"/>
          <w:highlight w:val="none"/>
          <w:lang w:bidi="zh-CN"/>
        </w:rPr>
        <w:t>供应商供应</w:t>
      </w:r>
      <w:r>
        <w:rPr>
          <w:rFonts w:hint="eastAsia" w:ascii="宋体" w:hAnsi="宋体" w:cs="宋体"/>
          <w:szCs w:val="21"/>
          <w:highlight w:val="none"/>
          <w:lang w:val="en-US" w:bidi="zh-CN"/>
        </w:rPr>
        <w:t>商入围鸡血清项目</w:t>
      </w:r>
      <w:r>
        <w:rPr>
          <w:rFonts w:hint="eastAsia" w:ascii="宋体" w:hAnsi="宋体" w:cs="宋体"/>
          <w:szCs w:val="21"/>
          <w:highlight w:val="none"/>
          <w:lang w:bidi="zh-CN"/>
        </w:rPr>
        <w:t>，</w:t>
      </w:r>
      <w:r>
        <w:rPr>
          <w:rFonts w:hint="eastAsia" w:ascii="宋体" w:hAnsi="宋体" w:cs="宋体"/>
          <w:color w:val="auto"/>
          <w:szCs w:val="21"/>
          <w:highlight w:val="none"/>
          <w:lang w:val="en-US" w:bidi="zh-CN"/>
        </w:rPr>
        <w:t>预计采购根据扬州威克需求</w:t>
      </w:r>
      <w:r>
        <w:rPr>
          <w:rFonts w:hint="eastAsia" w:ascii="宋体" w:hAnsi="宋体" w:cs="宋体"/>
          <w:szCs w:val="21"/>
          <w:highlight w:val="none"/>
          <w:lang w:bidi="zh-CN"/>
        </w:rPr>
        <w:t>，本项目为</w:t>
      </w:r>
      <w:r>
        <w:rPr>
          <w:rFonts w:hint="eastAsia" w:ascii="宋体" w:hAnsi="宋体" w:cs="宋体"/>
          <w:color w:val="FF0000"/>
          <w:szCs w:val="21"/>
          <w:highlight w:val="none"/>
          <w:lang w:bidi="zh-CN"/>
        </w:rPr>
        <w:t>固定</w:t>
      </w:r>
      <w:r>
        <w:rPr>
          <w:rFonts w:hint="eastAsia" w:ascii="宋体" w:hAnsi="宋体" w:cs="宋体"/>
          <w:color w:val="FF0000"/>
          <w:szCs w:val="21"/>
          <w:highlight w:val="none"/>
          <w:lang w:val="en-US" w:bidi="zh-CN"/>
        </w:rPr>
        <w:t>单价</w:t>
      </w:r>
      <w:r>
        <w:rPr>
          <w:rFonts w:hint="eastAsia" w:ascii="宋体" w:hAnsi="宋体" w:cs="宋体"/>
          <w:szCs w:val="21"/>
          <w:highlight w:val="none"/>
          <w:lang w:bidi="zh-CN"/>
        </w:rPr>
        <w:t xml:space="preserve">招标(技术要求详见第六章） </w:t>
      </w:r>
      <w:r>
        <w:rPr>
          <w:rFonts w:hint="eastAsia" w:ascii="宋体" w:hAnsi="宋体" w:eastAsia="宋体" w:cs="宋体"/>
          <w:kern w:val="2"/>
          <w:sz w:val="21"/>
          <w:szCs w:val="21"/>
          <w:highlight w:val="none"/>
          <w:lang w:val="en-US" w:eastAsia="zh-CN" w:bidi="zh-CN"/>
        </w:rPr>
        <w:t>。</w:t>
      </w:r>
    </w:p>
    <w:p w14:paraId="33101342">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bidi="zh-CN"/>
        </w:rPr>
      </w:pPr>
      <w:r>
        <w:rPr>
          <w:rFonts w:hint="eastAsia" w:ascii="宋体" w:hAnsi="宋体" w:cs="宋体"/>
          <w:szCs w:val="21"/>
          <w:highlight w:val="none"/>
          <w:lang w:bidi="zh-CN"/>
        </w:rPr>
        <w:t>交货期</w:t>
      </w:r>
      <w:r>
        <w:rPr>
          <w:rFonts w:hint="eastAsia" w:ascii="宋体" w:hAnsi="宋体" w:cs="宋体"/>
          <w:szCs w:val="21"/>
          <w:highlight w:val="none"/>
          <w:lang w:val="zh-CN" w:bidi="zh-CN"/>
        </w:rPr>
        <w:t>：根据</w:t>
      </w:r>
      <w:r>
        <w:rPr>
          <w:rFonts w:hint="eastAsia" w:ascii="宋体" w:hAnsi="宋体" w:cs="宋体"/>
          <w:szCs w:val="21"/>
          <w:highlight w:val="none"/>
          <w:lang w:bidi="zh-CN"/>
        </w:rPr>
        <w:t>招标人</w:t>
      </w:r>
      <w:r>
        <w:rPr>
          <w:rFonts w:hint="eastAsia" w:ascii="宋体" w:hAnsi="宋体" w:cs="宋体"/>
          <w:szCs w:val="21"/>
          <w:highlight w:val="none"/>
          <w:lang w:val="zh-CN" w:bidi="zh-CN"/>
        </w:rPr>
        <w:t>要求</w:t>
      </w:r>
      <w:r>
        <w:rPr>
          <w:rFonts w:hint="eastAsia" w:ascii="宋体" w:hAnsi="宋体" w:cs="宋体"/>
          <w:szCs w:val="21"/>
          <w:highlight w:val="none"/>
          <w:lang w:bidi="zh-CN"/>
        </w:rPr>
        <w:t>的</w:t>
      </w:r>
      <w:r>
        <w:rPr>
          <w:rFonts w:hint="eastAsia" w:ascii="宋体" w:hAnsi="宋体" w:cs="宋体"/>
          <w:szCs w:val="21"/>
          <w:highlight w:val="none"/>
          <w:lang w:val="zh-CN" w:bidi="zh-CN"/>
        </w:rPr>
        <w:t>时间</w:t>
      </w:r>
      <w:r>
        <w:rPr>
          <w:rFonts w:hint="eastAsia" w:ascii="宋体" w:hAnsi="宋体" w:cs="宋体"/>
          <w:szCs w:val="21"/>
          <w:highlight w:val="none"/>
          <w:lang w:bidi="zh-CN"/>
        </w:rPr>
        <w:t>完成配送。</w:t>
      </w:r>
    </w:p>
    <w:p w14:paraId="0BFC0F45">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color w:val="FF0000"/>
          <w:szCs w:val="21"/>
          <w:highlight w:val="none"/>
          <w:lang w:bidi="zh-CN"/>
        </w:rPr>
      </w:pPr>
      <w:r>
        <w:rPr>
          <w:rFonts w:hint="eastAsia" w:ascii="宋体" w:hAnsi="宋体" w:cs="宋体"/>
          <w:szCs w:val="21"/>
          <w:highlight w:val="none"/>
          <w:lang w:bidi="zh-CN"/>
        </w:rPr>
        <w:t>服务期限：</w:t>
      </w:r>
      <w:r>
        <w:rPr>
          <w:rFonts w:hint="eastAsia" w:ascii="宋体" w:hAnsi="宋体" w:cs="宋体"/>
          <w:color w:val="FF0000"/>
          <w:szCs w:val="21"/>
          <w:highlight w:val="none"/>
          <w:lang w:bidi="zh-CN"/>
        </w:rPr>
        <w:t>合同签订之日起</w:t>
      </w:r>
      <w:r>
        <w:rPr>
          <w:rFonts w:hint="eastAsia" w:ascii="宋体" w:hAnsi="宋体" w:cs="宋体"/>
          <w:color w:val="FF0000"/>
          <w:szCs w:val="21"/>
          <w:highlight w:val="none"/>
          <w:lang w:val="en-US" w:bidi="zh-CN"/>
        </w:rPr>
        <w:t>1年</w:t>
      </w:r>
      <w:r>
        <w:rPr>
          <w:rFonts w:hint="eastAsia" w:ascii="宋体" w:hAnsi="宋体" w:cs="宋体"/>
          <w:color w:val="FF0000"/>
          <w:szCs w:val="21"/>
          <w:highlight w:val="none"/>
          <w:lang w:bidi="zh-CN"/>
        </w:rPr>
        <w:t>。</w:t>
      </w:r>
    </w:p>
    <w:p w14:paraId="001903D7">
      <w:pPr>
        <w:pStyle w:val="204"/>
        <w:keepNext w:val="0"/>
        <w:keepLines w:val="0"/>
        <w:pageBreakBefore w:val="0"/>
        <w:numPr>
          <w:ilvl w:val="0"/>
          <w:numId w:val="10"/>
        </w:numPr>
        <w:kinsoku/>
        <w:wordWrap/>
        <w:overflowPunct/>
        <w:topLinePunct w:val="0"/>
        <w:bidi w:val="0"/>
        <w:adjustRightInd/>
        <w:snapToGrid/>
        <w:spacing w:after="0" w:afterLines="0"/>
        <w:ind w:firstLine="420"/>
        <w:textAlignment w:val="auto"/>
        <w:outlineLvl w:val="9"/>
        <w:rPr>
          <w:rFonts w:hint="eastAsia" w:ascii="宋体" w:hAnsi="宋体" w:eastAsia="宋体"/>
          <w:sz w:val="21"/>
          <w:szCs w:val="21"/>
          <w:highlight w:val="none"/>
          <w:lang w:val="en-US"/>
        </w:rPr>
      </w:pPr>
      <w:r>
        <w:rPr>
          <w:rFonts w:hint="eastAsia" w:ascii="宋体" w:hAnsi="宋体" w:eastAsia="宋体"/>
          <w:sz w:val="21"/>
          <w:szCs w:val="21"/>
          <w:highlight w:val="none"/>
          <w:lang w:val="en-US"/>
        </w:rPr>
        <w:t>交货地址：招标人指定交货地点。</w:t>
      </w:r>
    </w:p>
    <w:p w14:paraId="17F65C23">
      <w:pPr>
        <w:pStyle w:val="204"/>
        <w:keepNext w:val="0"/>
        <w:keepLines w:val="0"/>
        <w:pageBreakBefore w:val="0"/>
        <w:numPr>
          <w:ilvl w:val="0"/>
          <w:numId w:val="10"/>
        </w:numPr>
        <w:kinsoku/>
        <w:wordWrap/>
        <w:overflowPunct/>
        <w:topLinePunct w:val="0"/>
        <w:bidi w:val="0"/>
        <w:adjustRightInd/>
        <w:snapToGrid/>
        <w:spacing w:after="0" w:afterLines="0"/>
        <w:ind w:firstLine="420"/>
        <w:textAlignment w:val="auto"/>
        <w:outlineLvl w:val="9"/>
        <w:rPr>
          <w:sz w:val="21"/>
          <w:szCs w:val="21"/>
          <w:highlight w:val="none"/>
          <w:lang w:val="en-US"/>
        </w:rPr>
      </w:pPr>
      <w:r>
        <w:rPr>
          <w:rFonts w:hint="eastAsia" w:ascii="宋体" w:hAnsi="宋体" w:eastAsia="宋体"/>
          <w:sz w:val="21"/>
          <w:szCs w:val="21"/>
          <w:highlight w:val="none"/>
          <w:lang w:val="en-US"/>
        </w:rPr>
        <w:t>文件费：</w:t>
      </w:r>
      <w:r>
        <w:rPr>
          <w:rFonts w:hint="eastAsia" w:ascii="宋体" w:hAnsi="宋体" w:eastAsia="宋体"/>
          <w:sz w:val="21"/>
          <w:szCs w:val="21"/>
          <w:highlight w:val="none"/>
          <w:lang w:val="en-US" w:eastAsia="zh-CN"/>
        </w:rPr>
        <w:t>0</w:t>
      </w:r>
      <w:r>
        <w:rPr>
          <w:rFonts w:hint="eastAsia" w:ascii="宋体" w:hAnsi="宋体" w:eastAsia="宋体"/>
          <w:sz w:val="21"/>
          <w:szCs w:val="21"/>
          <w:highlight w:val="none"/>
          <w:lang w:val="en-US"/>
        </w:rPr>
        <w:t>元/份</w:t>
      </w:r>
      <w:r>
        <w:rPr>
          <w:rFonts w:hint="eastAsia" w:ascii="宋体" w:hAnsi="宋体" w:eastAsia="宋体"/>
          <w:sz w:val="21"/>
          <w:szCs w:val="21"/>
          <w:highlight w:val="none"/>
          <w:lang w:val="en-US" w:eastAsia="zh-CN"/>
        </w:rPr>
        <w:t>.</w:t>
      </w:r>
    </w:p>
    <w:p w14:paraId="55E6A6A4">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凡愿参加投标的合格投标人应在上述规定的时间内按照规定获取招标文件，逾期不再办理。未按规定获取招标文件的投标将被拒绝。报名资料如有缺漏，</w:t>
      </w:r>
      <w:r>
        <w:rPr>
          <w:rFonts w:hint="eastAsia" w:ascii="宋体" w:hAnsi="宋体" w:cs="宋体"/>
          <w:szCs w:val="21"/>
          <w:highlight w:val="none"/>
          <w:lang w:val="en-US" w:bidi="zh-CN"/>
        </w:rPr>
        <w:t>招标</w:t>
      </w:r>
      <w:r>
        <w:rPr>
          <w:rFonts w:hint="eastAsia" w:ascii="宋体" w:hAnsi="宋体" w:cs="宋体"/>
          <w:szCs w:val="21"/>
          <w:highlight w:val="none"/>
          <w:lang w:val="zh-CN" w:bidi="zh-CN"/>
        </w:rPr>
        <w:t>单位将拒绝接受其报名。潜在投标人须保证报名及获得招标文件需提交的资料和所填写内容真实、完整、有效、一致，如因潜在投标人递交虚假材料或填写信息错误导致的与本项目有关的任何损失由潜在投标人或填表者承担。</w:t>
      </w:r>
    </w:p>
    <w:p w14:paraId="1C60361A">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val="zh-CN" w:bidi="zh-CN"/>
        </w:rPr>
      </w:pPr>
      <w:r>
        <w:rPr>
          <w:rFonts w:hint="eastAsia" w:ascii="宋体" w:hAnsi="宋体" w:cs="宋体"/>
          <w:szCs w:val="21"/>
          <w:highlight w:val="none"/>
          <w:lang w:val="zh-CN" w:bidi="zh-CN"/>
        </w:rPr>
        <w:t>如果潜在投标人认为本采购项目投标资格或采购内容中存在倾向性或排斥性的内容，可以在购买招标文件截止时间或者投标截止时间日前以书面形式向</w:t>
      </w:r>
      <w:r>
        <w:rPr>
          <w:rFonts w:hint="eastAsia" w:ascii="宋体" w:hAnsi="宋体" w:cs="宋体"/>
          <w:szCs w:val="21"/>
          <w:highlight w:val="none"/>
          <w:lang w:val="en-US" w:bidi="zh-CN"/>
        </w:rPr>
        <w:t>国药集团扬州威克生物工程有限公司</w:t>
      </w:r>
      <w:r>
        <w:rPr>
          <w:rFonts w:hint="eastAsia" w:ascii="宋体" w:hAnsi="宋体" w:cs="宋体"/>
          <w:szCs w:val="21"/>
          <w:highlight w:val="none"/>
          <w:lang w:val="zh-CN" w:bidi="zh-CN"/>
        </w:rPr>
        <w:t>提出，并附相关证明资料。</w:t>
      </w:r>
    </w:p>
    <w:p w14:paraId="62FBAB5D">
      <w:pPr>
        <w:pStyle w:val="204"/>
        <w:keepNext w:val="0"/>
        <w:keepLines w:val="0"/>
        <w:pageBreakBefore w:val="0"/>
        <w:numPr>
          <w:ilvl w:val="0"/>
          <w:numId w:val="10"/>
        </w:numPr>
        <w:kinsoku/>
        <w:wordWrap/>
        <w:overflowPunct/>
        <w:topLinePunct w:val="0"/>
        <w:bidi w:val="0"/>
        <w:adjustRightInd/>
        <w:snapToGrid/>
        <w:spacing w:after="120"/>
        <w:ind w:firstLineChars="0"/>
        <w:textAlignment w:val="auto"/>
        <w:outlineLvl w:val="9"/>
        <w:rPr>
          <w:rFonts w:hint="eastAsia" w:ascii="宋体" w:hAnsi="宋体" w:eastAsia="宋体"/>
          <w:sz w:val="21"/>
          <w:szCs w:val="21"/>
          <w:highlight w:val="none"/>
          <w:lang w:val="en-US" w:bidi="ar-SA"/>
        </w:rPr>
      </w:pPr>
      <w:r>
        <w:rPr>
          <w:rFonts w:hint="eastAsia" w:ascii="宋体" w:hAnsi="宋体" w:eastAsia="宋体"/>
          <w:sz w:val="21"/>
          <w:szCs w:val="21"/>
          <w:highlight w:val="yellow"/>
        </w:rPr>
        <w:t>本项目公告发布平台：</w:t>
      </w:r>
      <w:r>
        <w:rPr>
          <w:rFonts w:hint="eastAsia" w:ascii="宋体" w:hAnsi="宋体" w:eastAsia="宋体"/>
          <w:sz w:val="21"/>
          <w:szCs w:val="21"/>
          <w:highlight w:val="yellow"/>
          <w:lang w:val="en-US" w:eastAsia="zh-CN"/>
        </w:rPr>
        <w:t>国药集团扬州威克生物工程有限公司官网</w:t>
      </w:r>
      <w:r>
        <w:rPr>
          <w:rFonts w:hint="eastAsia" w:ascii="宋体" w:hAnsi="宋体" w:eastAsia="宋体"/>
          <w:sz w:val="21"/>
          <w:szCs w:val="21"/>
          <w:highlight w:val="yellow"/>
        </w:rPr>
        <w:t>（http：//www.</w:t>
      </w:r>
      <w:r>
        <w:rPr>
          <w:rFonts w:hint="eastAsia" w:ascii="宋体" w:hAnsi="宋体" w:eastAsia="宋体"/>
          <w:sz w:val="21"/>
          <w:szCs w:val="21"/>
          <w:highlight w:val="yellow"/>
          <w:lang w:val="en-US" w:eastAsia="zh-CN"/>
        </w:rPr>
        <w:t>sinopharm-vacbio.com</w:t>
      </w:r>
      <w:r>
        <w:rPr>
          <w:rFonts w:hint="eastAsia" w:ascii="宋体" w:hAnsi="宋体" w:eastAsia="宋体"/>
          <w:sz w:val="21"/>
          <w:szCs w:val="21"/>
          <w:highlight w:val="yellow"/>
        </w:rPr>
        <w:t>）。</w:t>
      </w:r>
      <w:r>
        <w:rPr>
          <w:rFonts w:hint="eastAsia" w:ascii="宋体" w:hAnsi="宋体" w:eastAsia="宋体"/>
          <w:sz w:val="21"/>
          <w:szCs w:val="21"/>
          <w:highlight w:val="none"/>
        </w:rPr>
        <w:t>因轻信其他组织、个人或媒介提供的信息而造成的损失，其责任由投标人自行负责。</w:t>
      </w:r>
    </w:p>
    <w:p w14:paraId="6D647E10">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9" w:name="_Toc16177"/>
      <w:bookmarkStart w:id="30" w:name="_Toc30277"/>
      <w:bookmarkStart w:id="31" w:name="_Toc14869"/>
      <w:r>
        <w:rPr>
          <w:rFonts w:hint="eastAsia" w:ascii="宋体" w:hAnsi="宋体" w:cs="宋体"/>
          <w:b/>
          <w:bCs/>
          <w:szCs w:val="21"/>
          <w:highlight w:val="none"/>
          <w:lang w:val="zh-CN" w:bidi="zh-CN"/>
        </w:rPr>
        <w:t>八、监督部门</w:t>
      </w:r>
      <w:bookmarkEnd w:id="29"/>
      <w:bookmarkEnd w:id="30"/>
      <w:bookmarkEnd w:id="31"/>
    </w:p>
    <w:p w14:paraId="406D941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本招标项目的监督部门为</w:t>
      </w:r>
      <w:r>
        <w:rPr>
          <w:rFonts w:hint="eastAsia" w:ascii="宋体" w:hAnsi="宋体" w:cs="宋体"/>
          <w:szCs w:val="21"/>
          <w:highlight w:val="none"/>
          <w:lang w:val="en-US" w:bidi="zh-CN"/>
        </w:rPr>
        <w:t>扬州威克纪检人员</w:t>
      </w:r>
      <w:r>
        <w:rPr>
          <w:rFonts w:hint="eastAsia" w:ascii="宋体" w:hAnsi="宋体" w:cs="宋体"/>
          <w:szCs w:val="21"/>
          <w:highlight w:val="none"/>
          <w:lang w:val="zh-CN" w:bidi="zh-CN"/>
        </w:rPr>
        <w:t>。</w:t>
      </w:r>
    </w:p>
    <w:p w14:paraId="7227BB7A">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32" w:name="_Toc32313"/>
      <w:bookmarkStart w:id="33" w:name="_Toc21816"/>
      <w:bookmarkStart w:id="34" w:name="_Toc24185"/>
      <w:r>
        <w:rPr>
          <w:rFonts w:hint="eastAsia" w:ascii="宋体" w:hAnsi="宋体" w:cs="宋体"/>
          <w:b/>
          <w:bCs/>
          <w:szCs w:val="21"/>
          <w:highlight w:val="none"/>
          <w:lang w:val="zh-CN" w:bidi="zh-CN"/>
        </w:rPr>
        <w:t>九、联系方式</w:t>
      </w:r>
      <w:bookmarkEnd w:id="32"/>
      <w:bookmarkEnd w:id="33"/>
      <w:bookmarkEnd w:id="34"/>
    </w:p>
    <w:p w14:paraId="7BCDFFB0">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 xml:space="preserve">   招标人：</w:t>
      </w:r>
      <w:r>
        <w:rPr>
          <w:rFonts w:hint="eastAsia" w:ascii="宋体" w:hAnsi="宋体" w:cs="宋体"/>
          <w:szCs w:val="21"/>
          <w:highlight w:val="none"/>
          <w:lang w:bidi="zh-CN"/>
        </w:rPr>
        <w:t>国药集团扬州威克生物工程有限公司</w:t>
      </w:r>
    </w:p>
    <w:p w14:paraId="538CDEF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地 址： 扬州邗江工业园牧羊路15号</w:t>
      </w:r>
    </w:p>
    <w:p w14:paraId="6EE8BB9B">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 xml:space="preserve">   联 系 人：</w:t>
      </w:r>
      <w:r>
        <w:rPr>
          <w:rFonts w:hint="eastAsia" w:ascii="宋体" w:hAnsi="宋体" w:cs="宋体"/>
          <w:szCs w:val="21"/>
          <w:highlight w:val="none"/>
          <w:lang w:val="en-US" w:bidi="zh-CN"/>
        </w:rPr>
        <w:t>陈娟</w:t>
      </w:r>
    </w:p>
    <w:p w14:paraId="1AFFB7DC">
      <w:pPr>
        <w:autoSpaceDE w:val="0"/>
        <w:autoSpaceDN w:val="0"/>
        <w:spacing w:line="360" w:lineRule="auto"/>
        <w:jc w:val="left"/>
        <w:rPr>
          <w:rFonts w:hint="default" w:ascii="宋体" w:hAnsi="宋体" w:cs="宋体"/>
          <w:szCs w:val="21"/>
          <w:highlight w:val="none"/>
          <w:lang w:val="en-US" w:bidi="zh-CN"/>
        </w:rPr>
      </w:pPr>
      <w:r>
        <w:rPr>
          <w:rFonts w:hint="eastAsia" w:ascii="宋体" w:hAnsi="宋体" w:cs="宋体"/>
          <w:szCs w:val="21"/>
          <w:highlight w:val="none"/>
          <w:lang w:val="zh-CN" w:bidi="zh-CN"/>
        </w:rPr>
        <w:t xml:space="preserve">   电 话 ：</w:t>
      </w:r>
      <w:r>
        <w:rPr>
          <w:rFonts w:hint="eastAsia" w:ascii="宋体" w:hAnsi="宋体" w:cs="宋体"/>
          <w:szCs w:val="21"/>
          <w:highlight w:val="none"/>
          <w:lang w:bidi="zh-CN"/>
        </w:rPr>
        <w:t xml:space="preserve"> </w:t>
      </w:r>
      <w:r>
        <w:rPr>
          <w:rFonts w:hint="eastAsia" w:ascii="宋体" w:hAnsi="宋体" w:cs="宋体"/>
          <w:szCs w:val="21"/>
          <w:highlight w:val="none"/>
          <w:lang w:val="en-US" w:bidi="zh-CN"/>
        </w:rPr>
        <w:t>0514-85106680转8022</w:t>
      </w:r>
    </w:p>
    <w:p w14:paraId="0D93A872">
      <w:pPr>
        <w:autoSpaceDE w:val="0"/>
        <w:autoSpaceDN w:val="0"/>
        <w:spacing w:line="360" w:lineRule="auto"/>
        <w:jc w:val="left"/>
        <w:rPr>
          <w:rFonts w:ascii="宋体" w:hAnsi="宋体" w:cs="宋体"/>
          <w:szCs w:val="21"/>
          <w:highlight w:val="none"/>
          <w:lang w:bidi="zh-CN"/>
        </w:rPr>
      </w:pPr>
      <w:r>
        <w:rPr>
          <w:rFonts w:hint="eastAsia" w:ascii="宋体" w:hAnsi="宋体" w:cs="宋体"/>
          <w:szCs w:val="21"/>
          <w:highlight w:val="none"/>
          <w:lang w:val="zh-CN" w:bidi="zh-CN"/>
        </w:rPr>
        <w:t xml:space="preserve">   电子邮件：</w:t>
      </w:r>
      <w:r>
        <w:rPr>
          <w:rFonts w:ascii="宋体" w:hAnsi="宋体" w:eastAsia="宋体" w:cs="宋体"/>
          <w:sz w:val="24"/>
          <w:szCs w:val="24"/>
        </w:rPr>
        <w:t>chenjuan1@sinopharm.com</w:t>
      </w:r>
      <w:r>
        <w:rPr>
          <w:rFonts w:hint="eastAsia" w:ascii="宋体" w:hAnsi="宋体" w:cs="宋体"/>
          <w:szCs w:val="21"/>
          <w:highlight w:val="none"/>
          <w:lang w:val="zh-CN" w:bidi="zh-CN"/>
        </w:rPr>
        <w:t xml:space="preserve">  </w:t>
      </w:r>
    </w:p>
    <w:p w14:paraId="1AF68F01">
      <w:pPr>
        <w:spacing w:line="360" w:lineRule="auto"/>
        <w:ind w:firstLine="420" w:firstLineChars="200"/>
        <w:rPr>
          <w:rFonts w:ascii="宋体" w:hAnsi="宋体" w:cs="Arial"/>
          <w:szCs w:val="21"/>
          <w:highlight w:val="none"/>
          <w:u w:val="single"/>
        </w:rPr>
      </w:pPr>
    </w:p>
    <w:p w14:paraId="7DA3F6E9">
      <w:pPr>
        <w:pStyle w:val="3"/>
        <w:keepNext/>
        <w:keepLines/>
        <w:pageBreakBefore w:val="0"/>
        <w:widowControl w:val="0"/>
        <w:kinsoku/>
        <w:wordWrap/>
        <w:overflowPunct/>
        <w:topLinePunct w:val="0"/>
        <w:autoSpaceDE/>
        <w:autoSpaceDN/>
        <w:bidi w:val="0"/>
        <w:adjustRightInd/>
        <w:snapToGrid/>
        <w:jc w:val="center"/>
        <w:textAlignment w:val="auto"/>
        <w:rPr>
          <w:rFonts w:hint="eastAsia" w:ascii="宋体" w:hAnsi="宋体"/>
          <w:bCs w:val="0"/>
          <w:sz w:val="28"/>
          <w:szCs w:val="28"/>
          <w:highlight w:val="none"/>
        </w:rPr>
      </w:pPr>
      <w:r>
        <w:rPr>
          <w:rFonts w:ascii="宋体" w:hAnsi="宋体"/>
          <w:sz w:val="21"/>
          <w:szCs w:val="21"/>
          <w:highlight w:val="none"/>
        </w:rPr>
        <w:br w:type="page"/>
      </w:r>
      <w:bookmarkStart w:id="35" w:name="_Toc152042303"/>
      <w:bookmarkStart w:id="36" w:name="_Toc233102490"/>
      <w:bookmarkStart w:id="37" w:name="_Toc109736026"/>
      <w:bookmarkStart w:id="38" w:name="_Toc25653"/>
      <w:bookmarkStart w:id="39" w:name="_Toc390940505"/>
      <w:bookmarkStart w:id="40" w:name="_Toc144974495"/>
      <w:bookmarkStart w:id="41" w:name="_Toc152045527"/>
      <w:bookmarkStart w:id="42" w:name="_Toc179632544"/>
      <w:r>
        <w:rPr>
          <w:rFonts w:hint="eastAsia" w:ascii="宋体" w:hAnsi="宋体"/>
          <w:bCs w:val="0"/>
          <w:sz w:val="28"/>
          <w:szCs w:val="28"/>
          <w:highlight w:val="none"/>
        </w:rPr>
        <w:t>第二章 投标人须知</w:t>
      </w:r>
      <w:bookmarkEnd w:id="35"/>
      <w:bookmarkEnd w:id="36"/>
      <w:bookmarkEnd w:id="37"/>
      <w:bookmarkEnd w:id="38"/>
      <w:bookmarkEnd w:id="39"/>
      <w:bookmarkEnd w:id="40"/>
      <w:bookmarkEnd w:id="41"/>
      <w:bookmarkEnd w:id="42"/>
    </w:p>
    <w:p w14:paraId="4B23993D">
      <w:pPr>
        <w:pStyle w:val="202"/>
        <w:keepNext/>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b/>
          <w:sz w:val="21"/>
          <w:szCs w:val="21"/>
          <w:highlight w:val="none"/>
          <w:lang w:val="en-US" w:eastAsia="zh-CN"/>
        </w:rPr>
      </w:pPr>
      <w:bookmarkStart w:id="43" w:name="_Toc390940506"/>
      <w:bookmarkStart w:id="44" w:name="_Toc152045528"/>
      <w:bookmarkStart w:id="45" w:name="_Toc109736027"/>
      <w:bookmarkStart w:id="46" w:name="_Toc233102491"/>
      <w:bookmarkStart w:id="47" w:name="_Toc152042304"/>
      <w:bookmarkStart w:id="48" w:name="_Toc179632545"/>
      <w:bookmarkStart w:id="49" w:name="_Toc144974496"/>
      <w:bookmarkStart w:id="50" w:name="_Toc20399"/>
      <w:bookmarkStart w:id="51" w:name="_Toc18804"/>
      <w:r>
        <w:rPr>
          <w:rFonts w:hint="eastAsia" w:ascii="宋体" w:hAnsi="宋体" w:eastAsia="宋体"/>
          <w:b/>
          <w:sz w:val="21"/>
          <w:szCs w:val="21"/>
          <w:highlight w:val="none"/>
        </w:rPr>
        <w:t>投标人须知前附表</w:t>
      </w:r>
      <w:bookmarkEnd w:id="43"/>
      <w:bookmarkEnd w:id="44"/>
      <w:bookmarkEnd w:id="45"/>
      <w:bookmarkEnd w:id="46"/>
      <w:bookmarkEnd w:id="47"/>
      <w:bookmarkEnd w:id="48"/>
      <w:bookmarkEnd w:id="49"/>
      <w:bookmarkEnd w:id="50"/>
      <w:bookmarkEnd w:id="51"/>
    </w:p>
    <w:p w14:paraId="166CDBA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cs="微软雅黑"/>
          <w:b/>
          <w:kern w:val="0"/>
          <w:szCs w:val="21"/>
          <w:highlight w:val="none"/>
        </w:rPr>
      </w:pPr>
      <w:r>
        <w:rPr>
          <w:rFonts w:hint="eastAsia" w:ascii="宋体" w:hAnsi="宋体" w:cs="微软雅黑"/>
          <w:b/>
          <w:kern w:val="0"/>
          <w:szCs w:val="21"/>
          <w:highlight w:val="none"/>
        </w:rPr>
        <w:t>本表是对“投标人须知”的具体补充和修改，如有矛盾，应以本表内容为准。</w:t>
      </w:r>
    </w:p>
    <w:p w14:paraId="077D9A9B">
      <w:pPr>
        <w:rPr>
          <w:rFonts w:ascii="宋体" w:hAnsi="宋体"/>
          <w:szCs w:val="21"/>
          <w:highlight w:val="none"/>
        </w:rPr>
      </w:pPr>
    </w:p>
    <w:tbl>
      <w:tblPr>
        <w:tblStyle w:val="51"/>
        <w:tblW w:w="0" w:type="auto"/>
        <w:tblInd w:w="2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60"/>
        <w:gridCol w:w="7387"/>
      </w:tblGrid>
      <w:tr w14:paraId="55BCE0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trPr>
        <w:tc>
          <w:tcPr>
            <w:tcW w:w="1260" w:type="dxa"/>
            <w:noWrap w:val="0"/>
            <w:vAlign w:val="center"/>
          </w:tcPr>
          <w:p w14:paraId="308248D6">
            <w:pPr>
              <w:jc w:val="center"/>
              <w:rPr>
                <w:rFonts w:ascii="宋体" w:hAnsi="宋体"/>
                <w:b/>
                <w:szCs w:val="21"/>
                <w:highlight w:val="none"/>
              </w:rPr>
            </w:pPr>
            <w:r>
              <w:rPr>
                <w:rFonts w:hint="eastAsia" w:ascii="宋体" w:hAnsi="宋体"/>
                <w:b/>
                <w:szCs w:val="21"/>
                <w:highlight w:val="none"/>
              </w:rPr>
              <w:t>条款号</w:t>
            </w:r>
          </w:p>
        </w:tc>
        <w:tc>
          <w:tcPr>
            <w:tcW w:w="7387" w:type="dxa"/>
            <w:noWrap w:val="0"/>
            <w:vAlign w:val="center"/>
          </w:tcPr>
          <w:p w14:paraId="0DB241F1">
            <w:pPr>
              <w:jc w:val="center"/>
              <w:rPr>
                <w:rFonts w:ascii="宋体" w:hAnsi="宋体"/>
                <w:b/>
                <w:szCs w:val="21"/>
                <w:highlight w:val="none"/>
              </w:rPr>
            </w:pPr>
            <w:r>
              <w:rPr>
                <w:rFonts w:hint="eastAsia" w:ascii="宋体" w:hAnsi="宋体"/>
                <w:b/>
                <w:szCs w:val="21"/>
                <w:highlight w:val="none"/>
              </w:rPr>
              <w:t>内      容</w:t>
            </w:r>
          </w:p>
        </w:tc>
      </w:tr>
      <w:tr w14:paraId="5CBEA0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trPr>
        <w:tc>
          <w:tcPr>
            <w:tcW w:w="1260" w:type="dxa"/>
            <w:noWrap w:val="0"/>
            <w:vAlign w:val="center"/>
          </w:tcPr>
          <w:p w14:paraId="79DF06B2">
            <w:pPr>
              <w:spacing w:line="320" w:lineRule="exact"/>
              <w:jc w:val="center"/>
              <w:rPr>
                <w:rFonts w:ascii="宋体" w:hAnsi="宋体"/>
                <w:b/>
                <w:szCs w:val="21"/>
                <w:highlight w:val="none"/>
              </w:rPr>
            </w:pPr>
            <w:r>
              <w:rPr>
                <w:rFonts w:hint="eastAsia" w:ascii="宋体" w:hAnsi="宋体"/>
                <w:b/>
                <w:szCs w:val="21"/>
                <w:highlight w:val="none"/>
              </w:rPr>
              <w:t>1.1</w:t>
            </w:r>
          </w:p>
        </w:tc>
        <w:tc>
          <w:tcPr>
            <w:tcW w:w="7387" w:type="dxa"/>
            <w:noWrap w:val="0"/>
            <w:vAlign w:val="center"/>
          </w:tcPr>
          <w:p w14:paraId="6EBD83FC">
            <w:pPr>
              <w:spacing w:line="360" w:lineRule="auto"/>
              <w:ind w:left="630" w:hanging="630" w:hangingChars="300"/>
              <w:rPr>
                <w:rFonts w:hint="eastAsia" w:ascii="宋体" w:hAnsi="宋体"/>
                <w:szCs w:val="21"/>
                <w:highlight w:val="none"/>
              </w:rPr>
            </w:pPr>
            <w:r>
              <w:rPr>
                <w:rFonts w:ascii="宋体" w:hAnsi="宋体"/>
                <w:szCs w:val="21"/>
                <w:highlight w:val="none"/>
              </w:rPr>
              <w:t>招标人名称：国药集团扬州威克生物工程有限公司</w:t>
            </w:r>
          </w:p>
          <w:p w14:paraId="082BC3DA">
            <w:pPr>
              <w:spacing w:line="360" w:lineRule="auto"/>
              <w:ind w:left="630" w:hanging="630" w:hangingChars="300"/>
              <w:rPr>
                <w:rFonts w:hint="eastAsia" w:ascii="宋体" w:hAnsi="宋体"/>
                <w:szCs w:val="21"/>
                <w:highlight w:val="none"/>
              </w:rPr>
            </w:pPr>
            <w:r>
              <w:rPr>
                <w:rFonts w:ascii="宋体" w:hAnsi="宋体"/>
                <w:szCs w:val="21"/>
                <w:highlight w:val="none"/>
              </w:rPr>
              <w:t>地</w:t>
            </w:r>
            <w:r>
              <w:rPr>
                <w:rFonts w:hint="eastAsia" w:ascii="宋体" w:hAnsi="宋体"/>
                <w:szCs w:val="21"/>
                <w:highlight w:val="none"/>
              </w:rPr>
              <w:t xml:space="preserve">  </w:t>
            </w:r>
            <w:r>
              <w:rPr>
                <w:rFonts w:ascii="宋体" w:hAnsi="宋体"/>
                <w:szCs w:val="21"/>
                <w:highlight w:val="none"/>
              </w:rPr>
              <w:t>址：</w:t>
            </w:r>
            <w:r>
              <w:rPr>
                <w:rFonts w:hint="eastAsia" w:ascii="宋体" w:hAnsi="宋体"/>
                <w:szCs w:val="21"/>
                <w:highlight w:val="none"/>
              </w:rPr>
              <w:t>扬州邗江工业园牧羊路15号</w:t>
            </w:r>
          </w:p>
          <w:p w14:paraId="635C10B1">
            <w:pPr>
              <w:spacing w:line="360" w:lineRule="auto"/>
              <w:ind w:left="630" w:hanging="630" w:hangingChars="300"/>
              <w:rPr>
                <w:rFonts w:hint="eastAsia" w:ascii="宋体" w:hAnsi="宋体" w:eastAsia="宋体"/>
                <w:szCs w:val="21"/>
                <w:highlight w:val="none"/>
                <w:lang w:val="en-US" w:eastAsia="zh-CN"/>
              </w:rPr>
            </w:pPr>
            <w:r>
              <w:rPr>
                <w:rFonts w:hint="eastAsia" w:ascii="宋体" w:hAnsi="宋体"/>
                <w:szCs w:val="21"/>
                <w:highlight w:val="none"/>
              </w:rPr>
              <w:t>联  系  人：</w:t>
            </w:r>
            <w:r>
              <w:rPr>
                <w:rFonts w:hint="eastAsia" w:ascii="宋体" w:hAnsi="宋体"/>
                <w:szCs w:val="21"/>
                <w:highlight w:val="none"/>
                <w:lang w:val="en-US" w:eastAsia="zh-CN"/>
              </w:rPr>
              <w:t>陈娟</w:t>
            </w:r>
          </w:p>
          <w:p w14:paraId="7E699972">
            <w:pPr>
              <w:spacing w:line="360" w:lineRule="auto"/>
              <w:ind w:left="630" w:hanging="630" w:hangingChars="300"/>
              <w:rPr>
                <w:rFonts w:hint="eastAsia" w:ascii="宋体" w:hAnsi="宋体" w:eastAsia="宋体"/>
                <w:szCs w:val="21"/>
                <w:highlight w:val="none"/>
                <w:u w:val="single"/>
                <w:lang w:eastAsia="zh-CN"/>
              </w:rPr>
            </w:pPr>
            <w:r>
              <w:rPr>
                <w:rFonts w:hint="eastAsia" w:ascii="宋体" w:hAnsi="宋体"/>
                <w:szCs w:val="21"/>
                <w:highlight w:val="none"/>
              </w:rPr>
              <w:t>电      话：</w:t>
            </w:r>
            <w:r>
              <w:rPr>
                <w:rFonts w:ascii="宋体" w:hAnsi="宋体"/>
                <w:szCs w:val="21"/>
                <w:highlight w:val="none"/>
              </w:rPr>
              <w:t>0514-8510</w:t>
            </w:r>
            <w:r>
              <w:rPr>
                <w:rFonts w:hint="eastAsia" w:ascii="宋体" w:hAnsi="宋体"/>
                <w:szCs w:val="21"/>
                <w:highlight w:val="none"/>
              </w:rPr>
              <w:t>6680</w:t>
            </w:r>
            <w:r>
              <w:rPr>
                <w:rFonts w:hint="eastAsia" w:ascii="宋体" w:hAnsi="宋体"/>
                <w:szCs w:val="21"/>
                <w:highlight w:val="none"/>
                <w:lang w:val="en-US" w:eastAsia="zh-CN"/>
              </w:rPr>
              <w:t>转</w:t>
            </w:r>
            <w:r>
              <w:rPr>
                <w:rFonts w:hint="eastAsia" w:ascii="宋体" w:hAnsi="宋体"/>
                <w:szCs w:val="21"/>
                <w:highlight w:val="none"/>
              </w:rPr>
              <w:t>802</w:t>
            </w:r>
            <w:r>
              <w:rPr>
                <w:rFonts w:hint="eastAsia" w:ascii="宋体" w:hAnsi="宋体"/>
                <w:szCs w:val="21"/>
                <w:highlight w:val="none"/>
                <w:lang w:val="en-US" w:eastAsia="zh-CN"/>
              </w:rPr>
              <w:t>2</w:t>
            </w:r>
          </w:p>
        </w:tc>
      </w:tr>
      <w:tr w14:paraId="7F260D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3" w:hRule="atLeast"/>
        </w:trPr>
        <w:tc>
          <w:tcPr>
            <w:tcW w:w="1260" w:type="dxa"/>
            <w:tcBorders>
              <w:bottom w:val="single" w:color="auto" w:sz="4" w:space="0"/>
            </w:tcBorders>
            <w:noWrap w:val="0"/>
            <w:vAlign w:val="center"/>
          </w:tcPr>
          <w:p w14:paraId="5C55C5E1">
            <w:pPr>
              <w:spacing w:line="320" w:lineRule="exact"/>
              <w:jc w:val="center"/>
              <w:rPr>
                <w:rFonts w:ascii="宋体" w:hAnsi="宋体"/>
                <w:b/>
                <w:szCs w:val="21"/>
                <w:highlight w:val="none"/>
              </w:rPr>
            </w:pPr>
            <w:r>
              <w:rPr>
                <w:rFonts w:hint="eastAsia" w:ascii="宋体" w:hAnsi="宋体"/>
                <w:b/>
                <w:szCs w:val="21"/>
                <w:highlight w:val="none"/>
              </w:rPr>
              <w:t>1.2</w:t>
            </w:r>
          </w:p>
        </w:tc>
        <w:tc>
          <w:tcPr>
            <w:tcW w:w="7387" w:type="dxa"/>
            <w:tcBorders>
              <w:bottom w:val="single" w:color="auto" w:sz="4" w:space="0"/>
            </w:tcBorders>
            <w:noWrap w:val="0"/>
            <w:vAlign w:val="center"/>
          </w:tcPr>
          <w:p w14:paraId="496CCB38">
            <w:pPr>
              <w:spacing w:line="360" w:lineRule="auto"/>
              <w:ind w:left="630" w:hanging="630" w:hangingChars="300"/>
              <w:rPr>
                <w:rFonts w:hint="eastAsia"/>
                <w:highlight w:val="none"/>
              </w:rPr>
            </w:pPr>
            <w:r>
              <w:rPr>
                <w:rFonts w:hint="eastAsia"/>
                <w:highlight w:val="none"/>
              </w:rPr>
              <w:t>1．在中国境内注册的法人或其他组织，遵守中国的法律、法规和条例；</w:t>
            </w:r>
          </w:p>
          <w:p w14:paraId="48CF7663">
            <w:pPr>
              <w:spacing w:line="360" w:lineRule="auto"/>
              <w:ind w:left="630" w:hanging="630" w:hangingChars="300"/>
              <w:rPr>
                <w:rFonts w:hint="eastAsia"/>
                <w:highlight w:val="none"/>
              </w:rPr>
            </w:pPr>
            <w:r>
              <w:rPr>
                <w:rFonts w:hint="eastAsia"/>
                <w:highlight w:val="none"/>
              </w:rPr>
              <w:t>2．具有良好的财务状况(提供202</w:t>
            </w:r>
            <w:r>
              <w:rPr>
                <w:rFonts w:hint="eastAsia"/>
                <w:highlight w:val="none"/>
                <w:lang w:val="en-US" w:eastAsia="zh-CN"/>
              </w:rPr>
              <w:t>5</w:t>
            </w:r>
            <w:r>
              <w:rPr>
                <w:rFonts w:hint="eastAsia"/>
                <w:highlight w:val="none"/>
              </w:rPr>
              <w:t>年年度经会计师事务所审计财务报表，含资</w:t>
            </w:r>
          </w:p>
          <w:p w14:paraId="78B8C69D">
            <w:pPr>
              <w:spacing w:line="360" w:lineRule="auto"/>
              <w:rPr>
                <w:rFonts w:hint="eastAsia"/>
                <w:highlight w:val="none"/>
              </w:rPr>
            </w:pPr>
            <w:r>
              <w:rPr>
                <w:rFonts w:hint="eastAsia"/>
                <w:highlight w:val="none"/>
              </w:rPr>
              <w:t>产负债表、损益表（利润表）、现金流量表，有依法缴纳税收和社会</w:t>
            </w:r>
          </w:p>
          <w:p w14:paraId="6CD0A093">
            <w:pPr>
              <w:spacing w:line="360" w:lineRule="auto"/>
              <w:ind w:left="630" w:hanging="630" w:hangingChars="300"/>
              <w:rPr>
                <w:rFonts w:hint="eastAsia"/>
                <w:highlight w:val="none"/>
              </w:rPr>
            </w:pPr>
            <w:r>
              <w:rPr>
                <w:rFonts w:hint="eastAsia"/>
                <w:highlight w:val="none"/>
              </w:rPr>
              <w:t>3．投标人应为拟投产品生产商或代理商，如果投标人是代理商，应提供所投产</w:t>
            </w:r>
          </w:p>
          <w:p w14:paraId="7FEF9827">
            <w:pPr>
              <w:spacing w:line="360" w:lineRule="auto"/>
              <w:ind w:left="630" w:hanging="630" w:hangingChars="300"/>
              <w:rPr>
                <w:rFonts w:hint="eastAsia"/>
                <w:highlight w:val="none"/>
              </w:rPr>
            </w:pPr>
            <w:r>
              <w:rPr>
                <w:rFonts w:hint="eastAsia"/>
                <w:highlight w:val="none"/>
              </w:rPr>
              <w:t>品生产商出具的合法且在有效期内的授权书；</w:t>
            </w:r>
          </w:p>
          <w:p w14:paraId="6E213718">
            <w:pPr>
              <w:spacing w:line="360" w:lineRule="auto"/>
              <w:ind w:left="630" w:hanging="630" w:hangingChars="300"/>
              <w:rPr>
                <w:rFonts w:hint="eastAsia"/>
                <w:highlight w:val="none"/>
              </w:rPr>
            </w:pPr>
            <w:r>
              <w:rPr>
                <w:rFonts w:hint="eastAsia"/>
                <w:highlight w:val="none"/>
              </w:rPr>
              <w:t>4．投标人法定代表人为同一个人的两个及两个以上法人，母公司与全资子公司/</w:t>
            </w:r>
          </w:p>
          <w:p w14:paraId="1AEB6E72">
            <w:pPr>
              <w:spacing w:line="360" w:lineRule="auto"/>
              <w:ind w:left="630" w:hanging="630" w:hangingChars="300"/>
              <w:rPr>
                <w:rFonts w:hint="eastAsia"/>
                <w:highlight w:val="none"/>
              </w:rPr>
            </w:pPr>
            <w:r>
              <w:rPr>
                <w:rFonts w:hint="eastAsia"/>
                <w:highlight w:val="none"/>
              </w:rPr>
              <w:t>由其控股的子公司，不得同时参与本项目；</w:t>
            </w:r>
          </w:p>
          <w:p w14:paraId="432D4781">
            <w:pPr>
              <w:spacing w:line="360" w:lineRule="auto"/>
              <w:ind w:left="630" w:hanging="630" w:hangingChars="300"/>
              <w:rPr>
                <w:rFonts w:hint="eastAsia"/>
                <w:highlight w:val="none"/>
              </w:rPr>
            </w:pPr>
            <w:r>
              <w:rPr>
                <w:rFonts w:hint="eastAsia"/>
                <w:highlight w:val="none"/>
              </w:rPr>
              <w:t>5．投标人在法律和财务上独立、合法运作并独立于招标人，不得直接或间接地</w:t>
            </w:r>
          </w:p>
          <w:p w14:paraId="117B7D00">
            <w:pPr>
              <w:spacing w:line="360" w:lineRule="auto"/>
              <w:ind w:left="630" w:hanging="630" w:hangingChars="300"/>
              <w:rPr>
                <w:rFonts w:hint="eastAsia"/>
                <w:highlight w:val="none"/>
              </w:rPr>
            </w:pPr>
            <w:r>
              <w:rPr>
                <w:rFonts w:hint="eastAsia"/>
                <w:highlight w:val="none"/>
              </w:rPr>
              <w:t>与招标人为本项目所委托的咨询公司或其附属机构有任何关联；</w:t>
            </w:r>
          </w:p>
          <w:p w14:paraId="2B49F067">
            <w:pPr>
              <w:spacing w:line="360" w:lineRule="auto"/>
              <w:ind w:left="630" w:hanging="630" w:hangingChars="300"/>
              <w:rPr>
                <w:rFonts w:hint="eastAsia"/>
                <w:highlight w:val="none"/>
              </w:rPr>
            </w:pPr>
            <w:r>
              <w:rPr>
                <w:rFonts w:hint="eastAsia"/>
                <w:highlight w:val="none"/>
              </w:rPr>
              <w:t>6．投标人须保证，招标人在其本国使用其提供的货物及服务时，不存在任何已</w:t>
            </w:r>
          </w:p>
          <w:p w14:paraId="0620A67E">
            <w:pPr>
              <w:spacing w:line="360" w:lineRule="auto"/>
              <w:ind w:left="630" w:hanging="630" w:hangingChars="300"/>
              <w:rPr>
                <w:rFonts w:hint="eastAsia"/>
                <w:highlight w:val="none"/>
              </w:rPr>
            </w:pPr>
            <w:r>
              <w:rPr>
                <w:rFonts w:hint="eastAsia"/>
                <w:highlight w:val="none"/>
              </w:rPr>
              <w:t>知的不合法的情形，也不存在任何已知的与第三方专利权、著作权、商标权或工</w:t>
            </w:r>
          </w:p>
          <w:p w14:paraId="360D0617">
            <w:pPr>
              <w:spacing w:line="360" w:lineRule="auto"/>
              <w:ind w:left="630" w:hanging="630" w:hangingChars="300"/>
              <w:rPr>
                <w:rFonts w:hint="eastAsia"/>
                <w:highlight w:val="none"/>
              </w:rPr>
            </w:pPr>
            <w:r>
              <w:rPr>
                <w:rFonts w:hint="eastAsia"/>
                <w:highlight w:val="none"/>
              </w:rPr>
              <w:t>业设计权相关的任何争议。如果有任何因招标人使用投标人提供的服务而提起的</w:t>
            </w:r>
          </w:p>
          <w:p w14:paraId="1397861D">
            <w:pPr>
              <w:spacing w:line="360" w:lineRule="auto"/>
              <w:ind w:left="630" w:hanging="630" w:hangingChars="300"/>
              <w:rPr>
                <w:rFonts w:hint="eastAsia"/>
                <w:highlight w:val="none"/>
              </w:rPr>
            </w:pPr>
            <w:r>
              <w:rPr>
                <w:rFonts w:hint="eastAsia"/>
                <w:highlight w:val="none"/>
              </w:rPr>
              <w:t>侵权指控，投标人须依法承担全部责任；</w:t>
            </w:r>
          </w:p>
          <w:p w14:paraId="3F4DD696">
            <w:pPr>
              <w:spacing w:line="360" w:lineRule="auto"/>
              <w:ind w:left="630" w:hanging="630" w:hangingChars="300"/>
              <w:rPr>
                <w:rFonts w:hint="eastAsia"/>
                <w:highlight w:val="none"/>
              </w:rPr>
            </w:pPr>
            <w:r>
              <w:rPr>
                <w:rFonts w:hint="eastAsia"/>
                <w:highlight w:val="none"/>
              </w:rPr>
              <w:t>7．投标人须承诺企业及企业法定代表人近三年内未受到监管机构重大处罚、无</w:t>
            </w:r>
          </w:p>
          <w:p w14:paraId="70B2590B">
            <w:pPr>
              <w:spacing w:line="360" w:lineRule="auto"/>
              <w:ind w:left="630" w:hanging="630" w:hangingChars="300"/>
              <w:rPr>
                <w:rFonts w:hint="eastAsia"/>
                <w:highlight w:val="none"/>
              </w:rPr>
            </w:pPr>
            <w:r>
              <w:rPr>
                <w:rFonts w:hint="eastAsia"/>
                <w:highlight w:val="none"/>
              </w:rPr>
              <w:t>行贿受贿违法行为、未被“信用中国网站”（www.creditchina.gov.cn）列入失</w:t>
            </w:r>
          </w:p>
          <w:p w14:paraId="6E37FAD8">
            <w:pPr>
              <w:spacing w:line="360" w:lineRule="auto"/>
              <w:ind w:left="630" w:hanging="630" w:hangingChars="300"/>
              <w:rPr>
                <w:rFonts w:hint="eastAsia"/>
                <w:highlight w:val="none"/>
              </w:rPr>
            </w:pPr>
            <w:r>
              <w:rPr>
                <w:rFonts w:hint="eastAsia"/>
                <w:highlight w:val="none"/>
              </w:rPr>
              <w:t>信被执行人、重大税收违法案件当事人名单、政府采购严重违法失信名单，具有</w:t>
            </w:r>
          </w:p>
          <w:p w14:paraId="691CB018">
            <w:pPr>
              <w:spacing w:line="360" w:lineRule="auto"/>
              <w:ind w:left="630" w:hanging="630" w:hangingChars="300"/>
              <w:rPr>
                <w:rFonts w:hint="eastAsia"/>
                <w:highlight w:val="none"/>
              </w:rPr>
            </w:pPr>
            <w:r>
              <w:rPr>
                <w:rFonts w:hint="eastAsia"/>
                <w:highlight w:val="none"/>
              </w:rPr>
              <w:t>较强的风险控制和较好的经营业绩且经营状况良好，严格遵守国家有关的法律法</w:t>
            </w:r>
          </w:p>
          <w:p w14:paraId="3B3662FC">
            <w:pPr>
              <w:spacing w:line="360" w:lineRule="auto"/>
              <w:ind w:left="630" w:hanging="630" w:hangingChars="300"/>
              <w:rPr>
                <w:rFonts w:hint="eastAsia"/>
                <w:highlight w:val="none"/>
              </w:rPr>
            </w:pPr>
            <w:r>
              <w:rPr>
                <w:rFonts w:hint="eastAsia"/>
                <w:highlight w:val="none"/>
              </w:rPr>
              <w:t>规，内部管理规范、控制制度严密，具有严格的操作规程和保密措施；</w:t>
            </w:r>
          </w:p>
          <w:p w14:paraId="782EE886">
            <w:pPr>
              <w:spacing w:line="360" w:lineRule="auto"/>
              <w:ind w:left="630" w:hanging="630" w:hangingChars="300"/>
              <w:rPr>
                <w:rFonts w:hint="eastAsia"/>
                <w:highlight w:val="none"/>
              </w:rPr>
            </w:pPr>
            <w:r>
              <w:rPr>
                <w:rFonts w:hint="eastAsia"/>
                <w:highlight w:val="none"/>
              </w:rPr>
              <w:t>8．投标人不得将本项目招标内容以任何方式进行转包或分包；</w:t>
            </w:r>
          </w:p>
          <w:p w14:paraId="63891AB7">
            <w:pPr>
              <w:spacing w:line="360" w:lineRule="auto"/>
              <w:ind w:left="630" w:hanging="630" w:hangingChars="300"/>
              <w:rPr>
                <w:rFonts w:hint="default" w:eastAsia="宋体"/>
                <w:highlight w:val="none"/>
                <w:lang w:val="en-US" w:eastAsia="zh-CN"/>
              </w:rPr>
            </w:pPr>
            <w:r>
              <w:rPr>
                <w:rFonts w:hint="eastAsia"/>
                <w:highlight w:val="none"/>
              </w:rPr>
              <w:t>9．本项目不接受联合体投标。</w:t>
            </w:r>
          </w:p>
        </w:tc>
      </w:tr>
      <w:tr w14:paraId="2E0061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22FFF7F3">
            <w:pPr>
              <w:spacing w:line="360" w:lineRule="auto"/>
              <w:jc w:val="center"/>
              <w:rPr>
                <w:rFonts w:hint="eastAsia" w:ascii="宋体" w:hAnsi="宋体"/>
                <w:b/>
                <w:szCs w:val="21"/>
                <w:highlight w:val="none"/>
              </w:rPr>
            </w:pPr>
            <w:r>
              <w:rPr>
                <w:rFonts w:hint="eastAsia" w:ascii="宋体" w:hAnsi="宋体"/>
                <w:b/>
                <w:szCs w:val="21"/>
                <w:highlight w:val="none"/>
              </w:rPr>
              <w:t>条款号</w:t>
            </w:r>
          </w:p>
        </w:tc>
        <w:tc>
          <w:tcPr>
            <w:tcW w:w="7387" w:type="dxa"/>
            <w:tcBorders>
              <w:bottom w:val="single" w:color="auto" w:sz="4" w:space="0"/>
            </w:tcBorders>
            <w:noWrap w:val="0"/>
            <w:vAlign w:val="center"/>
          </w:tcPr>
          <w:p w14:paraId="1E85B518">
            <w:pPr>
              <w:spacing w:line="360" w:lineRule="auto"/>
              <w:jc w:val="center"/>
              <w:rPr>
                <w:rFonts w:hint="eastAsia" w:ascii="宋体" w:hAnsi="宋体" w:cs="Arial"/>
                <w:szCs w:val="21"/>
                <w:highlight w:val="none"/>
              </w:rPr>
            </w:pPr>
            <w:r>
              <w:rPr>
                <w:rFonts w:hint="eastAsia" w:ascii="宋体" w:hAnsi="宋体"/>
                <w:b/>
                <w:szCs w:val="21"/>
                <w:highlight w:val="none"/>
              </w:rPr>
              <w:t>内容</w:t>
            </w:r>
          </w:p>
        </w:tc>
      </w:tr>
      <w:tr w14:paraId="62E591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22179F71">
            <w:pPr>
              <w:spacing w:line="320" w:lineRule="exact"/>
              <w:jc w:val="center"/>
              <w:rPr>
                <w:rFonts w:hint="eastAsia" w:ascii="宋体" w:hAnsi="宋体"/>
                <w:b/>
                <w:szCs w:val="21"/>
                <w:highlight w:val="none"/>
              </w:rPr>
            </w:pPr>
            <w:r>
              <w:rPr>
                <w:rFonts w:hint="eastAsia" w:ascii="宋体" w:hAnsi="宋体"/>
                <w:b/>
                <w:szCs w:val="21"/>
                <w:highlight w:val="none"/>
              </w:rPr>
              <w:t>1.3</w:t>
            </w:r>
          </w:p>
        </w:tc>
        <w:tc>
          <w:tcPr>
            <w:tcW w:w="7387" w:type="dxa"/>
            <w:tcBorders>
              <w:bottom w:val="single" w:color="auto" w:sz="4" w:space="0"/>
            </w:tcBorders>
            <w:noWrap w:val="0"/>
            <w:vAlign w:val="center"/>
          </w:tcPr>
          <w:p w14:paraId="36F5C6C1">
            <w:pPr>
              <w:spacing w:line="320" w:lineRule="exact"/>
              <w:rPr>
                <w:rFonts w:ascii="宋体" w:hAnsi="宋体" w:cs="Arial"/>
                <w:szCs w:val="21"/>
                <w:highlight w:val="none"/>
              </w:rPr>
            </w:pPr>
            <w:r>
              <w:rPr>
                <w:rFonts w:hint="eastAsia" w:ascii="宋体" w:hAnsi="宋体" w:cs="Arial"/>
                <w:szCs w:val="21"/>
                <w:highlight w:val="none"/>
              </w:rPr>
              <w:t>本项目不接受联合体投标。</w:t>
            </w:r>
          </w:p>
        </w:tc>
      </w:tr>
      <w:tr w14:paraId="304370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2BF7EF78">
            <w:pPr>
              <w:spacing w:line="360" w:lineRule="auto"/>
              <w:jc w:val="center"/>
              <w:rPr>
                <w:rFonts w:ascii="宋体" w:hAnsi="宋体" w:cs="Arial"/>
                <w:b/>
                <w:kern w:val="2"/>
                <w:sz w:val="21"/>
                <w:szCs w:val="21"/>
                <w:highlight w:val="none"/>
                <w:lang w:val="en-US" w:eastAsia="zh-CN" w:bidi="ar-SA"/>
              </w:rPr>
            </w:pPr>
            <w:r>
              <w:rPr>
                <w:rFonts w:hint="eastAsia" w:ascii="宋体" w:hAnsi="宋体" w:cs="Arial"/>
                <w:b/>
                <w:szCs w:val="21"/>
                <w:highlight w:val="none"/>
              </w:rPr>
              <w:t>2</w:t>
            </w:r>
          </w:p>
        </w:tc>
        <w:tc>
          <w:tcPr>
            <w:tcW w:w="7387" w:type="dxa"/>
            <w:tcBorders>
              <w:bottom w:val="single" w:color="auto" w:sz="4" w:space="0"/>
            </w:tcBorders>
            <w:noWrap w:val="0"/>
            <w:vAlign w:val="center"/>
          </w:tcPr>
          <w:p w14:paraId="08C6970A">
            <w:pPr>
              <w:spacing w:line="360" w:lineRule="auto"/>
              <w:rPr>
                <w:rFonts w:ascii="宋体" w:hAnsi="宋体" w:cs="Arial"/>
                <w:kern w:val="2"/>
                <w:sz w:val="21"/>
                <w:szCs w:val="21"/>
                <w:highlight w:val="none"/>
                <w:lang w:val="en-US" w:eastAsia="zh-CN" w:bidi="ar-SA"/>
              </w:rPr>
            </w:pPr>
            <w:r>
              <w:rPr>
                <w:rFonts w:hint="eastAsia" w:ascii="宋体" w:hAnsi="宋体" w:cs="Arial"/>
                <w:szCs w:val="21"/>
                <w:highlight w:val="none"/>
              </w:rPr>
              <w:t>本项目资金来源：企业自筹</w:t>
            </w:r>
          </w:p>
        </w:tc>
      </w:tr>
      <w:tr w14:paraId="2CB6D2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61FD0476">
            <w:pPr>
              <w:spacing w:line="320" w:lineRule="exact"/>
              <w:jc w:val="center"/>
              <w:rPr>
                <w:rFonts w:hint="eastAsia" w:ascii="宋体" w:hAnsi="宋体" w:eastAsia="宋体" w:cs="Arial"/>
                <w:b/>
                <w:szCs w:val="21"/>
                <w:highlight w:val="none"/>
                <w:lang w:eastAsia="zh-CN"/>
              </w:rPr>
            </w:pPr>
            <w:r>
              <w:rPr>
                <w:rFonts w:hint="eastAsia" w:ascii="宋体" w:hAnsi="宋体" w:cs="Arial"/>
                <w:b/>
                <w:szCs w:val="21"/>
                <w:highlight w:val="none"/>
                <w:lang w:val="en-US" w:eastAsia="zh-CN"/>
              </w:rPr>
              <w:t>3</w:t>
            </w:r>
          </w:p>
        </w:tc>
        <w:tc>
          <w:tcPr>
            <w:tcW w:w="7387" w:type="dxa"/>
            <w:tcBorders>
              <w:bottom w:val="single" w:color="auto" w:sz="4" w:space="0"/>
            </w:tcBorders>
            <w:noWrap w:val="0"/>
            <w:vAlign w:val="center"/>
          </w:tcPr>
          <w:p w14:paraId="3A4DD793">
            <w:pPr>
              <w:spacing w:line="320" w:lineRule="exact"/>
              <w:rPr>
                <w:rFonts w:ascii="宋体" w:hAnsi="宋体" w:cs="Arial"/>
                <w:szCs w:val="21"/>
                <w:highlight w:val="none"/>
              </w:rPr>
            </w:pPr>
            <w:r>
              <w:rPr>
                <w:rFonts w:ascii="宋体" w:hAnsi="宋体" w:cs="Arial"/>
                <w:szCs w:val="21"/>
                <w:highlight w:val="none"/>
              </w:rPr>
              <w:t>是否允许提供备选方案：否</w:t>
            </w:r>
          </w:p>
        </w:tc>
      </w:tr>
      <w:tr w14:paraId="40E104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0AFFF662">
            <w:pPr>
              <w:spacing w:line="360" w:lineRule="auto"/>
              <w:jc w:val="center"/>
              <w:rPr>
                <w:rFonts w:hint="eastAsia" w:ascii="宋体" w:hAnsi="宋体" w:eastAsia="宋体" w:cs="Arial"/>
                <w:b/>
                <w:szCs w:val="21"/>
                <w:highlight w:val="none"/>
                <w:lang w:eastAsia="zh-CN"/>
              </w:rPr>
            </w:pPr>
            <w:r>
              <w:rPr>
                <w:rFonts w:hint="eastAsia" w:ascii="宋体" w:hAnsi="宋体" w:cs="Arial"/>
                <w:b/>
                <w:szCs w:val="21"/>
                <w:highlight w:val="none"/>
                <w:lang w:val="en-US" w:eastAsia="zh-CN"/>
              </w:rPr>
              <w:t>4</w:t>
            </w:r>
          </w:p>
        </w:tc>
        <w:tc>
          <w:tcPr>
            <w:tcW w:w="7387" w:type="dxa"/>
            <w:tcBorders>
              <w:bottom w:val="single" w:color="auto" w:sz="4" w:space="0"/>
            </w:tcBorders>
            <w:noWrap w:val="0"/>
            <w:vAlign w:val="center"/>
          </w:tcPr>
          <w:p w14:paraId="513E5012">
            <w:pPr>
              <w:spacing w:line="360" w:lineRule="auto"/>
              <w:rPr>
                <w:rFonts w:ascii="宋体" w:hAnsi="宋体" w:cs="Arial"/>
                <w:szCs w:val="21"/>
                <w:highlight w:val="none"/>
              </w:rPr>
            </w:pPr>
            <w:r>
              <w:rPr>
                <w:rFonts w:hint="eastAsia" w:ascii="宋体" w:hAnsi="宋体" w:cs="Arial"/>
                <w:szCs w:val="21"/>
                <w:highlight w:val="none"/>
              </w:rPr>
              <w:t>生产厂商</w:t>
            </w:r>
            <w:r>
              <w:rPr>
                <w:rFonts w:ascii="宋体" w:hAnsi="宋体" w:cs="Arial"/>
                <w:szCs w:val="21"/>
                <w:highlight w:val="none"/>
              </w:rPr>
              <w:t>的资格声明：是</w:t>
            </w:r>
          </w:p>
          <w:p w14:paraId="3B94F1C3">
            <w:pPr>
              <w:spacing w:line="360" w:lineRule="auto"/>
              <w:rPr>
                <w:rFonts w:ascii="宋体" w:hAnsi="宋体" w:cs="Arial"/>
                <w:szCs w:val="21"/>
                <w:highlight w:val="none"/>
              </w:rPr>
            </w:pPr>
            <w:r>
              <w:rPr>
                <w:rFonts w:hint="eastAsia" w:ascii="宋体" w:hAnsi="宋体" w:cs="Arial"/>
                <w:szCs w:val="21"/>
                <w:highlight w:val="none"/>
              </w:rPr>
              <w:t>生产厂商</w:t>
            </w:r>
            <w:r>
              <w:rPr>
                <w:rFonts w:ascii="宋体" w:hAnsi="宋体" w:cs="Arial"/>
                <w:szCs w:val="21"/>
                <w:highlight w:val="none"/>
              </w:rPr>
              <w:t>的授权书：提供</w:t>
            </w:r>
            <w:r>
              <w:rPr>
                <w:rFonts w:hint="eastAsia" w:ascii="宋体" w:hAnsi="宋体" w:cs="Arial"/>
                <w:szCs w:val="21"/>
                <w:highlight w:val="none"/>
              </w:rPr>
              <w:t>有效期内</w:t>
            </w:r>
            <w:r>
              <w:rPr>
                <w:rFonts w:ascii="宋体" w:hAnsi="宋体" w:cs="Arial"/>
                <w:szCs w:val="21"/>
                <w:highlight w:val="none"/>
              </w:rPr>
              <w:t>生产厂商关于本项目授权（函）</w:t>
            </w:r>
            <w:r>
              <w:rPr>
                <w:rFonts w:hint="eastAsia" w:ascii="宋体" w:hAnsi="宋体" w:cs="Arial"/>
                <w:szCs w:val="21"/>
                <w:highlight w:val="none"/>
              </w:rPr>
              <w:t>原</w:t>
            </w:r>
            <w:r>
              <w:rPr>
                <w:rFonts w:ascii="宋体" w:hAnsi="宋体" w:cs="Arial"/>
                <w:szCs w:val="21"/>
                <w:highlight w:val="none"/>
              </w:rPr>
              <w:t>件。</w:t>
            </w:r>
          </w:p>
          <w:p w14:paraId="49982037">
            <w:pPr>
              <w:spacing w:line="360" w:lineRule="auto"/>
              <w:rPr>
                <w:rFonts w:ascii="宋体" w:hAnsi="宋体" w:cs="Arial"/>
                <w:szCs w:val="21"/>
                <w:highlight w:val="none"/>
              </w:rPr>
            </w:pPr>
            <w:r>
              <w:rPr>
                <w:rFonts w:ascii="宋体" w:hAnsi="宋体" w:cs="Arial"/>
                <w:szCs w:val="21"/>
                <w:highlight w:val="none"/>
              </w:rPr>
              <w:t>其他可接受的</w:t>
            </w:r>
            <w:r>
              <w:rPr>
                <w:rFonts w:hint="eastAsia" w:ascii="宋体" w:hAnsi="宋体" w:cs="Arial"/>
                <w:szCs w:val="21"/>
                <w:highlight w:val="none"/>
              </w:rPr>
              <w:t>生产厂商</w:t>
            </w:r>
            <w:r>
              <w:rPr>
                <w:rFonts w:ascii="宋体" w:hAnsi="宋体" w:cs="Arial"/>
                <w:szCs w:val="21"/>
                <w:highlight w:val="none"/>
              </w:rPr>
              <w:t>授权形式</w:t>
            </w:r>
            <w:r>
              <w:rPr>
                <w:rFonts w:hint="eastAsia" w:ascii="宋体" w:hAnsi="宋体" w:cs="Arial"/>
                <w:szCs w:val="21"/>
                <w:highlight w:val="none"/>
              </w:rPr>
              <w:t>：</w:t>
            </w:r>
            <w:r>
              <w:rPr>
                <w:rFonts w:ascii="宋体" w:hAnsi="宋体" w:cs="Arial"/>
                <w:szCs w:val="21"/>
                <w:highlight w:val="none"/>
              </w:rPr>
              <w:t>合法渠道获得的销售证明文件。</w:t>
            </w:r>
          </w:p>
        </w:tc>
      </w:tr>
      <w:tr w14:paraId="7B08F8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43" w:hRule="atLeast"/>
        </w:trPr>
        <w:tc>
          <w:tcPr>
            <w:tcW w:w="1260" w:type="dxa"/>
            <w:noWrap w:val="0"/>
            <w:vAlign w:val="center"/>
          </w:tcPr>
          <w:p w14:paraId="7D3C962D">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5</w:t>
            </w:r>
          </w:p>
        </w:tc>
        <w:tc>
          <w:tcPr>
            <w:tcW w:w="7387" w:type="dxa"/>
            <w:noWrap w:val="0"/>
            <w:vAlign w:val="center"/>
          </w:tcPr>
          <w:p w14:paraId="66A4DF05">
            <w:pPr>
              <w:spacing w:line="320" w:lineRule="exact"/>
              <w:rPr>
                <w:rFonts w:hint="eastAsia" w:ascii="宋体" w:hAnsi="宋体"/>
                <w:szCs w:val="21"/>
                <w:highlight w:val="none"/>
              </w:rPr>
            </w:pPr>
            <w:r>
              <w:rPr>
                <w:rFonts w:hint="eastAsia" w:ascii="宋体" w:hAnsi="宋体"/>
                <w:b/>
                <w:szCs w:val="21"/>
                <w:highlight w:val="none"/>
              </w:rPr>
              <w:t>投标保证金：</w:t>
            </w:r>
            <w:r>
              <w:rPr>
                <w:rFonts w:hint="eastAsia" w:ascii="宋体" w:hAnsi="宋体"/>
                <w:szCs w:val="21"/>
                <w:highlight w:val="none"/>
              </w:rPr>
              <w:t>无。</w:t>
            </w:r>
          </w:p>
          <w:p w14:paraId="293DAF31">
            <w:pPr>
              <w:spacing w:line="360" w:lineRule="exact"/>
              <w:rPr>
                <w:rFonts w:ascii="宋体" w:hAnsi="宋体"/>
                <w:b/>
                <w:szCs w:val="21"/>
                <w:highlight w:val="none"/>
              </w:rPr>
            </w:pPr>
          </w:p>
        </w:tc>
      </w:tr>
      <w:tr w14:paraId="21304C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trPr>
        <w:tc>
          <w:tcPr>
            <w:tcW w:w="1260" w:type="dxa"/>
            <w:noWrap w:val="0"/>
            <w:vAlign w:val="center"/>
          </w:tcPr>
          <w:p w14:paraId="349DB232">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6</w:t>
            </w:r>
          </w:p>
        </w:tc>
        <w:tc>
          <w:tcPr>
            <w:tcW w:w="7387" w:type="dxa"/>
            <w:noWrap w:val="0"/>
            <w:vAlign w:val="center"/>
          </w:tcPr>
          <w:p w14:paraId="09DD5039">
            <w:pPr>
              <w:spacing w:line="320" w:lineRule="exact"/>
              <w:ind w:left="1592" w:hanging="1592"/>
              <w:rPr>
                <w:rFonts w:hint="eastAsia" w:ascii="宋体" w:hAnsi="宋体" w:eastAsia="宋体"/>
                <w:szCs w:val="21"/>
                <w:highlight w:val="none"/>
                <w:u w:val="single"/>
                <w:lang w:val="en-US" w:eastAsia="zh-CN"/>
              </w:rPr>
            </w:pPr>
            <w:r>
              <w:rPr>
                <w:rFonts w:hint="eastAsia" w:ascii="宋体" w:hAnsi="宋体"/>
                <w:szCs w:val="21"/>
                <w:highlight w:val="none"/>
              </w:rPr>
              <w:t>投标有效期：自投标截止之日起120天</w:t>
            </w:r>
            <w:r>
              <w:rPr>
                <w:rFonts w:hint="eastAsia" w:ascii="宋体" w:hAnsi="宋体"/>
                <w:szCs w:val="21"/>
                <w:highlight w:val="none"/>
                <w:lang w:eastAsia="zh-CN"/>
              </w:rPr>
              <w:t>。</w:t>
            </w:r>
          </w:p>
        </w:tc>
      </w:tr>
      <w:tr w14:paraId="167B13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4" w:hRule="atLeast"/>
        </w:trPr>
        <w:tc>
          <w:tcPr>
            <w:tcW w:w="1260" w:type="dxa"/>
            <w:noWrap w:val="0"/>
            <w:vAlign w:val="center"/>
          </w:tcPr>
          <w:p w14:paraId="0C984468">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7</w:t>
            </w:r>
          </w:p>
        </w:tc>
        <w:tc>
          <w:tcPr>
            <w:tcW w:w="7387" w:type="dxa"/>
            <w:noWrap w:val="0"/>
            <w:vAlign w:val="center"/>
          </w:tcPr>
          <w:p w14:paraId="536DA057">
            <w:pPr>
              <w:spacing w:line="320" w:lineRule="exact"/>
              <w:rPr>
                <w:highlight w:val="none"/>
              </w:rPr>
            </w:pPr>
            <w:r>
              <w:rPr>
                <w:rFonts w:hint="eastAsia"/>
                <w:highlight w:val="none"/>
              </w:rPr>
              <w:t>投标文件：正本：1份，副本：2份，可编辑的电子文档（U盘）：1份</w:t>
            </w:r>
            <w:r>
              <w:rPr>
                <w:highlight w:val="none"/>
              </w:rPr>
              <w:t>（电子文件与纸质文件内容不符时，以纸质文件的正本为准）</w:t>
            </w:r>
            <w:r>
              <w:rPr>
                <w:rFonts w:hint="eastAsia"/>
                <w:highlight w:val="none"/>
              </w:rPr>
              <w:t>，未按要求提供的，将导致废标。</w:t>
            </w:r>
          </w:p>
        </w:tc>
      </w:tr>
      <w:tr w14:paraId="1248CD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83" w:hRule="atLeast"/>
        </w:trPr>
        <w:tc>
          <w:tcPr>
            <w:tcW w:w="1260" w:type="dxa"/>
            <w:noWrap w:val="0"/>
            <w:vAlign w:val="center"/>
          </w:tcPr>
          <w:p w14:paraId="38102D4C">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8</w:t>
            </w:r>
          </w:p>
        </w:tc>
        <w:tc>
          <w:tcPr>
            <w:tcW w:w="7387" w:type="dxa"/>
            <w:noWrap w:val="0"/>
            <w:vAlign w:val="center"/>
          </w:tcPr>
          <w:p w14:paraId="7676911B">
            <w:pPr>
              <w:spacing w:line="320" w:lineRule="exact"/>
              <w:rPr>
                <w:rFonts w:hint="eastAsia" w:ascii="宋体" w:hAnsi="宋体"/>
                <w:b/>
                <w:bCs/>
                <w:szCs w:val="21"/>
                <w:highlight w:val="yellow"/>
                <w:u w:val="single"/>
              </w:rPr>
            </w:pPr>
            <w:r>
              <w:rPr>
                <w:rFonts w:hint="eastAsia" w:ascii="宋体" w:hAnsi="宋体"/>
                <w:szCs w:val="21"/>
                <w:highlight w:val="none"/>
              </w:rPr>
              <w:t>投标截止期：</w:t>
            </w:r>
            <w:r>
              <w:rPr>
                <w:rFonts w:hint="eastAsia" w:ascii="宋体" w:hAnsi="宋体"/>
                <w:b/>
                <w:bCs/>
                <w:szCs w:val="21"/>
                <w:highlight w:val="yellow"/>
                <w:u w:val="single"/>
              </w:rPr>
              <w:t>以</w:t>
            </w:r>
            <w:r>
              <w:rPr>
                <w:rFonts w:hint="eastAsia" w:ascii="宋体" w:hAnsi="宋体"/>
                <w:b/>
                <w:bCs/>
                <w:szCs w:val="21"/>
                <w:highlight w:val="yellow"/>
                <w:u w:val="single"/>
                <w:lang w:eastAsia="zh-CN"/>
              </w:rPr>
              <w:t>采购公告</w:t>
            </w:r>
            <w:r>
              <w:rPr>
                <w:rFonts w:hint="eastAsia" w:ascii="宋体" w:hAnsi="宋体"/>
                <w:b/>
                <w:bCs/>
                <w:szCs w:val="21"/>
                <w:highlight w:val="yellow"/>
                <w:u w:val="single"/>
              </w:rPr>
              <w:t>时间为准（（北京时间）</w:t>
            </w:r>
          </w:p>
          <w:p w14:paraId="266CF4D9">
            <w:pPr>
              <w:spacing w:line="320" w:lineRule="exact"/>
              <w:rPr>
                <w:rFonts w:hint="eastAsia" w:ascii="宋体" w:hAnsi="宋体"/>
                <w:szCs w:val="21"/>
                <w:highlight w:val="none"/>
              </w:rPr>
            </w:pPr>
            <w:r>
              <w:rPr>
                <w:rFonts w:hint="eastAsia" w:ascii="宋体" w:hAnsi="宋体"/>
                <w:szCs w:val="21"/>
                <w:highlight w:val="none"/>
              </w:rPr>
              <w:t xml:space="preserve">递交文件地点: </w:t>
            </w:r>
            <w:r>
              <w:rPr>
                <w:rFonts w:hint="eastAsia" w:ascii="宋体" w:hAnsi="宋体"/>
                <w:b/>
                <w:bCs/>
                <w:szCs w:val="21"/>
                <w:highlight w:val="none"/>
                <w:u w:val="single"/>
              </w:rPr>
              <w:t>江苏省扬州市邗江区牧羊路15号办公楼</w:t>
            </w:r>
            <w:r>
              <w:rPr>
                <w:rFonts w:hint="eastAsia" w:ascii="宋体" w:hAnsi="宋体"/>
                <w:b/>
                <w:bCs/>
                <w:szCs w:val="21"/>
                <w:highlight w:val="none"/>
                <w:u w:val="single"/>
                <w:lang w:val="en-US" w:eastAsia="zh-CN"/>
              </w:rPr>
              <w:t>综合管理部</w:t>
            </w:r>
            <w:r>
              <w:rPr>
                <w:rFonts w:hint="eastAsia" w:ascii="宋体" w:hAnsi="宋体"/>
                <w:b/>
                <w:bCs/>
                <w:szCs w:val="21"/>
                <w:highlight w:val="none"/>
                <w:u w:val="single"/>
              </w:rPr>
              <w:t>（可邮寄）</w:t>
            </w:r>
          </w:p>
          <w:p w14:paraId="6C2D7C4A">
            <w:pPr>
              <w:spacing w:line="320" w:lineRule="exact"/>
              <w:rPr>
                <w:rFonts w:ascii="宋体" w:hAnsi="宋体"/>
                <w:szCs w:val="21"/>
                <w:highlight w:val="none"/>
              </w:rPr>
            </w:pPr>
            <w:r>
              <w:rPr>
                <w:rFonts w:hint="eastAsia" w:ascii="宋体" w:hAnsi="宋体"/>
                <w:szCs w:val="21"/>
                <w:highlight w:val="none"/>
              </w:rPr>
              <w:t>(</w:t>
            </w:r>
            <w:r>
              <w:rPr>
                <w:rFonts w:ascii="宋体" w:hAnsi="宋体"/>
                <w:szCs w:val="21"/>
                <w:highlight w:val="none"/>
              </w:rPr>
              <w:t>若未按上述要求按时递交，则其投标文件</w:t>
            </w:r>
            <w:r>
              <w:rPr>
                <w:rFonts w:hint="eastAsia" w:ascii="宋体" w:hAnsi="宋体"/>
                <w:szCs w:val="21"/>
                <w:highlight w:val="none"/>
              </w:rPr>
              <w:t>将被拒绝</w:t>
            </w:r>
            <w:r>
              <w:rPr>
                <w:rFonts w:ascii="宋体" w:hAnsi="宋体"/>
                <w:szCs w:val="21"/>
                <w:highlight w:val="none"/>
              </w:rPr>
              <w:t>）</w:t>
            </w:r>
          </w:p>
        </w:tc>
      </w:tr>
      <w:tr w14:paraId="1F5EA1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26" w:hRule="atLeast"/>
        </w:trPr>
        <w:tc>
          <w:tcPr>
            <w:tcW w:w="1260" w:type="dxa"/>
            <w:noWrap w:val="0"/>
            <w:vAlign w:val="center"/>
          </w:tcPr>
          <w:p w14:paraId="42753CA5">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9</w:t>
            </w:r>
          </w:p>
        </w:tc>
        <w:tc>
          <w:tcPr>
            <w:tcW w:w="7387" w:type="dxa"/>
            <w:noWrap w:val="0"/>
            <w:vAlign w:val="center"/>
          </w:tcPr>
          <w:p w14:paraId="1914F731">
            <w:pPr>
              <w:spacing w:line="320" w:lineRule="exact"/>
              <w:rPr>
                <w:rFonts w:ascii="宋体" w:hAnsi="宋体"/>
                <w:szCs w:val="21"/>
                <w:highlight w:val="none"/>
                <w:u w:val="single"/>
              </w:rPr>
            </w:pPr>
            <w:r>
              <w:rPr>
                <w:rFonts w:hint="eastAsia" w:ascii="宋体" w:hAnsi="宋体"/>
                <w:szCs w:val="21"/>
                <w:highlight w:val="none"/>
              </w:rPr>
              <w:t>开标时间：</w:t>
            </w:r>
            <w:r>
              <w:rPr>
                <w:rFonts w:hint="eastAsia" w:ascii="宋体" w:hAnsi="宋体"/>
                <w:b/>
                <w:bCs/>
                <w:szCs w:val="21"/>
                <w:highlight w:val="none"/>
                <w:u w:val="single"/>
              </w:rPr>
              <w:t>具体时间提前通知</w:t>
            </w:r>
            <w:r>
              <w:rPr>
                <w:rFonts w:hint="eastAsia" w:ascii="宋体" w:hAnsi="宋体"/>
                <w:szCs w:val="21"/>
                <w:highlight w:val="none"/>
              </w:rPr>
              <w:t>（北京时间）</w:t>
            </w:r>
          </w:p>
          <w:p w14:paraId="7124792A">
            <w:pPr>
              <w:spacing w:line="320" w:lineRule="exact"/>
              <w:rPr>
                <w:rFonts w:hint="default" w:ascii="宋体" w:hAnsi="宋体" w:eastAsia="宋体"/>
                <w:szCs w:val="21"/>
                <w:highlight w:val="none"/>
                <w:lang w:val="en-US" w:eastAsia="zh-CN"/>
              </w:rPr>
            </w:pPr>
            <w:r>
              <w:rPr>
                <w:rFonts w:hint="eastAsia" w:ascii="宋体" w:hAnsi="宋体"/>
                <w:szCs w:val="21"/>
                <w:highlight w:val="none"/>
              </w:rPr>
              <w:t>开标地点：</w:t>
            </w:r>
            <w:r>
              <w:rPr>
                <w:rFonts w:hint="eastAsia" w:ascii="宋体" w:hAnsi="宋体"/>
                <w:b/>
                <w:bCs/>
                <w:szCs w:val="21"/>
                <w:highlight w:val="none"/>
                <w:u w:val="single"/>
              </w:rPr>
              <w:t>江苏省扬州市邗江区牧羊路15号办公楼二楼大会议室</w:t>
            </w:r>
            <w:r>
              <w:rPr>
                <w:rFonts w:hint="eastAsia" w:ascii="宋体" w:hAnsi="宋体"/>
                <w:b/>
                <w:bCs/>
                <w:szCs w:val="21"/>
                <w:highlight w:val="none"/>
                <w:u w:val="single"/>
                <w:lang w:eastAsia="zh-CN"/>
              </w:rPr>
              <w:t>（</w:t>
            </w:r>
            <w:r>
              <w:rPr>
                <w:rFonts w:hint="eastAsia" w:ascii="宋体" w:hAnsi="宋体"/>
                <w:b/>
                <w:bCs/>
                <w:szCs w:val="21"/>
                <w:highlight w:val="none"/>
                <w:u w:val="single"/>
                <w:lang w:val="en-US" w:eastAsia="zh-CN"/>
              </w:rPr>
              <w:t>视频会议远程开标）</w:t>
            </w:r>
          </w:p>
        </w:tc>
      </w:tr>
      <w:tr w14:paraId="6A8E30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16" w:hRule="atLeast"/>
        </w:trPr>
        <w:tc>
          <w:tcPr>
            <w:tcW w:w="1260" w:type="dxa"/>
            <w:tcBorders>
              <w:bottom w:val="single" w:color="auto" w:sz="4" w:space="0"/>
            </w:tcBorders>
            <w:noWrap w:val="0"/>
            <w:vAlign w:val="center"/>
          </w:tcPr>
          <w:p w14:paraId="255516F1">
            <w:pPr>
              <w:spacing w:line="320" w:lineRule="exact"/>
              <w:jc w:val="center"/>
              <w:rPr>
                <w:rFonts w:hint="default" w:ascii="宋体" w:hAnsi="宋体" w:eastAsia="宋体"/>
                <w:b/>
                <w:szCs w:val="21"/>
                <w:highlight w:val="none"/>
                <w:lang w:val="en-US" w:eastAsia="zh-CN"/>
              </w:rPr>
            </w:pPr>
            <w:r>
              <w:rPr>
                <w:rFonts w:hint="eastAsia" w:ascii="宋体" w:hAnsi="宋体"/>
                <w:b/>
                <w:szCs w:val="21"/>
                <w:highlight w:val="none"/>
                <w:lang w:val="en-US" w:eastAsia="zh-CN"/>
              </w:rPr>
              <w:t>10</w:t>
            </w:r>
          </w:p>
        </w:tc>
        <w:tc>
          <w:tcPr>
            <w:tcW w:w="7387" w:type="dxa"/>
            <w:tcBorders>
              <w:bottom w:val="single" w:color="auto" w:sz="4" w:space="0"/>
            </w:tcBorders>
            <w:noWrap w:val="0"/>
            <w:vAlign w:val="center"/>
          </w:tcPr>
          <w:p w14:paraId="4C25EED2">
            <w:pPr>
              <w:spacing w:line="320" w:lineRule="exact"/>
              <w:rPr>
                <w:rFonts w:hint="eastAsia" w:ascii="宋体" w:hAnsi="宋体"/>
                <w:szCs w:val="21"/>
                <w:highlight w:val="none"/>
              </w:rPr>
            </w:pPr>
            <w:r>
              <w:rPr>
                <w:rFonts w:hint="eastAsia" w:ascii="宋体" w:hAnsi="宋体"/>
                <w:szCs w:val="21"/>
                <w:highlight w:val="none"/>
              </w:rPr>
              <w:t>评标方法：22.2（2）综合评分法  （适用）</w:t>
            </w:r>
          </w:p>
          <w:p w14:paraId="22710063">
            <w:pPr>
              <w:spacing w:line="320" w:lineRule="exact"/>
              <w:ind w:firstLine="1050" w:firstLineChars="500"/>
              <w:rPr>
                <w:rFonts w:ascii="宋体" w:hAnsi="宋体"/>
                <w:szCs w:val="21"/>
                <w:highlight w:val="none"/>
              </w:rPr>
            </w:pPr>
            <w:r>
              <w:rPr>
                <w:rFonts w:hint="eastAsia" w:ascii="宋体" w:hAnsi="宋体"/>
                <w:szCs w:val="21"/>
                <w:highlight w:val="none"/>
              </w:rPr>
              <w:t>22.2（1）最低评标价法（不适用）</w:t>
            </w:r>
          </w:p>
        </w:tc>
      </w:tr>
      <w:tr w14:paraId="5CA23D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54" w:hRule="atLeast"/>
        </w:trPr>
        <w:tc>
          <w:tcPr>
            <w:tcW w:w="1260" w:type="dxa"/>
            <w:tcBorders>
              <w:top w:val="single" w:color="auto" w:sz="4" w:space="0"/>
            </w:tcBorders>
            <w:noWrap w:val="0"/>
            <w:vAlign w:val="center"/>
          </w:tcPr>
          <w:p w14:paraId="2C0DC6CC">
            <w:pPr>
              <w:spacing w:line="320" w:lineRule="exact"/>
              <w:jc w:val="center"/>
              <w:rPr>
                <w:rFonts w:ascii="宋体" w:hAnsi="宋体"/>
                <w:b/>
                <w:szCs w:val="21"/>
                <w:highlight w:val="none"/>
              </w:rPr>
            </w:pPr>
            <w:r>
              <w:rPr>
                <w:rFonts w:hint="eastAsia" w:ascii="宋体" w:hAnsi="宋体"/>
                <w:b/>
                <w:szCs w:val="21"/>
                <w:highlight w:val="none"/>
              </w:rPr>
              <w:t>30.1</w:t>
            </w:r>
          </w:p>
        </w:tc>
        <w:tc>
          <w:tcPr>
            <w:tcW w:w="7387" w:type="dxa"/>
            <w:tcBorders>
              <w:top w:val="single" w:color="auto" w:sz="4" w:space="0"/>
              <w:bottom w:val="single" w:color="auto" w:sz="4" w:space="0"/>
            </w:tcBorders>
            <w:noWrap w:val="0"/>
            <w:vAlign w:val="center"/>
          </w:tcPr>
          <w:p w14:paraId="37680227">
            <w:pPr>
              <w:spacing w:line="360" w:lineRule="auto"/>
              <w:rPr>
                <w:rFonts w:ascii="宋体" w:hAnsi="宋体" w:cs="Arial"/>
                <w:szCs w:val="21"/>
                <w:highlight w:val="none"/>
              </w:rPr>
            </w:pPr>
            <w:r>
              <w:rPr>
                <w:rFonts w:hint="eastAsia" w:ascii="宋体" w:hAnsi="宋体"/>
                <w:szCs w:val="21"/>
                <w:highlight w:val="none"/>
              </w:rPr>
              <w:t>履约保证金：</w:t>
            </w:r>
            <w:r>
              <w:rPr>
                <w:rFonts w:hint="eastAsia" w:ascii="宋体" w:hAnsi="宋体" w:cs="Arial"/>
                <w:szCs w:val="21"/>
                <w:highlight w:val="none"/>
              </w:rPr>
              <w:t>参照合同</w:t>
            </w:r>
          </w:p>
          <w:p w14:paraId="0C3C33FC">
            <w:pPr>
              <w:spacing w:line="320" w:lineRule="exact"/>
              <w:rPr>
                <w:rFonts w:ascii="宋体" w:hAnsi="宋体" w:cs="Arial"/>
                <w:szCs w:val="21"/>
                <w:highlight w:val="none"/>
              </w:rPr>
            </w:pPr>
            <w:r>
              <w:rPr>
                <w:rFonts w:hint="eastAsia" w:ascii="宋体" w:hAnsi="宋体" w:cs="Arial"/>
                <w:szCs w:val="21"/>
                <w:highlight w:val="none"/>
              </w:rPr>
              <w:t>履约保证金形式：</w:t>
            </w:r>
            <w:r>
              <w:rPr>
                <w:rFonts w:hint="eastAsia" w:ascii="宋体" w:hAnsi="宋体" w:cs="Arial"/>
                <w:szCs w:val="21"/>
                <w:highlight w:val="none"/>
                <w:u w:val="single"/>
              </w:rPr>
              <w:t>支票或者电汇</w:t>
            </w:r>
          </w:p>
        </w:tc>
      </w:tr>
      <w:tr w14:paraId="4A06B6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1" w:hRule="atLeast"/>
        </w:trPr>
        <w:tc>
          <w:tcPr>
            <w:tcW w:w="8647" w:type="dxa"/>
            <w:gridSpan w:val="2"/>
            <w:tcBorders>
              <w:bottom w:val="single" w:color="auto" w:sz="4" w:space="0"/>
            </w:tcBorders>
            <w:noWrap w:val="0"/>
            <w:vAlign w:val="center"/>
          </w:tcPr>
          <w:p w14:paraId="02CB3DC8">
            <w:pPr>
              <w:spacing w:line="320" w:lineRule="exact"/>
              <w:jc w:val="center"/>
              <w:rPr>
                <w:rFonts w:hint="eastAsia" w:ascii="宋体" w:hAnsi="宋体"/>
                <w:b/>
                <w:szCs w:val="21"/>
                <w:highlight w:val="none"/>
              </w:rPr>
            </w:pPr>
            <w:r>
              <w:rPr>
                <w:rFonts w:ascii="宋体" w:hAnsi="宋体" w:cs="Arial"/>
                <w:b/>
                <w:szCs w:val="21"/>
                <w:highlight w:val="none"/>
              </w:rPr>
              <w:t>适用于本投标人须知的额外增加的变动</w:t>
            </w:r>
          </w:p>
        </w:tc>
      </w:tr>
      <w:tr w14:paraId="68A34C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trPr>
        <w:tc>
          <w:tcPr>
            <w:tcW w:w="8647" w:type="dxa"/>
            <w:gridSpan w:val="2"/>
            <w:noWrap w:val="0"/>
            <w:vAlign w:val="center"/>
          </w:tcPr>
          <w:p w14:paraId="0FFA2C5E">
            <w:pPr>
              <w:spacing w:line="360" w:lineRule="auto"/>
              <w:rPr>
                <w:rFonts w:hint="eastAsia"/>
                <w:highlight w:val="none"/>
              </w:rPr>
            </w:pPr>
            <w:r>
              <w:rPr>
                <w:rFonts w:hint="eastAsia"/>
                <w:highlight w:val="none"/>
                <w:lang w:val="en-US" w:eastAsia="zh-CN"/>
              </w:rPr>
              <w:t>1</w:t>
            </w:r>
            <w:r>
              <w:rPr>
                <w:rFonts w:hint="eastAsia"/>
                <w:highlight w:val="none"/>
              </w:rPr>
              <w:t>、招标文件“第</w:t>
            </w:r>
            <w:r>
              <w:rPr>
                <w:rFonts w:hint="eastAsia"/>
                <w:highlight w:val="none"/>
                <w:lang w:val="en-US" w:eastAsia="zh-CN"/>
              </w:rPr>
              <w:t>六</w:t>
            </w:r>
            <w:r>
              <w:rPr>
                <w:rFonts w:hint="eastAsia"/>
                <w:highlight w:val="none"/>
              </w:rPr>
              <w:t>章 货物需求一览表及技术要求”中“必需”的条款为关键技术于参数要求，如不满足，其投标将被否决。</w:t>
            </w:r>
          </w:p>
          <w:p w14:paraId="294567C6">
            <w:pPr>
              <w:spacing w:line="360" w:lineRule="auto"/>
              <w:rPr>
                <w:rFonts w:hint="eastAsia"/>
                <w:highlight w:val="none"/>
              </w:rPr>
            </w:pPr>
            <w:r>
              <w:rPr>
                <w:rFonts w:hint="eastAsia"/>
                <w:highlight w:val="none"/>
                <w:lang w:val="en-US" w:eastAsia="zh-CN"/>
              </w:rPr>
              <w:t>2</w:t>
            </w:r>
            <w:r>
              <w:rPr>
                <w:rFonts w:hint="eastAsia"/>
                <w:highlight w:val="none"/>
              </w:rPr>
              <w:t>、各投标单位应签署</w:t>
            </w:r>
            <w:r>
              <w:rPr>
                <w:rFonts w:hint="eastAsia"/>
                <w:highlight w:val="none"/>
                <w:lang w:eastAsia="zh-CN"/>
              </w:rPr>
              <w:t>“</w:t>
            </w:r>
            <w:r>
              <w:rPr>
                <w:rFonts w:hint="eastAsia"/>
                <w:highlight w:val="none"/>
                <w:lang w:val="en-US" w:eastAsia="zh-CN"/>
              </w:rPr>
              <w:t>反商业贿赂承诺</w:t>
            </w:r>
            <w:r>
              <w:rPr>
                <w:rFonts w:hint="eastAsia"/>
                <w:highlight w:val="none"/>
                <w:lang w:eastAsia="zh-CN"/>
              </w:rPr>
              <w:t>”</w:t>
            </w:r>
            <w:r>
              <w:rPr>
                <w:rFonts w:hint="eastAsia"/>
                <w:highlight w:val="none"/>
              </w:rPr>
              <w:t>“不参与围标串标承诺书”（见格式），拒绝签署的，其投标将被否决。</w:t>
            </w:r>
          </w:p>
          <w:p w14:paraId="449FF290">
            <w:pPr>
              <w:spacing w:line="320" w:lineRule="exact"/>
              <w:jc w:val="both"/>
              <w:rPr>
                <w:rFonts w:ascii="宋体" w:hAnsi="宋体" w:cs="Arial"/>
                <w:szCs w:val="21"/>
                <w:highlight w:val="none"/>
              </w:rPr>
            </w:pPr>
            <w:r>
              <w:rPr>
                <w:rFonts w:hint="eastAsia" w:cs="Times New Roman"/>
                <w:sz w:val="21"/>
                <w:szCs w:val="24"/>
                <w:highlight w:val="none"/>
                <w:lang w:val="en-US" w:eastAsia="zh-CN" w:bidi="ar-SA"/>
              </w:rPr>
              <w:t>3</w:t>
            </w:r>
            <w:r>
              <w:rPr>
                <w:rFonts w:hint="eastAsia" w:eastAsia="宋体" w:cs="Times New Roman"/>
                <w:sz w:val="21"/>
                <w:szCs w:val="24"/>
                <w:highlight w:val="none"/>
                <w:lang w:val="en-US" w:bidi="ar-SA"/>
              </w:rPr>
              <w:t>、如受</w:t>
            </w:r>
            <w:r>
              <w:rPr>
                <w:rFonts w:hint="eastAsia" w:cs="Times New Roman"/>
                <w:sz w:val="21"/>
                <w:szCs w:val="24"/>
                <w:highlight w:val="none"/>
                <w:lang w:val="en-US" w:eastAsia="zh-CN" w:bidi="ar-SA"/>
              </w:rPr>
              <w:t>不可抗力</w:t>
            </w:r>
            <w:r>
              <w:rPr>
                <w:rFonts w:hint="eastAsia" w:eastAsia="宋体" w:cs="Times New Roman"/>
                <w:sz w:val="21"/>
                <w:szCs w:val="24"/>
                <w:highlight w:val="none"/>
                <w:lang w:val="en-US" w:bidi="ar-SA"/>
              </w:rPr>
              <w:t>不能邮寄，</w:t>
            </w:r>
            <w:r>
              <w:rPr>
                <w:rFonts w:hint="eastAsia" w:cs="Times New Roman"/>
                <w:sz w:val="21"/>
                <w:szCs w:val="24"/>
                <w:highlight w:val="none"/>
                <w:lang w:val="en-US" w:eastAsia="zh-CN" w:bidi="ar-SA"/>
              </w:rPr>
              <w:t>扬州威克招议标办公室</w:t>
            </w:r>
            <w:r>
              <w:rPr>
                <w:rFonts w:hint="eastAsia" w:eastAsia="宋体" w:cs="Times New Roman"/>
                <w:sz w:val="21"/>
                <w:szCs w:val="24"/>
                <w:highlight w:val="none"/>
                <w:lang w:val="en-US" w:bidi="ar-SA"/>
              </w:rPr>
              <w:t>将通知各投标人在投标截止时间前将投标文件（按要求签字加盖公章）正本扫描件加密后</w:t>
            </w:r>
            <w:r>
              <w:rPr>
                <w:rFonts w:hint="eastAsia" w:eastAsia="宋体" w:cs="Times New Roman"/>
                <w:sz w:val="21"/>
                <w:szCs w:val="24"/>
                <w:highlight w:val="none"/>
                <w:lang w:val="en-US" w:bidi="ar-SA"/>
              </w:rPr>
              <w:fldChar w:fldCharType="begin"/>
            </w:r>
            <w:r>
              <w:rPr>
                <w:rFonts w:hint="eastAsia" w:eastAsia="宋体" w:cs="Times New Roman"/>
                <w:sz w:val="21"/>
                <w:szCs w:val="24"/>
                <w:highlight w:val="none"/>
                <w:lang w:val="en-US" w:bidi="ar-SA"/>
              </w:rPr>
              <w:instrText xml:space="preserve"> HYPERLINK "mailto:%E5%8F%91%E9%80%81%E8%87%B3%E9%82%AE%E7%AE%B1fanyujie6@sinopharm.com" </w:instrText>
            </w:r>
            <w:r>
              <w:rPr>
                <w:rFonts w:hint="eastAsia" w:eastAsia="宋体" w:cs="Times New Roman"/>
                <w:sz w:val="21"/>
                <w:szCs w:val="24"/>
                <w:highlight w:val="none"/>
                <w:lang w:val="en-US" w:bidi="ar-SA"/>
              </w:rPr>
              <w:fldChar w:fldCharType="separate"/>
            </w:r>
            <w:r>
              <w:rPr>
                <w:rFonts w:hint="eastAsia" w:eastAsia="宋体" w:cs="Times New Roman"/>
                <w:sz w:val="21"/>
                <w:szCs w:val="24"/>
                <w:highlight w:val="none"/>
                <w:lang w:val="en-US" w:bidi="ar-SA"/>
              </w:rPr>
              <w:t>发送至邮箱</w:t>
            </w:r>
            <w:r>
              <w:rPr>
                <w:rFonts w:hint="eastAsia" w:eastAsia="宋体" w:cs="Times New Roman"/>
                <w:sz w:val="21"/>
                <w:szCs w:val="24"/>
                <w:highlight w:val="none"/>
                <w:lang w:val="en-US" w:bidi="ar-SA"/>
              </w:rPr>
              <w:fldChar w:fldCharType="end"/>
            </w:r>
            <w:r>
              <w:rPr>
                <w:rFonts w:hint="eastAsia" w:eastAsia="宋体" w:cs="Times New Roman"/>
                <w:sz w:val="21"/>
                <w:szCs w:val="24"/>
                <w:highlight w:val="none"/>
                <w:lang w:val="en-US" w:bidi="ar-SA"/>
              </w:rPr>
              <w:t>（递交时间以收到邮件时间为准），线上开标时将文件夹密码告知</w:t>
            </w:r>
            <w:r>
              <w:rPr>
                <w:rFonts w:hint="eastAsia" w:eastAsia="宋体" w:cs="Times New Roman"/>
                <w:sz w:val="21"/>
                <w:szCs w:val="24"/>
                <w:highlight w:val="none"/>
                <w:lang w:val="en-US" w:eastAsia="zh-CN" w:bidi="ar-SA"/>
              </w:rPr>
              <w:t>工作</w:t>
            </w:r>
            <w:r>
              <w:rPr>
                <w:rFonts w:hint="eastAsia" w:eastAsia="宋体" w:cs="Times New Roman"/>
                <w:sz w:val="21"/>
                <w:szCs w:val="24"/>
                <w:highlight w:val="none"/>
                <w:lang w:val="en-US" w:bidi="ar-SA"/>
              </w:rPr>
              <w:t>人员，纸质文件待</w:t>
            </w:r>
            <w:r>
              <w:rPr>
                <w:rFonts w:hint="eastAsia" w:cs="Times New Roman"/>
                <w:sz w:val="21"/>
                <w:szCs w:val="24"/>
                <w:highlight w:val="none"/>
                <w:lang w:val="en-US" w:eastAsia="zh-CN" w:bidi="ar-SA"/>
              </w:rPr>
              <w:t>不可抗力解除</w:t>
            </w:r>
            <w:r>
              <w:rPr>
                <w:rFonts w:hint="eastAsia" w:eastAsia="宋体" w:cs="Times New Roman"/>
                <w:sz w:val="21"/>
                <w:szCs w:val="24"/>
                <w:highlight w:val="none"/>
                <w:lang w:val="en-US" w:bidi="ar-SA"/>
              </w:rPr>
              <w:t>后补寄。</w:t>
            </w:r>
          </w:p>
        </w:tc>
      </w:tr>
      <w:tr w14:paraId="5495D6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0" w:hRule="atLeast"/>
        </w:trPr>
        <w:tc>
          <w:tcPr>
            <w:tcW w:w="8647" w:type="dxa"/>
            <w:gridSpan w:val="2"/>
            <w:tcBorders>
              <w:bottom w:val="single" w:color="auto" w:sz="4" w:space="0"/>
            </w:tcBorders>
            <w:noWrap w:val="0"/>
            <w:vAlign w:val="center"/>
          </w:tcPr>
          <w:p w14:paraId="72989F4D">
            <w:pPr>
              <w:spacing w:line="360" w:lineRule="auto"/>
              <w:rPr>
                <w:rFonts w:ascii="宋体" w:hAnsi="宋体"/>
                <w:b/>
                <w:szCs w:val="21"/>
                <w:highlight w:val="none"/>
              </w:rPr>
            </w:pPr>
            <w:r>
              <w:rPr>
                <w:rFonts w:hint="eastAsia" w:ascii="宋体" w:hAnsi="宋体"/>
                <w:b/>
                <w:szCs w:val="21"/>
                <w:highlight w:val="none"/>
              </w:rPr>
              <w:t>参加本次招标的投标人应不少于三家。合格投标人可以少于三家，无合格投标人时废标。</w:t>
            </w:r>
          </w:p>
          <w:p w14:paraId="2978A2EB">
            <w:pPr>
              <w:adjustRightInd w:val="0"/>
              <w:snapToGrid w:val="0"/>
              <w:spacing w:line="360" w:lineRule="auto"/>
              <w:rPr>
                <w:rFonts w:ascii="宋体" w:hAnsi="宋体"/>
                <w:b/>
                <w:szCs w:val="21"/>
                <w:highlight w:val="none"/>
              </w:rPr>
            </w:pPr>
            <w:r>
              <w:rPr>
                <w:rFonts w:hint="eastAsia" w:ascii="宋体" w:hAnsi="宋体"/>
                <w:b/>
                <w:szCs w:val="21"/>
                <w:highlight w:val="none"/>
              </w:rPr>
              <w:t>供应商如有串标、围标、弄虚作假等违法违规行为，其响应无效，保证金不予退还。</w:t>
            </w:r>
          </w:p>
          <w:p w14:paraId="779CBA88">
            <w:pPr>
              <w:adjustRightInd w:val="0"/>
              <w:snapToGrid w:val="0"/>
              <w:spacing w:line="360" w:lineRule="auto"/>
              <w:rPr>
                <w:rFonts w:ascii="宋体" w:hAnsi="宋体"/>
                <w:b/>
                <w:szCs w:val="21"/>
                <w:highlight w:val="none"/>
              </w:rPr>
            </w:pPr>
            <w:r>
              <w:rPr>
                <w:rFonts w:hint="eastAsia" w:ascii="宋体" w:hAnsi="宋体"/>
                <w:b/>
                <w:szCs w:val="21"/>
                <w:highlight w:val="none"/>
              </w:rPr>
              <w:t>有下列情形之一的，视为供应商相互串通投标：</w:t>
            </w:r>
          </w:p>
          <w:p w14:paraId="13029E56">
            <w:pPr>
              <w:adjustRightInd w:val="0"/>
              <w:snapToGrid w:val="0"/>
              <w:spacing w:line="360" w:lineRule="auto"/>
              <w:rPr>
                <w:rFonts w:ascii="宋体" w:hAnsi="宋体"/>
                <w:bCs/>
                <w:szCs w:val="21"/>
                <w:highlight w:val="none"/>
              </w:rPr>
            </w:pPr>
            <w:r>
              <w:rPr>
                <w:rFonts w:hint="eastAsia" w:ascii="宋体" w:hAnsi="宋体"/>
                <w:bCs/>
                <w:szCs w:val="21"/>
                <w:highlight w:val="none"/>
              </w:rPr>
              <w:t>（一）不同供应商的响应文件由同一单位或者个人编制；</w:t>
            </w:r>
          </w:p>
          <w:p w14:paraId="46DD021A">
            <w:pPr>
              <w:adjustRightInd w:val="0"/>
              <w:snapToGrid w:val="0"/>
              <w:spacing w:line="360" w:lineRule="auto"/>
              <w:rPr>
                <w:rFonts w:ascii="宋体" w:hAnsi="宋体"/>
                <w:bCs/>
                <w:szCs w:val="21"/>
                <w:highlight w:val="none"/>
              </w:rPr>
            </w:pPr>
            <w:r>
              <w:rPr>
                <w:rFonts w:hint="eastAsia" w:ascii="宋体" w:hAnsi="宋体"/>
                <w:bCs/>
                <w:szCs w:val="21"/>
                <w:highlight w:val="none"/>
              </w:rPr>
              <w:t>（二）不同供应商的响应文件载明的项目管理成员为同一人；</w:t>
            </w:r>
          </w:p>
          <w:p w14:paraId="46D6A4FF">
            <w:pPr>
              <w:adjustRightInd w:val="0"/>
              <w:snapToGrid w:val="0"/>
              <w:spacing w:line="360" w:lineRule="auto"/>
              <w:rPr>
                <w:rFonts w:ascii="宋体" w:hAnsi="宋体"/>
                <w:bCs/>
                <w:szCs w:val="21"/>
                <w:highlight w:val="none"/>
              </w:rPr>
            </w:pPr>
            <w:r>
              <w:rPr>
                <w:rFonts w:hint="eastAsia" w:ascii="宋体" w:hAnsi="宋体"/>
                <w:bCs/>
                <w:szCs w:val="21"/>
                <w:highlight w:val="none"/>
              </w:rPr>
              <w:t>（三）不同供应商的响应文件内容存在非正常一致或响应文件错漏之处一致的；</w:t>
            </w:r>
          </w:p>
          <w:p w14:paraId="716704D3">
            <w:pPr>
              <w:adjustRightInd w:val="0"/>
              <w:snapToGrid w:val="0"/>
              <w:spacing w:line="360" w:lineRule="auto"/>
              <w:rPr>
                <w:rFonts w:ascii="宋体" w:hAnsi="宋体"/>
                <w:bCs/>
                <w:szCs w:val="21"/>
                <w:highlight w:val="none"/>
              </w:rPr>
            </w:pPr>
            <w:r>
              <w:rPr>
                <w:rFonts w:hint="eastAsia" w:ascii="宋体" w:hAnsi="宋体"/>
                <w:bCs/>
                <w:szCs w:val="21"/>
                <w:highlight w:val="none"/>
              </w:rPr>
              <w:t>（四）不同供应商的响应文件相互混装；</w:t>
            </w:r>
          </w:p>
          <w:p w14:paraId="10CFBFEB">
            <w:pPr>
              <w:spacing w:line="320" w:lineRule="exact"/>
              <w:ind w:firstLine="102" w:firstLineChars="49"/>
              <w:jc w:val="left"/>
              <w:rPr>
                <w:rFonts w:hint="eastAsia" w:ascii="宋体" w:hAnsi="宋体" w:cs="Arial"/>
                <w:b/>
                <w:szCs w:val="21"/>
                <w:highlight w:val="none"/>
              </w:rPr>
            </w:pPr>
            <w:r>
              <w:rPr>
                <w:rFonts w:hint="eastAsia" w:ascii="宋体" w:hAnsi="宋体"/>
                <w:bCs/>
                <w:szCs w:val="21"/>
                <w:highlight w:val="none"/>
              </w:rPr>
              <w:t>（五）不同供应商的投标保证金从同一单位或者个人的账户转出。</w:t>
            </w:r>
          </w:p>
        </w:tc>
      </w:tr>
    </w:tbl>
    <w:p w14:paraId="157BBAED">
      <w:pPr>
        <w:pStyle w:val="4"/>
        <w:spacing w:before="0" w:line="360" w:lineRule="auto"/>
        <w:ind w:left="0" w:leftChars="0" w:firstLine="0" w:firstLineChars="0"/>
        <w:jc w:val="both"/>
        <w:outlineLvl w:val="9"/>
        <w:rPr>
          <w:rFonts w:hint="eastAsia" w:ascii="宋体" w:hAnsi="宋体" w:eastAsia="宋体"/>
          <w:sz w:val="24"/>
          <w:szCs w:val="24"/>
          <w:highlight w:val="none"/>
        </w:rPr>
      </w:pPr>
      <w:bookmarkStart w:id="52" w:name="_Toc520356143"/>
      <w:bookmarkStart w:id="53" w:name="_Toc216582805"/>
      <w:bookmarkStart w:id="54" w:name="_Toc109736028"/>
      <w:bookmarkStart w:id="55" w:name="_Toc144974497"/>
      <w:bookmarkStart w:id="56" w:name="_Toc152045529"/>
      <w:bookmarkStart w:id="57" w:name="_Toc152042305"/>
      <w:bookmarkStart w:id="58" w:name="_Toc233102492"/>
      <w:bookmarkStart w:id="59" w:name="_Toc179632546"/>
    </w:p>
    <w:p w14:paraId="663FB15B">
      <w:pPr>
        <w:pStyle w:val="4"/>
        <w:keepNext/>
        <w:keepLines/>
        <w:pageBreakBefore w:val="0"/>
        <w:widowControl w:val="0"/>
        <w:kinsoku/>
        <w:wordWrap/>
        <w:overflowPunct/>
        <w:topLinePunct w:val="0"/>
        <w:autoSpaceDE/>
        <w:autoSpaceDN/>
        <w:bidi w:val="0"/>
        <w:adjustRightInd/>
        <w:snapToGrid/>
        <w:spacing w:before="0" w:line="360" w:lineRule="auto"/>
        <w:ind w:left="0" w:leftChars="0" w:firstLine="0" w:firstLineChars="0"/>
        <w:jc w:val="center"/>
        <w:textAlignment w:val="auto"/>
        <w:rPr>
          <w:rFonts w:hint="eastAsia" w:ascii="宋体" w:hAnsi="宋体" w:eastAsia="宋体"/>
          <w:sz w:val="24"/>
          <w:szCs w:val="24"/>
          <w:highlight w:val="none"/>
        </w:rPr>
      </w:pPr>
      <w:bookmarkStart w:id="60" w:name="_Toc2259"/>
      <w:r>
        <w:rPr>
          <w:rFonts w:hint="eastAsia" w:ascii="宋体" w:hAnsi="宋体" w:eastAsia="宋体"/>
          <w:sz w:val="24"/>
          <w:szCs w:val="24"/>
          <w:highlight w:val="none"/>
        </w:rPr>
        <w:t>一  说  明</w:t>
      </w:r>
      <w:bookmarkEnd w:id="52"/>
      <w:bookmarkEnd w:id="53"/>
      <w:bookmarkEnd w:id="54"/>
      <w:bookmarkEnd w:id="60"/>
    </w:p>
    <w:p w14:paraId="7E4D127E">
      <w:pPr>
        <w:keepNext/>
        <w:keepLines/>
        <w:pageBreakBefore w:val="0"/>
        <w:widowControl/>
        <w:kinsoku/>
        <w:wordWrap/>
        <w:overflowPunct/>
        <w:topLinePunct w:val="0"/>
        <w:autoSpaceDE/>
        <w:autoSpaceDN/>
        <w:bidi w:val="0"/>
        <w:adjustRightInd/>
        <w:snapToGrid/>
        <w:spacing w:before="0" w:after="0" w:line="360" w:lineRule="auto"/>
        <w:jc w:val="both"/>
        <w:textAlignment w:val="auto"/>
        <w:outlineLvl w:val="2"/>
        <w:rPr>
          <w:rFonts w:ascii="宋体" w:hAnsi="宋体"/>
          <w:b/>
          <w:bCs/>
          <w:sz w:val="21"/>
          <w:szCs w:val="21"/>
          <w:highlight w:val="none"/>
        </w:rPr>
      </w:pPr>
      <w:bookmarkStart w:id="61" w:name="_Toc109736029"/>
      <w:bookmarkStart w:id="62" w:name="_Toc27571"/>
      <w:bookmarkStart w:id="63" w:name="_Toc17941"/>
      <w:bookmarkStart w:id="64" w:name="_Toc520356144"/>
      <w:r>
        <w:rPr>
          <w:rFonts w:hint="eastAsia" w:ascii="宋体" w:hAnsi="宋体"/>
          <w:b/>
          <w:bCs/>
          <w:sz w:val="21"/>
          <w:szCs w:val="21"/>
          <w:highlight w:val="none"/>
        </w:rPr>
        <w:t>1.</w:t>
      </w:r>
      <w:r>
        <w:rPr>
          <w:rFonts w:hint="eastAsia" w:ascii="宋体" w:hAnsi="宋体"/>
          <w:b/>
          <w:bCs/>
          <w:sz w:val="21"/>
          <w:szCs w:val="21"/>
          <w:highlight w:val="none"/>
        </w:rPr>
        <w:tab/>
      </w:r>
      <w:r>
        <w:rPr>
          <w:rFonts w:hint="eastAsia" w:ascii="宋体" w:hAnsi="宋体"/>
          <w:b/>
          <w:bCs/>
          <w:sz w:val="21"/>
          <w:szCs w:val="21"/>
          <w:highlight w:val="none"/>
        </w:rPr>
        <w:t xml:space="preserve">    招标采购单位及合格的投标人</w:t>
      </w:r>
      <w:bookmarkEnd w:id="61"/>
      <w:bookmarkEnd w:id="62"/>
      <w:bookmarkEnd w:id="63"/>
      <w:bookmarkEnd w:id="64"/>
    </w:p>
    <w:p w14:paraId="5D4B5447">
      <w:pPr>
        <w:numPr>
          <w:ilvl w:val="1"/>
          <w:numId w:val="11"/>
        </w:numPr>
        <w:tabs>
          <w:tab w:val="left" w:pos="0"/>
          <w:tab w:val="clear" w:pos="900"/>
        </w:tabs>
        <w:spacing w:line="360" w:lineRule="auto"/>
        <w:ind w:hanging="898"/>
        <w:rPr>
          <w:rFonts w:ascii="宋体" w:hAnsi="宋体"/>
          <w:szCs w:val="21"/>
          <w:highlight w:val="none"/>
        </w:rPr>
      </w:pPr>
      <w:r>
        <w:rPr>
          <w:rFonts w:hint="eastAsia" w:ascii="宋体" w:hAnsi="宋体"/>
          <w:szCs w:val="21"/>
          <w:highlight w:val="none"/>
        </w:rPr>
        <w:t>招标采购单位：系指招标人。</w:t>
      </w:r>
    </w:p>
    <w:p w14:paraId="06891FEA">
      <w:pPr>
        <w:spacing w:line="360" w:lineRule="auto"/>
        <w:rPr>
          <w:rFonts w:hint="eastAsia" w:ascii="宋体" w:hAnsi="宋体"/>
          <w:szCs w:val="21"/>
          <w:highlight w:val="none"/>
        </w:rPr>
      </w:pPr>
      <w:r>
        <w:rPr>
          <w:rFonts w:hint="eastAsia" w:ascii="宋体" w:hAnsi="宋体"/>
          <w:szCs w:val="21"/>
          <w:highlight w:val="none"/>
        </w:rPr>
        <w:t>1.2</w:t>
      </w:r>
      <w:r>
        <w:rPr>
          <w:rFonts w:ascii="宋体" w:hAnsi="宋体"/>
          <w:szCs w:val="21"/>
          <w:highlight w:val="none"/>
        </w:rPr>
        <w:tab/>
      </w:r>
      <w:r>
        <w:rPr>
          <w:rFonts w:hint="eastAsia" w:ascii="宋体" w:hAnsi="宋体"/>
          <w:szCs w:val="21"/>
          <w:highlight w:val="none"/>
        </w:rPr>
        <w:t xml:space="preserve">    满足以下条件的投标人是合格的投标人，可以参加本次投标：</w:t>
      </w:r>
    </w:p>
    <w:p w14:paraId="49EA0120">
      <w:pPr>
        <w:spacing w:line="360" w:lineRule="auto"/>
        <w:ind w:left="788" w:hanging="787" w:hangingChars="375"/>
        <w:rPr>
          <w:rFonts w:hint="eastAsia" w:ascii="宋体" w:hAnsi="宋体"/>
          <w:szCs w:val="21"/>
          <w:highlight w:val="none"/>
        </w:rPr>
      </w:pPr>
      <w:r>
        <w:rPr>
          <w:rFonts w:hint="eastAsia" w:ascii="宋体" w:hAnsi="宋体"/>
          <w:szCs w:val="21"/>
          <w:highlight w:val="none"/>
        </w:rPr>
        <w:t>1.2.1</w:t>
      </w:r>
      <w:r>
        <w:rPr>
          <w:rFonts w:hint="eastAsia" w:ascii="宋体" w:hAnsi="宋体"/>
          <w:szCs w:val="21"/>
          <w:highlight w:val="none"/>
        </w:rPr>
        <w:tab/>
      </w:r>
      <w:r>
        <w:rPr>
          <w:rFonts w:hint="eastAsia" w:ascii="宋体" w:hAnsi="宋体"/>
          <w:szCs w:val="21"/>
          <w:highlight w:val="none"/>
        </w:rPr>
        <w:t>在中华人民共和国境内注册，能够独立承担民事责任，有生产或供应能力的本国供应商，包括法人、其他组织、自然人及其联合体。</w:t>
      </w:r>
    </w:p>
    <w:p w14:paraId="71DDF34C">
      <w:pPr>
        <w:spacing w:line="360" w:lineRule="auto"/>
        <w:ind w:left="788" w:hanging="787" w:hangingChars="375"/>
        <w:rPr>
          <w:rFonts w:hint="eastAsia" w:ascii="宋体" w:hAnsi="宋体"/>
          <w:szCs w:val="21"/>
          <w:highlight w:val="none"/>
        </w:rPr>
      </w:pPr>
      <w:r>
        <w:rPr>
          <w:rFonts w:hint="eastAsia" w:ascii="宋体" w:hAnsi="宋体"/>
          <w:szCs w:val="21"/>
          <w:highlight w:val="none"/>
        </w:rPr>
        <w:t>1.2.2</w:t>
      </w:r>
      <w:r>
        <w:rPr>
          <w:rFonts w:hint="eastAsia" w:ascii="宋体" w:hAnsi="宋体"/>
          <w:szCs w:val="21"/>
          <w:highlight w:val="none"/>
        </w:rPr>
        <w:tab/>
      </w:r>
      <w:r>
        <w:rPr>
          <w:rFonts w:hint="eastAsia" w:ascii="宋体" w:hAnsi="宋体"/>
          <w:szCs w:val="21"/>
          <w:highlight w:val="none"/>
        </w:rPr>
        <w:t>遵守国家有关法律、法规、规章和扬州市有关的规章，具有良好的商业信誉和健全的财务会计制度。</w:t>
      </w:r>
    </w:p>
    <w:p w14:paraId="7106603A">
      <w:pPr>
        <w:spacing w:line="360" w:lineRule="auto"/>
        <w:ind w:left="788" w:hanging="787" w:hangingChars="375"/>
        <w:rPr>
          <w:rFonts w:hint="eastAsia" w:ascii="宋体" w:hAnsi="宋体"/>
          <w:szCs w:val="21"/>
          <w:highlight w:val="none"/>
        </w:rPr>
      </w:pPr>
      <w:r>
        <w:rPr>
          <w:rFonts w:hint="eastAsia" w:ascii="宋体" w:hAnsi="宋体"/>
          <w:szCs w:val="21"/>
          <w:highlight w:val="none"/>
        </w:rPr>
        <w:t>1.3     如</w:t>
      </w:r>
      <w:r>
        <w:rPr>
          <w:rFonts w:hint="eastAsia" w:ascii="宋体" w:hAnsi="宋体"/>
          <w:szCs w:val="21"/>
          <w:highlight w:val="none"/>
          <w:u w:val="single"/>
        </w:rPr>
        <w:t>投标人须知资料表</w:t>
      </w:r>
      <w:r>
        <w:rPr>
          <w:rFonts w:hint="eastAsia" w:ascii="宋体" w:hAnsi="宋体"/>
          <w:szCs w:val="21"/>
          <w:highlight w:val="none"/>
        </w:rPr>
        <w:t>中允许联合体投标，对联合体规定如下：</w:t>
      </w:r>
    </w:p>
    <w:p w14:paraId="6BCD8F7C">
      <w:pPr>
        <w:spacing w:line="360" w:lineRule="auto"/>
        <w:ind w:left="788" w:hanging="787" w:hangingChars="375"/>
        <w:rPr>
          <w:rFonts w:hint="eastAsia" w:ascii="宋体" w:hAnsi="宋体"/>
          <w:szCs w:val="21"/>
          <w:highlight w:val="none"/>
        </w:rPr>
      </w:pPr>
      <w:r>
        <w:rPr>
          <w:rFonts w:hint="eastAsia" w:ascii="宋体" w:hAnsi="宋体"/>
          <w:szCs w:val="21"/>
          <w:highlight w:val="none"/>
        </w:rPr>
        <w:t>1.3.1   两个以上投标人可以组成一个投标联合体，以一个投标人的身份投标。</w:t>
      </w:r>
    </w:p>
    <w:p w14:paraId="5B344918">
      <w:pPr>
        <w:spacing w:line="360" w:lineRule="auto"/>
        <w:ind w:left="788" w:hanging="787" w:hangingChars="375"/>
        <w:rPr>
          <w:rFonts w:hint="eastAsia" w:ascii="宋体" w:hAnsi="宋体"/>
          <w:szCs w:val="21"/>
          <w:highlight w:val="none"/>
        </w:rPr>
      </w:pPr>
      <w:r>
        <w:rPr>
          <w:rFonts w:hint="eastAsia" w:ascii="宋体" w:hAnsi="宋体"/>
          <w:szCs w:val="21"/>
          <w:highlight w:val="none"/>
        </w:rPr>
        <w:t>1.3.2   招标人根据采购项目对投标人的特殊要求，联合体中至少应当有一方符合其规定。</w:t>
      </w:r>
    </w:p>
    <w:p w14:paraId="494AD0DB">
      <w:pPr>
        <w:spacing w:line="360" w:lineRule="auto"/>
        <w:ind w:left="788" w:hanging="787" w:hangingChars="375"/>
        <w:rPr>
          <w:rFonts w:hint="eastAsia" w:ascii="宋体" w:hAnsi="宋体"/>
          <w:szCs w:val="21"/>
          <w:highlight w:val="none"/>
        </w:rPr>
      </w:pPr>
      <w:r>
        <w:rPr>
          <w:rFonts w:hint="eastAsia" w:ascii="宋体" w:hAnsi="宋体"/>
          <w:szCs w:val="21"/>
          <w:highlight w:val="none"/>
        </w:rPr>
        <w:t>1.3.3   联合体各方应签订共同投标协议，明确约定联合体各方承担的工作和相应的责任，并将共同投标协议连同投标文件一并提交招标采购单位。</w:t>
      </w:r>
    </w:p>
    <w:p w14:paraId="0CB6F697">
      <w:pPr>
        <w:spacing w:line="360" w:lineRule="auto"/>
        <w:ind w:left="788" w:hanging="787" w:hangingChars="375"/>
        <w:rPr>
          <w:rFonts w:ascii="宋体" w:hAnsi="宋体"/>
          <w:szCs w:val="21"/>
          <w:highlight w:val="none"/>
        </w:rPr>
      </w:pPr>
      <w:r>
        <w:rPr>
          <w:rFonts w:hint="eastAsia" w:ascii="宋体" w:hAnsi="宋体"/>
          <w:szCs w:val="21"/>
          <w:highlight w:val="none"/>
        </w:rPr>
        <w:t>1.3.4   联合</w:t>
      </w:r>
      <w:r>
        <w:rPr>
          <w:rFonts w:ascii="宋体" w:hAnsi="宋体"/>
          <w:szCs w:val="21"/>
          <w:highlight w:val="none"/>
        </w:rPr>
        <w:t>体中有</w:t>
      </w:r>
      <w:r>
        <w:rPr>
          <w:rFonts w:hint="eastAsia" w:ascii="宋体" w:hAnsi="宋体"/>
          <w:szCs w:val="21"/>
          <w:highlight w:val="none"/>
        </w:rPr>
        <w:t>同</w:t>
      </w:r>
      <w:r>
        <w:rPr>
          <w:rFonts w:ascii="宋体" w:hAnsi="宋体"/>
          <w:szCs w:val="21"/>
          <w:highlight w:val="none"/>
        </w:rPr>
        <w:t>类资质的投标人按照联合体分</w:t>
      </w:r>
      <w:r>
        <w:rPr>
          <w:rFonts w:hint="eastAsia" w:ascii="宋体" w:hAnsi="宋体"/>
          <w:szCs w:val="21"/>
          <w:highlight w:val="none"/>
        </w:rPr>
        <w:t>工</w:t>
      </w:r>
      <w:r>
        <w:rPr>
          <w:rFonts w:ascii="宋体" w:hAnsi="宋体"/>
          <w:szCs w:val="21"/>
          <w:highlight w:val="none"/>
        </w:rPr>
        <w:t>承担</w:t>
      </w:r>
      <w:r>
        <w:rPr>
          <w:rFonts w:hint="eastAsia" w:ascii="宋体" w:hAnsi="宋体"/>
          <w:szCs w:val="21"/>
          <w:highlight w:val="none"/>
        </w:rPr>
        <w:t>相</w:t>
      </w:r>
      <w:r>
        <w:rPr>
          <w:rFonts w:ascii="宋体" w:hAnsi="宋体"/>
          <w:szCs w:val="21"/>
          <w:highlight w:val="none"/>
        </w:rPr>
        <w:t>同工作的，按照资质等级</w:t>
      </w:r>
      <w:r>
        <w:rPr>
          <w:rFonts w:hint="eastAsia" w:ascii="宋体" w:hAnsi="宋体"/>
          <w:szCs w:val="21"/>
          <w:highlight w:val="none"/>
        </w:rPr>
        <w:t>较低</w:t>
      </w:r>
      <w:r>
        <w:rPr>
          <w:rFonts w:ascii="宋体" w:hAnsi="宋体"/>
          <w:szCs w:val="21"/>
          <w:highlight w:val="none"/>
        </w:rPr>
        <w:t>的投标人确定资质等级。</w:t>
      </w:r>
    </w:p>
    <w:p w14:paraId="2F848B79">
      <w:pPr>
        <w:spacing w:line="360" w:lineRule="auto"/>
        <w:ind w:left="788" w:hanging="787" w:hangingChars="375"/>
        <w:rPr>
          <w:rFonts w:hint="eastAsia" w:ascii="宋体" w:hAnsi="宋体"/>
          <w:szCs w:val="21"/>
          <w:highlight w:val="none"/>
        </w:rPr>
      </w:pPr>
      <w:r>
        <w:rPr>
          <w:rFonts w:ascii="宋体" w:hAnsi="宋体"/>
          <w:szCs w:val="21"/>
          <w:highlight w:val="none"/>
        </w:rPr>
        <w:t>1.3.</w:t>
      </w:r>
      <w:r>
        <w:rPr>
          <w:rFonts w:hint="eastAsia" w:ascii="宋体" w:hAnsi="宋体"/>
          <w:szCs w:val="21"/>
          <w:highlight w:val="none"/>
        </w:rPr>
        <w:t>5</w:t>
      </w:r>
      <w:r>
        <w:rPr>
          <w:rFonts w:ascii="宋体" w:hAnsi="宋体"/>
          <w:szCs w:val="21"/>
          <w:highlight w:val="none"/>
        </w:rPr>
        <w:t xml:space="preserve">  </w:t>
      </w:r>
      <w:r>
        <w:rPr>
          <w:rFonts w:hint="eastAsia" w:ascii="宋体" w:hAnsi="宋体"/>
          <w:szCs w:val="21"/>
          <w:highlight w:val="none"/>
        </w:rPr>
        <w:t>以</w:t>
      </w:r>
      <w:r>
        <w:rPr>
          <w:rFonts w:ascii="宋体" w:hAnsi="宋体"/>
          <w:szCs w:val="21"/>
          <w:highlight w:val="none"/>
        </w:rPr>
        <w:t>联合体形式参加</w:t>
      </w:r>
      <w:r>
        <w:rPr>
          <w:rFonts w:hint="eastAsia" w:ascii="宋体" w:hAnsi="宋体"/>
          <w:szCs w:val="21"/>
          <w:highlight w:val="none"/>
        </w:rPr>
        <w:t>招投标</w:t>
      </w:r>
      <w:r>
        <w:rPr>
          <w:rFonts w:ascii="宋体" w:hAnsi="宋体"/>
          <w:szCs w:val="21"/>
          <w:highlight w:val="none"/>
        </w:rPr>
        <w:t>活动的，联合体各方不得再</w:t>
      </w:r>
      <w:r>
        <w:rPr>
          <w:rFonts w:hint="eastAsia" w:ascii="宋体" w:hAnsi="宋体"/>
          <w:szCs w:val="21"/>
          <w:highlight w:val="none"/>
        </w:rPr>
        <w:t>单独</w:t>
      </w:r>
      <w:r>
        <w:rPr>
          <w:rFonts w:ascii="宋体" w:hAnsi="宋体"/>
          <w:szCs w:val="21"/>
          <w:highlight w:val="none"/>
        </w:rPr>
        <w:t>参加或者与其他投标人另外组成联合体参加</w:t>
      </w:r>
      <w:r>
        <w:rPr>
          <w:rFonts w:hint="eastAsia" w:ascii="宋体" w:hAnsi="宋体"/>
          <w:szCs w:val="21"/>
          <w:highlight w:val="none"/>
        </w:rPr>
        <w:t>本项目投标</w:t>
      </w:r>
      <w:r>
        <w:rPr>
          <w:rFonts w:ascii="宋体" w:hAnsi="宋体"/>
          <w:szCs w:val="21"/>
          <w:highlight w:val="none"/>
        </w:rPr>
        <w:t>。</w:t>
      </w:r>
    </w:p>
    <w:p w14:paraId="0CFD5E1C">
      <w:pPr>
        <w:spacing w:line="360" w:lineRule="auto"/>
        <w:ind w:left="788" w:hanging="787" w:hangingChars="375"/>
        <w:rPr>
          <w:rFonts w:hint="eastAsia" w:ascii="宋体" w:hAnsi="宋体"/>
          <w:szCs w:val="21"/>
          <w:highlight w:val="none"/>
        </w:rPr>
      </w:pPr>
      <w:r>
        <w:rPr>
          <w:rFonts w:hint="eastAsia" w:ascii="宋体" w:hAnsi="宋体"/>
          <w:szCs w:val="21"/>
          <w:highlight w:val="none"/>
        </w:rPr>
        <w:t>1.3.6   对联合体投标的其他资格要求见</w:t>
      </w:r>
      <w:r>
        <w:rPr>
          <w:rFonts w:hint="eastAsia" w:ascii="宋体" w:hAnsi="宋体"/>
          <w:szCs w:val="21"/>
          <w:highlight w:val="none"/>
          <w:u w:val="single"/>
        </w:rPr>
        <w:t>投标人须知资料表</w:t>
      </w:r>
      <w:r>
        <w:rPr>
          <w:rFonts w:hint="eastAsia" w:ascii="宋体" w:hAnsi="宋体"/>
          <w:szCs w:val="21"/>
          <w:highlight w:val="none"/>
        </w:rPr>
        <w:t>。</w:t>
      </w:r>
    </w:p>
    <w:p w14:paraId="37DA5129">
      <w:pPr>
        <w:spacing w:line="360" w:lineRule="auto"/>
        <w:ind w:left="788" w:hanging="787" w:hangingChars="375"/>
        <w:rPr>
          <w:rFonts w:hint="eastAsia" w:ascii="宋体" w:hAnsi="宋体"/>
          <w:szCs w:val="21"/>
          <w:highlight w:val="none"/>
        </w:rPr>
      </w:pPr>
      <w:r>
        <w:rPr>
          <w:rFonts w:hint="eastAsia" w:ascii="宋体" w:hAnsi="宋体"/>
          <w:szCs w:val="21"/>
          <w:highlight w:val="none"/>
        </w:rPr>
        <w:t>1.4     凡在法律或财务上不能独立合法经营，或在法律或财务上不能独立于本项目招标采购单位的任何机构，不得参加投标。</w:t>
      </w:r>
    </w:p>
    <w:p w14:paraId="4048C199">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5</w:t>
      </w:r>
      <w:r>
        <w:rPr>
          <w:rFonts w:ascii="宋体" w:hAnsi="宋体"/>
          <w:szCs w:val="21"/>
          <w:highlight w:val="none"/>
        </w:rPr>
        <w:t xml:space="preserve">    为</w:t>
      </w:r>
      <w:r>
        <w:rPr>
          <w:rFonts w:hint="eastAsia" w:ascii="宋体" w:hAnsi="宋体"/>
          <w:szCs w:val="21"/>
          <w:highlight w:val="none"/>
        </w:rPr>
        <w:t>本</w:t>
      </w:r>
      <w:r>
        <w:rPr>
          <w:rFonts w:ascii="宋体" w:hAnsi="宋体"/>
          <w:szCs w:val="21"/>
          <w:highlight w:val="none"/>
        </w:rPr>
        <w:t>项目提供整体</w:t>
      </w:r>
      <w:r>
        <w:rPr>
          <w:rFonts w:hint="eastAsia" w:ascii="宋体" w:hAnsi="宋体"/>
          <w:szCs w:val="21"/>
          <w:highlight w:val="none"/>
        </w:rPr>
        <w:t>设计</w:t>
      </w:r>
      <w:r>
        <w:rPr>
          <w:rFonts w:ascii="宋体" w:hAnsi="宋体"/>
          <w:szCs w:val="21"/>
          <w:highlight w:val="none"/>
        </w:rPr>
        <w:t>、规范编制或者项目管理、监理、检测等服务的投标人，不得再参加</w:t>
      </w:r>
      <w:r>
        <w:rPr>
          <w:rFonts w:hint="eastAsia" w:ascii="宋体" w:hAnsi="宋体"/>
          <w:szCs w:val="21"/>
          <w:highlight w:val="none"/>
        </w:rPr>
        <w:t>本项目投标</w:t>
      </w:r>
      <w:r>
        <w:rPr>
          <w:rFonts w:ascii="宋体" w:hAnsi="宋体"/>
          <w:szCs w:val="21"/>
          <w:highlight w:val="none"/>
        </w:rPr>
        <w:t>。</w:t>
      </w:r>
    </w:p>
    <w:p w14:paraId="7BBA00CD">
      <w:pPr>
        <w:spacing w:line="360" w:lineRule="auto"/>
        <w:ind w:left="788" w:hanging="787" w:hangingChars="375"/>
        <w:rPr>
          <w:rFonts w:hint="eastAsia" w:ascii="宋体" w:hAnsi="宋体"/>
          <w:szCs w:val="21"/>
          <w:highlight w:val="none"/>
        </w:rPr>
      </w:pPr>
      <w:r>
        <w:rPr>
          <w:rFonts w:hint="eastAsia" w:ascii="宋体" w:hAnsi="宋体"/>
          <w:szCs w:val="21"/>
          <w:highlight w:val="none"/>
        </w:rPr>
        <w:t>1.6</w:t>
      </w:r>
      <w:r>
        <w:rPr>
          <w:rFonts w:hint="eastAsia" w:ascii="宋体" w:hAnsi="宋体"/>
          <w:szCs w:val="21"/>
          <w:highlight w:val="none"/>
        </w:rPr>
        <w:tab/>
      </w:r>
      <w:r>
        <w:rPr>
          <w:rFonts w:hint="eastAsia" w:ascii="宋体" w:hAnsi="宋体"/>
          <w:szCs w:val="21"/>
          <w:highlight w:val="none"/>
        </w:rPr>
        <w:t>投标人在投标过程中不得向招标采购单位提供、给予任何有价值的物品，影响其正常决策行为。一经发现，上述投标人的资格将被取消。</w:t>
      </w:r>
    </w:p>
    <w:p w14:paraId="28472BF9">
      <w:pPr>
        <w:spacing w:line="360" w:lineRule="auto"/>
        <w:ind w:left="788" w:hanging="787" w:hangingChars="375"/>
        <w:rPr>
          <w:rFonts w:hint="eastAsia" w:ascii="宋体" w:hAnsi="宋体"/>
          <w:szCs w:val="21"/>
          <w:highlight w:val="none"/>
        </w:rPr>
      </w:pPr>
      <w:r>
        <w:rPr>
          <w:rFonts w:hint="eastAsia" w:ascii="宋体" w:hAnsi="宋体"/>
          <w:szCs w:val="21"/>
          <w:highlight w:val="none"/>
        </w:rPr>
        <w:t>1.7</w:t>
      </w:r>
      <w:r>
        <w:rPr>
          <w:rFonts w:hint="eastAsia" w:ascii="宋体" w:hAnsi="宋体"/>
          <w:szCs w:val="21"/>
          <w:highlight w:val="none"/>
        </w:rPr>
        <w:tab/>
      </w:r>
      <w:r>
        <w:rPr>
          <w:rFonts w:hint="eastAsia" w:ascii="宋体" w:hAnsi="宋体"/>
          <w:szCs w:val="21"/>
          <w:highlight w:val="none"/>
        </w:rPr>
        <w:t>招标采购单位在任何时候发现投标人有下列情形之一时，有权依法追究投标人的责任并取消其中标资格，如果采购合同已经履行的，给招标人、其他投标人造成损失的，由责任人承担赔偿责任：</w:t>
      </w:r>
    </w:p>
    <w:p w14:paraId="7E1F75B4">
      <w:pPr>
        <w:spacing w:line="360" w:lineRule="auto"/>
        <w:ind w:left="788" w:hanging="787" w:hangingChars="375"/>
        <w:rPr>
          <w:rFonts w:hint="eastAsia" w:ascii="宋体" w:hAnsi="宋体"/>
          <w:szCs w:val="21"/>
          <w:highlight w:val="none"/>
        </w:rPr>
      </w:pPr>
      <w:r>
        <w:rPr>
          <w:rFonts w:hint="eastAsia" w:ascii="宋体" w:hAnsi="宋体"/>
          <w:szCs w:val="21"/>
          <w:highlight w:val="none"/>
        </w:rPr>
        <w:t>1.7.1</w:t>
      </w:r>
      <w:r>
        <w:rPr>
          <w:rFonts w:hint="eastAsia" w:ascii="宋体" w:hAnsi="宋体"/>
          <w:szCs w:val="21"/>
          <w:highlight w:val="none"/>
        </w:rPr>
        <w:tab/>
      </w:r>
      <w:r>
        <w:rPr>
          <w:rFonts w:hint="eastAsia" w:ascii="宋体" w:hAnsi="宋体"/>
          <w:szCs w:val="21"/>
          <w:highlight w:val="none"/>
        </w:rPr>
        <w:t>提供虚假的资料。</w:t>
      </w:r>
    </w:p>
    <w:p w14:paraId="4F008448">
      <w:pPr>
        <w:spacing w:line="360" w:lineRule="auto"/>
        <w:ind w:left="788" w:hanging="787" w:hangingChars="375"/>
        <w:rPr>
          <w:rFonts w:hint="eastAsia" w:ascii="宋体" w:hAnsi="宋体"/>
          <w:szCs w:val="21"/>
          <w:highlight w:val="none"/>
        </w:rPr>
      </w:pPr>
      <w:r>
        <w:rPr>
          <w:rFonts w:hint="eastAsia" w:ascii="宋体" w:hAnsi="宋体"/>
          <w:szCs w:val="21"/>
          <w:highlight w:val="none"/>
        </w:rPr>
        <w:t>1.7.2</w:t>
      </w:r>
      <w:r>
        <w:rPr>
          <w:rFonts w:hint="eastAsia" w:ascii="宋体" w:hAnsi="宋体"/>
          <w:szCs w:val="21"/>
          <w:highlight w:val="none"/>
        </w:rPr>
        <w:tab/>
      </w:r>
      <w:r>
        <w:rPr>
          <w:rFonts w:hint="eastAsia" w:ascii="宋体" w:hAnsi="宋体"/>
          <w:szCs w:val="21"/>
          <w:highlight w:val="none"/>
        </w:rPr>
        <w:t>与其他投标人恶意串通。</w:t>
      </w:r>
    </w:p>
    <w:p w14:paraId="5A8FBAFF">
      <w:pPr>
        <w:spacing w:line="360" w:lineRule="auto"/>
        <w:ind w:left="788" w:hanging="787" w:hangingChars="375"/>
        <w:rPr>
          <w:rFonts w:hint="eastAsia" w:ascii="宋体" w:hAnsi="宋体"/>
          <w:szCs w:val="21"/>
          <w:highlight w:val="none"/>
        </w:rPr>
      </w:pPr>
      <w:r>
        <w:rPr>
          <w:rFonts w:hint="eastAsia" w:ascii="宋体" w:hAnsi="宋体"/>
          <w:szCs w:val="21"/>
          <w:highlight w:val="none"/>
        </w:rPr>
        <w:t>1.7.3</w:t>
      </w:r>
      <w:r>
        <w:rPr>
          <w:rFonts w:hint="eastAsia" w:ascii="宋体" w:hAnsi="宋体"/>
          <w:szCs w:val="21"/>
          <w:highlight w:val="none"/>
        </w:rPr>
        <w:tab/>
      </w:r>
      <w:r>
        <w:rPr>
          <w:rFonts w:hint="eastAsia" w:ascii="宋体" w:hAnsi="宋体"/>
          <w:szCs w:val="21"/>
          <w:highlight w:val="none"/>
        </w:rPr>
        <w:t>向招标采购单位或评审专家行贿或提供其他不正当利益。</w:t>
      </w:r>
    </w:p>
    <w:p w14:paraId="45D02A71">
      <w:pPr>
        <w:spacing w:line="360" w:lineRule="auto"/>
        <w:ind w:left="788" w:hanging="787" w:hangingChars="375"/>
        <w:rPr>
          <w:rFonts w:hint="eastAsia" w:ascii="宋体" w:hAnsi="宋体"/>
          <w:szCs w:val="21"/>
          <w:highlight w:val="none"/>
        </w:rPr>
      </w:pPr>
      <w:r>
        <w:rPr>
          <w:rFonts w:hint="eastAsia" w:ascii="宋体" w:hAnsi="宋体"/>
          <w:szCs w:val="21"/>
          <w:highlight w:val="none"/>
        </w:rPr>
        <w:t>1.7.4   中标后不按照招标文件和其投标文件与招标人订立合同。</w:t>
      </w:r>
    </w:p>
    <w:p w14:paraId="14FBE652">
      <w:pPr>
        <w:keepNext/>
        <w:keepLines/>
        <w:pageBreakBefore w:val="0"/>
        <w:widowControl/>
        <w:kinsoku/>
        <w:wordWrap/>
        <w:overflowPunct/>
        <w:topLinePunct w:val="0"/>
        <w:autoSpaceDE/>
        <w:autoSpaceDN/>
        <w:bidi w:val="0"/>
        <w:adjustRightInd/>
        <w:snapToGrid/>
        <w:spacing w:before="0" w:after="0" w:line="360" w:lineRule="auto"/>
        <w:jc w:val="left"/>
        <w:textAlignment w:val="auto"/>
        <w:outlineLvl w:val="2"/>
        <w:rPr>
          <w:rFonts w:ascii="宋体" w:hAnsi="宋体"/>
          <w:b/>
          <w:bCs/>
          <w:sz w:val="21"/>
          <w:szCs w:val="21"/>
          <w:highlight w:val="none"/>
        </w:rPr>
      </w:pPr>
      <w:bookmarkStart w:id="65" w:name="_Toc109736030"/>
      <w:bookmarkStart w:id="66" w:name="_Toc29658"/>
      <w:bookmarkStart w:id="67" w:name="_Toc541"/>
      <w:r>
        <w:rPr>
          <w:rFonts w:hint="eastAsia" w:ascii="宋体" w:hAnsi="宋体"/>
          <w:b/>
          <w:bCs/>
          <w:sz w:val="21"/>
          <w:szCs w:val="21"/>
          <w:highlight w:val="none"/>
        </w:rPr>
        <w:t xml:space="preserve">2． </w:t>
      </w:r>
      <w:r>
        <w:rPr>
          <w:rFonts w:hint="eastAsia" w:ascii="宋体" w:hAnsi="宋体"/>
          <w:b/>
          <w:bCs/>
          <w:sz w:val="21"/>
          <w:szCs w:val="21"/>
          <w:highlight w:val="none"/>
        </w:rPr>
        <w:tab/>
      </w:r>
      <w:r>
        <w:rPr>
          <w:rFonts w:hint="eastAsia" w:ascii="宋体" w:hAnsi="宋体"/>
          <w:b/>
          <w:bCs/>
          <w:sz w:val="21"/>
          <w:szCs w:val="21"/>
          <w:highlight w:val="none"/>
        </w:rPr>
        <w:t>资金来源</w:t>
      </w:r>
      <w:bookmarkEnd w:id="65"/>
      <w:bookmarkEnd w:id="66"/>
      <w:bookmarkEnd w:id="67"/>
    </w:p>
    <w:p w14:paraId="0CCDD9F5">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ascii="宋体" w:hAnsi="宋体"/>
          <w:szCs w:val="21"/>
          <w:highlight w:val="none"/>
        </w:rPr>
        <w:t>.1</w:t>
      </w:r>
      <w:r>
        <w:rPr>
          <w:rFonts w:hint="eastAsia" w:ascii="宋体" w:hAnsi="宋体"/>
          <w:szCs w:val="21"/>
          <w:highlight w:val="none"/>
        </w:rPr>
        <w:tab/>
      </w:r>
      <w:r>
        <w:rPr>
          <w:rFonts w:hint="eastAsia" w:ascii="宋体" w:hAnsi="宋体"/>
          <w:szCs w:val="21"/>
          <w:highlight w:val="none"/>
        </w:rPr>
        <w:t>本项目</w:t>
      </w:r>
      <w:r>
        <w:rPr>
          <w:rFonts w:hint="eastAsia" w:ascii="宋体" w:hAnsi="宋体"/>
          <w:szCs w:val="21"/>
          <w:highlight w:val="none"/>
          <w:lang w:eastAsia="zh-CN"/>
        </w:rPr>
        <w:t>采购公告</w:t>
      </w:r>
      <w:r>
        <w:rPr>
          <w:rFonts w:hint="eastAsia" w:ascii="宋体" w:hAnsi="宋体"/>
          <w:szCs w:val="21"/>
          <w:highlight w:val="none"/>
        </w:rPr>
        <w:t>所述的招标人已获得足以支付本次招标后所签订的合同项下的款项（包括财政性资金和本项目采购</w:t>
      </w:r>
      <w:r>
        <w:rPr>
          <w:rFonts w:ascii="宋体" w:hAnsi="宋体"/>
          <w:szCs w:val="21"/>
          <w:highlight w:val="none"/>
        </w:rPr>
        <w:t>中无法</w:t>
      </w:r>
      <w:r>
        <w:rPr>
          <w:rFonts w:hint="eastAsia" w:ascii="宋体" w:hAnsi="宋体"/>
          <w:szCs w:val="21"/>
          <w:highlight w:val="none"/>
        </w:rPr>
        <w:t>与</w:t>
      </w:r>
      <w:r>
        <w:rPr>
          <w:rFonts w:ascii="宋体" w:hAnsi="宋体"/>
          <w:szCs w:val="21"/>
          <w:highlight w:val="none"/>
        </w:rPr>
        <w:t>财政性资金分割的非财政性资金</w:t>
      </w:r>
      <w:r>
        <w:rPr>
          <w:rFonts w:hint="eastAsia" w:ascii="宋体" w:hAnsi="宋体"/>
          <w:szCs w:val="21"/>
          <w:highlight w:val="none"/>
        </w:rPr>
        <w:t>）。</w:t>
      </w:r>
    </w:p>
    <w:p w14:paraId="5E50B694">
      <w:pPr>
        <w:spacing w:line="360" w:lineRule="auto"/>
        <w:ind w:left="788" w:hanging="787" w:hangingChars="375"/>
        <w:rPr>
          <w:rFonts w:ascii="宋体" w:hAnsi="宋体"/>
          <w:szCs w:val="21"/>
          <w:highlight w:val="none"/>
        </w:rPr>
      </w:pPr>
      <w:r>
        <w:rPr>
          <w:rFonts w:hint="eastAsia" w:ascii="宋体" w:hAnsi="宋体"/>
          <w:szCs w:val="21"/>
          <w:highlight w:val="none"/>
        </w:rPr>
        <w:t>2.2    项目预算金额和分项或分包控制金额</w:t>
      </w:r>
      <w:r>
        <w:rPr>
          <w:rFonts w:hint="eastAsia" w:ascii="宋体" w:hAnsi="宋体"/>
          <w:szCs w:val="21"/>
          <w:highlight w:val="none"/>
          <w:u w:val="single"/>
        </w:rPr>
        <w:t>见投标人须知资料表</w:t>
      </w:r>
      <w:r>
        <w:rPr>
          <w:rFonts w:hint="eastAsia" w:ascii="宋体" w:hAnsi="宋体"/>
          <w:szCs w:val="21"/>
          <w:highlight w:val="none"/>
        </w:rPr>
        <w:t>。</w:t>
      </w:r>
    </w:p>
    <w:p w14:paraId="412B26E9">
      <w:pPr>
        <w:keepNext/>
        <w:keepLines/>
        <w:pageBreakBefore w:val="0"/>
        <w:widowControl/>
        <w:kinsoku/>
        <w:wordWrap/>
        <w:overflowPunct/>
        <w:topLinePunct w:val="0"/>
        <w:autoSpaceDE/>
        <w:autoSpaceDN/>
        <w:bidi w:val="0"/>
        <w:adjustRightInd/>
        <w:snapToGrid/>
        <w:spacing w:before="0" w:after="0" w:line="360" w:lineRule="auto"/>
        <w:textAlignment w:val="auto"/>
        <w:outlineLvl w:val="2"/>
        <w:rPr>
          <w:rFonts w:ascii="宋体" w:hAnsi="宋体"/>
          <w:b/>
          <w:bCs/>
          <w:sz w:val="21"/>
          <w:szCs w:val="21"/>
          <w:highlight w:val="none"/>
        </w:rPr>
      </w:pPr>
      <w:bookmarkStart w:id="68" w:name="_Toc109736031"/>
      <w:bookmarkStart w:id="69" w:name="_Toc520356145"/>
      <w:bookmarkStart w:id="70" w:name="_Toc30223"/>
      <w:bookmarkStart w:id="71" w:name="_Toc205"/>
      <w:r>
        <w:rPr>
          <w:rFonts w:hint="eastAsia" w:ascii="宋体" w:hAnsi="宋体"/>
          <w:b/>
          <w:bCs/>
          <w:sz w:val="21"/>
          <w:szCs w:val="21"/>
          <w:highlight w:val="none"/>
        </w:rPr>
        <w:t xml:space="preserve">3． </w:t>
      </w:r>
      <w:r>
        <w:rPr>
          <w:rFonts w:hint="eastAsia" w:ascii="宋体" w:hAnsi="宋体"/>
          <w:b/>
          <w:bCs/>
          <w:sz w:val="21"/>
          <w:szCs w:val="21"/>
          <w:highlight w:val="none"/>
        </w:rPr>
        <w:tab/>
      </w:r>
      <w:r>
        <w:rPr>
          <w:rFonts w:hint="eastAsia" w:ascii="宋体" w:hAnsi="宋体"/>
          <w:b/>
          <w:bCs/>
          <w:sz w:val="21"/>
          <w:szCs w:val="21"/>
          <w:highlight w:val="none"/>
        </w:rPr>
        <w:t>投标费用</w:t>
      </w:r>
      <w:bookmarkEnd w:id="68"/>
      <w:bookmarkEnd w:id="69"/>
      <w:bookmarkEnd w:id="70"/>
      <w:bookmarkEnd w:id="71"/>
    </w:p>
    <w:p w14:paraId="7195EDC0">
      <w:pPr>
        <w:spacing w:line="360" w:lineRule="auto"/>
        <w:ind w:left="788" w:hanging="787" w:hangingChars="375"/>
        <w:rPr>
          <w:rFonts w:hint="eastAsia" w:ascii="宋体" w:hAnsi="宋体"/>
          <w:szCs w:val="21"/>
          <w:highlight w:val="none"/>
        </w:rPr>
      </w:pPr>
      <w:r>
        <w:rPr>
          <w:rFonts w:ascii="宋体" w:hAnsi="宋体"/>
          <w:szCs w:val="21"/>
          <w:highlight w:val="none"/>
        </w:rPr>
        <w:tab/>
      </w:r>
      <w:r>
        <w:rPr>
          <w:rFonts w:hint="eastAsia" w:ascii="宋体" w:hAnsi="宋体"/>
          <w:szCs w:val="21"/>
          <w:highlight w:val="none"/>
        </w:rPr>
        <w:t>投标人应承担所有与准备和参加投标有关的费用，不论投标的结果如何，招标采购单位均无承担的义务和责任。</w:t>
      </w:r>
    </w:p>
    <w:p w14:paraId="4935FAE3">
      <w:pPr>
        <w:keepNext/>
        <w:keepLines/>
        <w:pageBreakBefore w:val="0"/>
        <w:widowControl/>
        <w:kinsoku/>
        <w:wordWrap/>
        <w:overflowPunct/>
        <w:topLinePunct w:val="0"/>
        <w:autoSpaceDE/>
        <w:autoSpaceDN/>
        <w:bidi w:val="0"/>
        <w:adjustRightInd/>
        <w:snapToGrid/>
        <w:spacing w:before="0" w:after="0" w:line="360" w:lineRule="auto"/>
        <w:jc w:val="left"/>
        <w:textAlignment w:val="auto"/>
        <w:outlineLvl w:val="2"/>
        <w:rPr>
          <w:rFonts w:hint="eastAsia" w:ascii="宋体" w:hAnsi="宋体"/>
          <w:b/>
          <w:bCs/>
          <w:sz w:val="21"/>
          <w:szCs w:val="21"/>
          <w:highlight w:val="none"/>
        </w:rPr>
      </w:pPr>
      <w:bookmarkStart w:id="72" w:name="_Toc109736032"/>
      <w:bookmarkStart w:id="73" w:name="_Toc27623"/>
      <w:bookmarkStart w:id="74" w:name="_Toc472"/>
      <w:r>
        <w:rPr>
          <w:rFonts w:hint="eastAsia" w:ascii="宋体" w:hAnsi="宋体"/>
          <w:b/>
          <w:bCs/>
          <w:sz w:val="21"/>
          <w:szCs w:val="21"/>
          <w:highlight w:val="none"/>
        </w:rPr>
        <w:t>4.     适用法律</w:t>
      </w:r>
      <w:bookmarkEnd w:id="72"/>
      <w:bookmarkEnd w:id="73"/>
      <w:bookmarkEnd w:id="74"/>
    </w:p>
    <w:p w14:paraId="7AF2F7C8">
      <w:pPr>
        <w:spacing w:line="360" w:lineRule="auto"/>
        <w:ind w:left="788" w:hanging="787" w:hangingChars="375"/>
        <w:rPr>
          <w:rFonts w:hint="eastAsia" w:ascii="宋体" w:hAnsi="宋体"/>
          <w:szCs w:val="21"/>
          <w:highlight w:val="none"/>
        </w:rPr>
      </w:pPr>
      <w:r>
        <w:rPr>
          <w:rFonts w:hint="eastAsia" w:ascii="宋体" w:hAnsi="宋体"/>
          <w:szCs w:val="21"/>
          <w:highlight w:val="none"/>
        </w:rPr>
        <w:t xml:space="preserve">       本次招标属货物类国内公开招标，招标采购单位、投标人、评标委员会的相关行为均受《</w:t>
      </w:r>
      <w:r>
        <w:rPr>
          <w:rFonts w:ascii="宋体" w:hAnsi="宋体"/>
          <w:szCs w:val="21"/>
          <w:highlight w:val="none"/>
        </w:rPr>
        <w:t>中华人民共和国招标投标法</w:t>
      </w:r>
      <w:r>
        <w:rPr>
          <w:rFonts w:hint="eastAsia" w:ascii="宋体" w:hAnsi="宋体"/>
          <w:szCs w:val="21"/>
          <w:highlight w:val="none"/>
        </w:rPr>
        <w:t>》、《</w:t>
      </w:r>
      <w:r>
        <w:rPr>
          <w:rFonts w:ascii="宋体" w:hAnsi="宋体"/>
          <w:szCs w:val="21"/>
          <w:highlight w:val="none"/>
        </w:rPr>
        <w:t>中华人民共和国招标投标法实施条例》</w:t>
      </w:r>
      <w:r>
        <w:rPr>
          <w:rFonts w:hint="eastAsia" w:ascii="宋体" w:hAnsi="宋体"/>
          <w:szCs w:val="21"/>
          <w:highlight w:val="none"/>
        </w:rPr>
        <w:t>。</w:t>
      </w:r>
    </w:p>
    <w:p w14:paraId="28B6A4FB">
      <w:pPr>
        <w:spacing w:line="360" w:lineRule="auto"/>
        <w:ind w:left="1080" w:leftChars="257" w:hanging="540"/>
        <w:rPr>
          <w:rFonts w:hint="eastAsia" w:ascii="宋体" w:hAnsi="宋体"/>
          <w:szCs w:val="21"/>
          <w:highlight w:val="none"/>
        </w:rPr>
      </w:pPr>
    </w:p>
    <w:p w14:paraId="730DFA5B">
      <w:pPr>
        <w:pStyle w:val="4"/>
        <w:spacing w:before="0" w:line="360" w:lineRule="auto"/>
        <w:jc w:val="center"/>
        <w:rPr>
          <w:rFonts w:hint="eastAsia" w:ascii="宋体" w:hAnsi="宋体" w:eastAsia="宋体"/>
          <w:sz w:val="24"/>
          <w:szCs w:val="24"/>
          <w:highlight w:val="none"/>
        </w:rPr>
      </w:pPr>
      <w:bookmarkStart w:id="75" w:name="_Toc216582806"/>
      <w:bookmarkStart w:id="76" w:name="_Toc520356146"/>
      <w:bookmarkStart w:id="77" w:name="_Toc109736033"/>
      <w:bookmarkStart w:id="78" w:name="_Toc1810"/>
      <w:r>
        <w:rPr>
          <w:rFonts w:hint="eastAsia" w:ascii="宋体" w:hAnsi="宋体" w:eastAsia="宋体"/>
          <w:sz w:val="24"/>
          <w:szCs w:val="24"/>
          <w:highlight w:val="none"/>
        </w:rPr>
        <w:t>二   招标文件</w:t>
      </w:r>
      <w:bookmarkEnd w:id="75"/>
      <w:bookmarkEnd w:id="76"/>
      <w:bookmarkEnd w:id="77"/>
      <w:bookmarkEnd w:id="78"/>
    </w:p>
    <w:p w14:paraId="02BAFC9C">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ascii="宋体" w:hAnsi="宋体"/>
          <w:b/>
          <w:bCs/>
          <w:sz w:val="21"/>
          <w:szCs w:val="21"/>
          <w:highlight w:val="none"/>
        </w:rPr>
      </w:pPr>
      <w:bookmarkStart w:id="79" w:name="_Toc520356147"/>
      <w:bookmarkStart w:id="80" w:name="_Toc109736034"/>
      <w:r>
        <w:rPr>
          <w:rFonts w:hint="eastAsia" w:ascii="宋体" w:hAnsi="宋体"/>
          <w:b/>
          <w:bCs/>
          <w:sz w:val="21"/>
          <w:szCs w:val="21"/>
          <w:highlight w:val="none"/>
        </w:rPr>
        <w:t>5.</w:t>
      </w:r>
      <w:r>
        <w:rPr>
          <w:rFonts w:hint="eastAsia" w:ascii="宋体" w:hAnsi="宋体"/>
          <w:b/>
          <w:bCs/>
          <w:sz w:val="21"/>
          <w:szCs w:val="21"/>
          <w:highlight w:val="none"/>
        </w:rPr>
        <w:tab/>
      </w:r>
      <w:r>
        <w:rPr>
          <w:rFonts w:hint="eastAsia" w:ascii="宋体" w:hAnsi="宋体"/>
          <w:b/>
          <w:bCs/>
          <w:sz w:val="21"/>
          <w:szCs w:val="21"/>
          <w:highlight w:val="none"/>
        </w:rPr>
        <w:t xml:space="preserve">    招标文件构成</w:t>
      </w:r>
      <w:bookmarkEnd w:id="79"/>
      <w:bookmarkEnd w:id="80"/>
    </w:p>
    <w:p w14:paraId="07CABC88">
      <w:pPr>
        <w:spacing w:line="360" w:lineRule="auto"/>
        <w:ind w:left="788" w:hanging="787" w:hangingChars="375"/>
        <w:rPr>
          <w:rFonts w:hint="eastAsia" w:ascii="宋体" w:hAnsi="宋体"/>
          <w:szCs w:val="21"/>
          <w:highlight w:val="none"/>
        </w:rPr>
      </w:pPr>
      <w:r>
        <w:rPr>
          <w:rFonts w:hint="eastAsia" w:ascii="宋体" w:hAnsi="宋体"/>
          <w:szCs w:val="21"/>
          <w:highlight w:val="none"/>
        </w:rPr>
        <w:t>5.1</w:t>
      </w:r>
      <w:r>
        <w:rPr>
          <w:rFonts w:hint="eastAsia" w:ascii="宋体" w:hAnsi="宋体"/>
          <w:szCs w:val="21"/>
          <w:highlight w:val="none"/>
        </w:rPr>
        <w:tab/>
      </w:r>
      <w:r>
        <w:rPr>
          <w:rFonts w:hint="eastAsia" w:ascii="宋体" w:hAnsi="宋体"/>
          <w:szCs w:val="21"/>
          <w:highlight w:val="none"/>
        </w:rPr>
        <w:t>要求提供货物的内容及详细技术需求、投标须知和合同条件等在招标文件中均有说明。</w:t>
      </w:r>
    </w:p>
    <w:p w14:paraId="6473B4BD">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招标文件共六章，内容如下：</w:t>
      </w:r>
    </w:p>
    <w:p w14:paraId="1816291B">
      <w:pPr>
        <w:numPr>
          <w:ilvl w:val="0"/>
          <w:numId w:val="12"/>
        </w:numPr>
        <w:tabs>
          <w:tab w:val="left" w:pos="0"/>
        </w:tabs>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投标</w:t>
      </w:r>
      <w:r>
        <w:rPr>
          <w:rFonts w:hint="eastAsia" w:ascii="宋体" w:hAnsi="宋体"/>
          <w:szCs w:val="21"/>
          <w:highlight w:val="none"/>
          <w:lang w:val="en-US" w:eastAsia="zh-CN"/>
        </w:rPr>
        <w:t>公告</w:t>
      </w:r>
    </w:p>
    <w:p w14:paraId="528D1D2D">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投标人须知</w:t>
      </w:r>
    </w:p>
    <w:p w14:paraId="355CFFB0">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合同条款</w:t>
      </w:r>
    </w:p>
    <w:p w14:paraId="13361523">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附件—投标文件格式</w:t>
      </w:r>
    </w:p>
    <w:p w14:paraId="04BEA235">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评标方法和标准</w:t>
      </w:r>
    </w:p>
    <w:p w14:paraId="1522A289">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货物技术要求</w:t>
      </w:r>
    </w:p>
    <w:p w14:paraId="6809D151">
      <w:pPr>
        <w:spacing w:line="360" w:lineRule="auto"/>
        <w:ind w:left="788" w:hanging="787" w:hangingChars="375"/>
        <w:rPr>
          <w:rFonts w:hint="eastAsia" w:ascii="宋体" w:hAnsi="宋体"/>
          <w:szCs w:val="21"/>
          <w:highlight w:val="none"/>
        </w:rPr>
      </w:pPr>
      <w:r>
        <w:rPr>
          <w:rFonts w:hint="eastAsia" w:ascii="宋体" w:hAnsi="宋体"/>
          <w:szCs w:val="21"/>
          <w:highlight w:val="none"/>
        </w:rPr>
        <w:t>5.2    投标人应认真阅读招标文件所有的事项、格式、条款和技术规范等。如投标人没有按照招标文件要求提交全部资料，或者投标文件没有对招标文件在各方面都做出实质性响应是投标人的风险，并可能导致其投标被拒绝。</w:t>
      </w:r>
    </w:p>
    <w:p w14:paraId="033AE3D5">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81" w:name="_Toc520356148"/>
      <w:bookmarkStart w:id="82" w:name="_Toc109736035"/>
      <w:r>
        <w:rPr>
          <w:rFonts w:hint="eastAsia" w:ascii="宋体" w:hAnsi="宋体" w:eastAsia="宋体" w:cs="Times New Roman"/>
          <w:b/>
          <w:bCs/>
          <w:sz w:val="21"/>
          <w:szCs w:val="21"/>
          <w:highlight w:val="none"/>
        </w:rPr>
        <w:t>6.</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招标文件的澄清</w:t>
      </w:r>
      <w:bookmarkEnd w:id="81"/>
      <w:bookmarkEnd w:id="82"/>
    </w:p>
    <w:p w14:paraId="78ED10A5">
      <w:pPr>
        <w:spacing w:line="360" w:lineRule="auto"/>
        <w:ind w:left="788" w:hanging="787" w:hangingChars="375"/>
        <w:rPr>
          <w:rFonts w:ascii="宋体" w:hAnsi="宋体"/>
          <w:szCs w:val="21"/>
          <w:highlight w:val="none"/>
        </w:rPr>
      </w:pPr>
      <w:r>
        <w:rPr>
          <w:rFonts w:ascii="宋体" w:hAnsi="宋体"/>
          <w:szCs w:val="21"/>
          <w:highlight w:val="none"/>
        </w:rPr>
        <w:tab/>
      </w:r>
      <w:r>
        <w:rPr>
          <w:rFonts w:hint="eastAsia" w:ascii="宋体" w:hAnsi="宋体"/>
          <w:szCs w:val="21"/>
          <w:highlight w:val="none"/>
        </w:rPr>
        <w:t>任何要求对招标文件进行澄清的投标人，均应以书面形式通知招标采购单位。为了</w:t>
      </w:r>
      <w:r>
        <w:rPr>
          <w:rFonts w:ascii="宋体" w:hAnsi="宋体"/>
          <w:szCs w:val="21"/>
          <w:highlight w:val="none"/>
        </w:rPr>
        <w:t>保证对招标文件的</w:t>
      </w:r>
      <w:r>
        <w:rPr>
          <w:rFonts w:hint="eastAsia" w:ascii="宋体" w:hAnsi="宋体"/>
          <w:szCs w:val="21"/>
          <w:highlight w:val="none"/>
        </w:rPr>
        <w:t>澄清</w:t>
      </w:r>
      <w:r>
        <w:rPr>
          <w:rFonts w:ascii="宋体" w:hAnsi="宋体"/>
          <w:szCs w:val="21"/>
          <w:highlight w:val="none"/>
        </w:rPr>
        <w:t>和修改满足</w:t>
      </w:r>
      <w:r>
        <w:rPr>
          <w:rFonts w:hint="eastAsia" w:ascii="宋体" w:hAnsi="宋体"/>
          <w:szCs w:val="21"/>
          <w:highlight w:val="none"/>
        </w:rPr>
        <w:t>法律</w:t>
      </w:r>
      <w:r>
        <w:rPr>
          <w:rFonts w:ascii="宋体" w:hAnsi="宋体"/>
          <w:szCs w:val="21"/>
          <w:highlight w:val="none"/>
        </w:rPr>
        <w:t>的</w:t>
      </w:r>
      <w:r>
        <w:rPr>
          <w:rFonts w:hint="eastAsia" w:ascii="宋体" w:hAnsi="宋体"/>
          <w:szCs w:val="21"/>
          <w:highlight w:val="none"/>
        </w:rPr>
        <w:t>时限</w:t>
      </w:r>
      <w:r>
        <w:rPr>
          <w:rFonts w:ascii="宋体" w:hAnsi="宋体"/>
          <w:szCs w:val="21"/>
          <w:highlight w:val="none"/>
        </w:rPr>
        <w:t>要求，</w:t>
      </w:r>
      <w:r>
        <w:rPr>
          <w:rFonts w:hint="eastAsia" w:ascii="宋体" w:hAnsi="宋体"/>
          <w:szCs w:val="21"/>
          <w:highlight w:val="none"/>
        </w:rPr>
        <w:t>投标</w:t>
      </w:r>
      <w:r>
        <w:rPr>
          <w:rFonts w:ascii="宋体" w:hAnsi="宋体"/>
          <w:szCs w:val="21"/>
          <w:highlight w:val="none"/>
        </w:rPr>
        <w:t>人应在投标截止</w:t>
      </w:r>
      <w:r>
        <w:rPr>
          <w:rFonts w:hint="eastAsia" w:ascii="宋体" w:hAnsi="宋体"/>
          <w:szCs w:val="21"/>
          <w:highlight w:val="none"/>
        </w:rPr>
        <w:t>期</w:t>
      </w:r>
      <w:r>
        <w:rPr>
          <w:rFonts w:hint="eastAsia" w:ascii="宋体" w:hAnsi="宋体"/>
          <w:szCs w:val="21"/>
          <w:highlight w:val="none"/>
          <w:lang w:val="en-US" w:eastAsia="zh-CN"/>
        </w:rPr>
        <w:t>三</w:t>
      </w:r>
      <w:r>
        <w:rPr>
          <w:rFonts w:hint="eastAsia" w:ascii="宋体" w:hAnsi="宋体"/>
          <w:szCs w:val="21"/>
          <w:highlight w:val="none"/>
        </w:rPr>
        <w:t>日前提出并送达澄清要求至招标采购单位。招标采购单位应以公告和书面形式通知每个购买招标文件的投标人（答复中不包括问题的来源）。</w:t>
      </w:r>
    </w:p>
    <w:p w14:paraId="38523297">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83" w:name="_Toc520356149"/>
      <w:bookmarkStart w:id="84" w:name="_Toc109736036"/>
      <w:bookmarkStart w:id="85" w:name="_Ref467378678"/>
      <w:r>
        <w:rPr>
          <w:rFonts w:hint="eastAsia" w:ascii="宋体" w:hAnsi="宋体" w:eastAsia="宋体" w:cs="Times New Roman"/>
          <w:b/>
          <w:bCs/>
          <w:sz w:val="21"/>
          <w:szCs w:val="21"/>
          <w:highlight w:val="none"/>
        </w:rPr>
        <w:t>7.</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招标文件的修改</w:t>
      </w:r>
      <w:bookmarkEnd w:id="83"/>
      <w:bookmarkEnd w:id="84"/>
      <w:bookmarkEnd w:id="85"/>
    </w:p>
    <w:p w14:paraId="65A0C66D">
      <w:pPr>
        <w:spacing w:line="360" w:lineRule="auto"/>
        <w:ind w:left="893" w:hanging="892" w:hangingChars="425"/>
        <w:rPr>
          <w:rFonts w:hint="eastAsia" w:ascii="宋体" w:hAnsi="宋体"/>
          <w:szCs w:val="21"/>
          <w:highlight w:val="none"/>
        </w:rPr>
      </w:pPr>
      <w:r>
        <w:rPr>
          <w:rFonts w:hint="eastAsia" w:ascii="宋体" w:hAnsi="宋体"/>
          <w:szCs w:val="21"/>
          <w:highlight w:val="none"/>
        </w:rPr>
        <w:t>7</w:t>
      </w:r>
      <w:r>
        <w:rPr>
          <w:rFonts w:ascii="宋体" w:hAnsi="宋体"/>
          <w:szCs w:val="21"/>
          <w:highlight w:val="none"/>
        </w:rPr>
        <w:t>.1</w:t>
      </w:r>
      <w:r>
        <w:rPr>
          <w:rFonts w:ascii="宋体" w:hAnsi="宋体"/>
          <w:szCs w:val="21"/>
          <w:highlight w:val="none"/>
        </w:rPr>
        <w:tab/>
      </w:r>
      <w:r>
        <w:rPr>
          <w:rFonts w:hint="eastAsia" w:ascii="宋体" w:hAnsi="宋体"/>
          <w:szCs w:val="21"/>
          <w:highlight w:val="none"/>
        </w:rPr>
        <w:t>在投标截止期</w:t>
      </w:r>
      <w:r>
        <w:rPr>
          <w:rFonts w:hint="eastAsia" w:ascii="宋体" w:hAnsi="宋体"/>
          <w:szCs w:val="21"/>
          <w:highlight w:val="none"/>
          <w:lang w:val="en-US" w:eastAsia="zh-CN"/>
        </w:rPr>
        <w:t>五</w:t>
      </w:r>
      <w:r>
        <w:rPr>
          <w:rFonts w:hint="eastAsia" w:ascii="宋体" w:hAnsi="宋体"/>
          <w:szCs w:val="21"/>
          <w:highlight w:val="none"/>
        </w:rPr>
        <w:t>日前，招标采购单位可主动地或在解答投标人提出的澄清问题时对招标文件进行修改。</w:t>
      </w:r>
    </w:p>
    <w:p w14:paraId="6F817E1C">
      <w:pPr>
        <w:spacing w:line="360" w:lineRule="auto"/>
        <w:ind w:left="788" w:hanging="787" w:hangingChars="375"/>
        <w:rPr>
          <w:rFonts w:ascii="宋体" w:hAnsi="宋体"/>
          <w:szCs w:val="21"/>
          <w:highlight w:val="none"/>
        </w:rPr>
      </w:pPr>
      <w:r>
        <w:rPr>
          <w:rFonts w:hint="eastAsia" w:ascii="宋体" w:hAnsi="宋体"/>
          <w:szCs w:val="21"/>
          <w:highlight w:val="none"/>
        </w:rPr>
        <w:t>7</w:t>
      </w:r>
      <w:r>
        <w:rPr>
          <w:rFonts w:ascii="宋体" w:hAnsi="宋体"/>
          <w:szCs w:val="21"/>
          <w:highlight w:val="none"/>
        </w:rPr>
        <w:t>.2</w:t>
      </w:r>
      <w:r>
        <w:rPr>
          <w:rFonts w:ascii="宋体" w:hAnsi="宋体"/>
          <w:szCs w:val="21"/>
          <w:highlight w:val="none"/>
        </w:rPr>
        <w:tab/>
      </w:r>
      <w:r>
        <w:rPr>
          <w:rFonts w:hint="eastAsia" w:ascii="宋体" w:hAnsi="宋体"/>
          <w:szCs w:val="21"/>
          <w:highlight w:val="none"/>
        </w:rPr>
        <w:t>招标文件的修改应以公告和书面形式通知所有购买招标文件的投标人，并对其具有约束力。投标人在收到上述通知后，应立即向招标采购单位回函确认。</w:t>
      </w:r>
    </w:p>
    <w:p w14:paraId="294681D8">
      <w:pPr>
        <w:spacing w:line="360" w:lineRule="auto"/>
        <w:ind w:left="788" w:hanging="787" w:hangingChars="375"/>
        <w:rPr>
          <w:rFonts w:ascii="宋体" w:hAnsi="宋体"/>
          <w:szCs w:val="21"/>
          <w:highlight w:val="none"/>
        </w:rPr>
      </w:pPr>
      <w:r>
        <w:rPr>
          <w:rFonts w:hint="eastAsia" w:ascii="宋体" w:hAnsi="宋体"/>
          <w:szCs w:val="21"/>
          <w:highlight w:val="none"/>
        </w:rPr>
        <w:t>7</w:t>
      </w:r>
      <w:r>
        <w:rPr>
          <w:rFonts w:ascii="宋体" w:hAnsi="宋体"/>
          <w:szCs w:val="21"/>
          <w:highlight w:val="none"/>
        </w:rPr>
        <w:t>.3</w:t>
      </w:r>
      <w:r>
        <w:rPr>
          <w:rFonts w:ascii="宋体" w:hAnsi="宋体"/>
          <w:szCs w:val="21"/>
          <w:highlight w:val="none"/>
        </w:rPr>
        <w:tab/>
      </w:r>
      <w:r>
        <w:rPr>
          <w:rFonts w:hint="eastAsia" w:ascii="宋体" w:hAnsi="宋体"/>
          <w:szCs w:val="21"/>
          <w:highlight w:val="none"/>
        </w:rPr>
        <w:t>为使投标人准备投标时有足够的时间对招标文件的修改部分进行研究，招标采购单位有权决定是否延长投标截止期。</w:t>
      </w:r>
    </w:p>
    <w:p w14:paraId="4CB771E6">
      <w:pPr>
        <w:spacing w:line="360" w:lineRule="auto"/>
        <w:ind w:left="788" w:hanging="787" w:hangingChars="375"/>
        <w:rPr>
          <w:rFonts w:hint="eastAsia" w:ascii="宋体" w:hAnsi="宋体"/>
          <w:szCs w:val="21"/>
          <w:highlight w:val="none"/>
        </w:rPr>
      </w:pPr>
    </w:p>
    <w:p w14:paraId="5ADEBD9C">
      <w:pPr>
        <w:rPr>
          <w:rFonts w:hint="eastAsia" w:ascii="宋体" w:hAnsi="宋体"/>
          <w:szCs w:val="21"/>
          <w:highlight w:val="none"/>
        </w:rPr>
      </w:pPr>
      <w:bookmarkStart w:id="86" w:name="_Toc516367020"/>
      <w:bookmarkStart w:id="87" w:name="_Toc216582807"/>
      <w:bookmarkStart w:id="88" w:name="_Toc520356150"/>
    </w:p>
    <w:p w14:paraId="0105ABCE">
      <w:pPr>
        <w:pStyle w:val="4"/>
        <w:keepNext/>
        <w:keepLines/>
        <w:pageBreakBefore w:val="0"/>
        <w:widowControl w:val="0"/>
        <w:tabs>
          <w:tab w:val="left" w:pos="900"/>
        </w:tabs>
        <w:kinsoku/>
        <w:wordWrap/>
        <w:overflowPunct/>
        <w:topLinePunct w:val="0"/>
        <w:autoSpaceDE/>
        <w:autoSpaceDN/>
        <w:bidi w:val="0"/>
        <w:adjustRightInd/>
        <w:snapToGrid/>
        <w:spacing w:before="0" w:line="360" w:lineRule="auto"/>
        <w:jc w:val="center"/>
        <w:textAlignment w:val="auto"/>
        <w:rPr>
          <w:rFonts w:hint="eastAsia" w:ascii="宋体" w:hAnsi="宋体" w:eastAsia="宋体"/>
          <w:sz w:val="24"/>
          <w:szCs w:val="24"/>
          <w:highlight w:val="none"/>
        </w:rPr>
      </w:pPr>
      <w:bookmarkStart w:id="89" w:name="_Toc8001"/>
      <w:bookmarkStart w:id="90" w:name="_Toc109736037"/>
      <w:r>
        <w:rPr>
          <w:rFonts w:hint="eastAsia" w:ascii="宋体" w:hAnsi="宋体" w:eastAsia="宋体"/>
          <w:sz w:val="24"/>
          <w:szCs w:val="24"/>
          <w:highlight w:val="none"/>
        </w:rPr>
        <w:t>三   投标文件</w:t>
      </w:r>
      <w:bookmarkEnd w:id="86"/>
      <w:r>
        <w:rPr>
          <w:rFonts w:hint="eastAsia" w:ascii="宋体" w:hAnsi="宋体" w:eastAsia="宋体"/>
          <w:sz w:val="24"/>
          <w:szCs w:val="24"/>
          <w:highlight w:val="none"/>
        </w:rPr>
        <w:t>的编制</w:t>
      </w:r>
      <w:bookmarkEnd w:id="87"/>
      <w:bookmarkEnd w:id="88"/>
      <w:bookmarkEnd w:id="89"/>
      <w:bookmarkEnd w:id="90"/>
    </w:p>
    <w:p w14:paraId="23239D36">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91" w:name="_Toc109736038"/>
      <w:bookmarkStart w:id="92" w:name="_Toc520356151"/>
      <w:bookmarkStart w:id="93" w:name="_Toc516367021"/>
      <w:r>
        <w:rPr>
          <w:rFonts w:hint="eastAsia" w:ascii="宋体" w:hAnsi="宋体" w:eastAsia="宋体" w:cs="Times New Roman"/>
          <w:b/>
          <w:bCs/>
          <w:sz w:val="21"/>
          <w:szCs w:val="21"/>
          <w:highlight w:val="none"/>
        </w:rPr>
        <w:t>8.</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投标范围及投标文件中标准和计量单位的使用</w:t>
      </w:r>
      <w:bookmarkEnd w:id="91"/>
      <w:bookmarkEnd w:id="92"/>
      <w:bookmarkEnd w:id="93"/>
    </w:p>
    <w:p w14:paraId="79F5B3AC">
      <w:pPr>
        <w:spacing w:line="360" w:lineRule="auto"/>
        <w:ind w:left="788" w:hanging="787" w:hangingChars="375"/>
        <w:rPr>
          <w:rFonts w:hint="eastAsia" w:ascii="宋体" w:hAnsi="宋体"/>
          <w:szCs w:val="21"/>
          <w:highlight w:val="none"/>
        </w:rPr>
      </w:pPr>
      <w:r>
        <w:rPr>
          <w:rFonts w:hint="eastAsia" w:ascii="宋体" w:hAnsi="宋体"/>
          <w:szCs w:val="21"/>
          <w:highlight w:val="none"/>
        </w:rPr>
        <w:t>8</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投标人可对招标文件中“货物需求一览表”所列的所有货物进行投标，也可只对其中一包或几包货物进行投标，除非在</w:t>
      </w:r>
      <w:r>
        <w:rPr>
          <w:rFonts w:hint="eastAsia" w:ascii="宋体" w:hAnsi="宋体"/>
          <w:szCs w:val="21"/>
          <w:highlight w:val="none"/>
          <w:u w:val="single"/>
        </w:rPr>
        <w:t>投标人须知资料表</w:t>
      </w:r>
      <w:r>
        <w:rPr>
          <w:rFonts w:hint="eastAsia" w:ascii="宋体" w:hAnsi="宋体"/>
          <w:szCs w:val="21"/>
          <w:highlight w:val="none"/>
        </w:rPr>
        <w:t>中另有规定。但无论如何，均不得将一包中的内容拆开投标。</w:t>
      </w:r>
    </w:p>
    <w:p w14:paraId="5FE84E13">
      <w:pPr>
        <w:spacing w:line="360" w:lineRule="auto"/>
        <w:ind w:left="788" w:hanging="787" w:hangingChars="375"/>
        <w:rPr>
          <w:rFonts w:hint="eastAsia" w:ascii="宋体" w:hAnsi="宋体"/>
          <w:szCs w:val="21"/>
          <w:highlight w:val="none"/>
        </w:rPr>
      </w:pPr>
      <w:r>
        <w:rPr>
          <w:rFonts w:hint="eastAsia" w:ascii="宋体" w:hAnsi="宋体"/>
          <w:szCs w:val="21"/>
          <w:highlight w:val="none"/>
        </w:rPr>
        <w:t>8.2     如</w:t>
      </w:r>
      <w:r>
        <w:rPr>
          <w:rFonts w:hint="eastAsia" w:ascii="宋体" w:hAnsi="宋体"/>
          <w:szCs w:val="21"/>
          <w:highlight w:val="none"/>
          <w:u w:val="single"/>
        </w:rPr>
        <w:t>投标人须知资料表</w:t>
      </w:r>
      <w:r>
        <w:rPr>
          <w:rFonts w:hint="eastAsia" w:ascii="宋体" w:hAnsi="宋体"/>
          <w:szCs w:val="21"/>
          <w:highlight w:val="none"/>
        </w:rPr>
        <w:t>中允许提供备选方案，投标人可提交符合招标文件要求备选投标方案及其报价，但要明确标明“备选方案”。备选方案只能有一个，提供两个以上备选方案的投标将作为无效投标被拒绝。如不允许提交备选方案，所有提交备选方案的投标将作为无效投标被拒绝。</w:t>
      </w:r>
    </w:p>
    <w:p w14:paraId="238B0267">
      <w:pPr>
        <w:spacing w:line="360" w:lineRule="auto"/>
        <w:ind w:left="788" w:hanging="787" w:hangingChars="375"/>
        <w:rPr>
          <w:rFonts w:ascii="宋体" w:hAnsi="宋体"/>
          <w:szCs w:val="21"/>
          <w:highlight w:val="none"/>
        </w:rPr>
      </w:pPr>
      <w:r>
        <w:rPr>
          <w:rFonts w:hint="eastAsia" w:ascii="宋体" w:hAnsi="宋体"/>
          <w:szCs w:val="21"/>
          <w:highlight w:val="none"/>
        </w:rPr>
        <w:t>8.3     无论招标文件第八章货物需求一览表及技术规格中是否要求，投标人所投货物均应符合国家强制性标准。</w:t>
      </w:r>
    </w:p>
    <w:p w14:paraId="2A2E5DAC">
      <w:pPr>
        <w:spacing w:line="360" w:lineRule="auto"/>
        <w:ind w:left="788" w:hanging="787" w:hangingChars="375"/>
        <w:rPr>
          <w:rFonts w:ascii="宋体" w:hAnsi="宋体"/>
          <w:szCs w:val="21"/>
          <w:highlight w:val="none"/>
        </w:rPr>
      </w:pPr>
      <w:r>
        <w:rPr>
          <w:rFonts w:hint="eastAsia" w:ascii="宋体" w:hAnsi="宋体"/>
          <w:szCs w:val="21"/>
          <w:highlight w:val="none"/>
        </w:rPr>
        <w:t>8</w:t>
      </w:r>
      <w:r>
        <w:rPr>
          <w:rFonts w:ascii="宋体" w:hAnsi="宋体"/>
          <w:szCs w:val="21"/>
          <w:highlight w:val="none"/>
        </w:rPr>
        <w:t>.</w:t>
      </w:r>
      <w:r>
        <w:rPr>
          <w:rFonts w:hint="eastAsia" w:ascii="宋体" w:hAnsi="宋体"/>
          <w:szCs w:val="21"/>
          <w:highlight w:val="none"/>
        </w:rPr>
        <w:t>4</w:t>
      </w:r>
      <w:r>
        <w:rPr>
          <w:rFonts w:ascii="宋体" w:hAnsi="宋体"/>
          <w:szCs w:val="21"/>
          <w:highlight w:val="none"/>
        </w:rPr>
        <w:tab/>
      </w:r>
      <w:r>
        <w:rPr>
          <w:rFonts w:hint="eastAsia" w:ascii="宋体" w:hAnsi="宋体"/>
          <w:szCs w:val="21"/>
          <w:highlight w:val="none"/>
        </w:rPr>
        <w:t>投标文件中所使用的计量单位，除招标文件中有特殊要求外，应采用中华人民共和国法定计量单位。</w:t>
      </w:r>
    </w:p>
    <w:p w14:paraId="5AD42F01">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94" w:name="_Toc516367022"/>
      <w:bookmarkStart w:id="95" w:name="_Ref467306195"/>
      <w:bookmarkStart w:id="96" w:name="_Ref467306676"/>
      <w:bookmarkStart w:id="97" w:name="_Toc109736039"/>
      <w:bookmarkStart w:id="98" w:name="_Toc520356152"/>
      <w:r>
        <w:rPr>
          <w:rFonts w:hint="eastAsia" w:ascii="宋体" w:hAnsi="宋体" w:eastAsia="宋体" w:cs="Times New Roman"/>
          <w:b/>
          <w:bCs/>
          <w:sz w:val="21"/>
          <w:szCs w:val="21"/>
          <w:highlight w:val="none"/>
        </w:rPr>
        <w:t>9.</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投标文件</w:t>
      </w:r>
      <w:bookmarkEnd w:id="94"/>
      <w:bookmarkEnd w:id="95"/>
      <w:bookmarkEnd w:id="96"/>
      <w:r>
        <w:rPr>
          <w:rFonts w:hint="eastAsia" w:ascii="宋体" w:hAnsi="宋体" w:eastAsia="宋体" w:cs="Times New Roman"/>
          <w:b/>
          <w:bCs/>
          <w:sz w:val="21"/>
          <w:szCs w:val="21"/>
          <w:highlight w:val="none"/>
        </w:rPr>
        <w:t>构成</w:t>
      </w:r>
      <w:bookmarkEnd w:id="97"/>
      <w:bookmarkEnd w:id="98"/>
    </w:p>
    <w:p w14:paraId="0981EF3D">
      <w:pPr>
        <w:spacing w:line="360" w:lineRule="auto"/>
        <w:ind w:left="788" w:hanging="787" w:hangingChars="375"/>
        <w:rPr>
          <w:rFonts w:hint="eastAsia" w:ascii="宋体" w:hAnsi="宋体"/>
          <w:szCs w:val="21"/>
          <w:highlight w:val="none"/>
        </w:rPr>
      </w:pPr>
      <w:bookmarkStart w:id="99" w:name="_Ref467052588"/>
      <w:r>
        <w:rPr>
          <w:rFonts w:hint="eastAsia" w:ascii="宋体" w:hAnsi="宋体"/>
          <w:szCs w:val="21"/>
          <w:highlight w:val="none"/>
        </w:rPr>
        <w:t>9</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投标人应完整地按招标文件提供的投标文件格式填写投标文件，投标文件应包括以下内容</w:t>
      </w:r>
      <w:bookmarkEnd w:id="99"/>
      <w:r>
        <w:rPr>
          <w:rFonts w:hint="eastAsia" w:ascii="宋体" w:hAnsi="宋体"/>
          <w:szCs w:val="21"/>
          <w:highlight w:val="none"/>
        </w:rPr>
        <w:t>，如不完整将按无效投标处理：</w:t>
      </w:r>
    </w:p>
    <w:p w14:paraId="6CDA4146">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附件1——投标书（格式）</w:t>
      </w:r>
    </w:p>
    <w:p w14:paraId="38EF0100">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附件2——开标一览表（格式）</w:t>
      </w:r>
    </w:p>
    <w:p w14:paraId="6B24C6E8">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3</w:t>
      </w:r>
      <w:r>
        <w:rPr>
          <w:rFonts w:hint="eastAsia" w:ascii="宋体" w:hAnsi="宋体"/>
          <w:szCs w:val="21"/>
          <w:highlight w:val="none"/>
        </w:rPr>
        <w:t>——商务条款偏离表（格式）</w:t>
      </w:r>
    </w:p>
    <w:p w14:paraId="5531B594">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4</w:t>
      </w:r>
      <w:r>
        <w:rPr>
          <w:rFonts w:hint="eastAsia" w:ascii="宋体" w:hAnsi="宋体"/>
          <w:szCs w:val="21"/>
          <w:highlight w:val="none"/>
        </w:rPr>
        <w:t>——技术规格偏离表（格式）</w:t>
      </w:r>
    </w:p>
    <w:p w14:paraId="08F5E38E">
      <w:pPr>
        <w:tabs>
          <w:tab w:val="left" w:pos="900"/>
          <w:tab w:val="left" w:pos="5580"/>
        </w:tabs>
        <w:spacing w:line="360" w:lineRule="auto"/>
        <w:ind w:left="1056" w:leftChars="428" w:hanging="157" w:hangingChars="75"/>
        <w:rPr>
          <w:rFonts w:hint="eastAsia" w:ascii="宋体" w:hAnsi="宋体"/>
          <w:szCs w:val="21"/>
          <w:highlight w:val="none"/>
        </w:rPr>
      </w:pPr>
      <w:bookmarkStart w:id="100" w:name="_Hlt520276204"/>
      <w:bookmarkStart w:id="101" w:name="_Hlt520274929"/>
      <w:r>
        <w:rPr>
          <w:rFonts w:hint="eastAsia" w:ascii="宋体" w:hAnsi="宋体"/>
          <w:szCs w:val="21"/>
          <w:highlight w:val="none"/>
        </w:rPr>
        <w:t>附件</w:t>
      </w:r>
      <w:r>
        <w:rPr>
          <w:rFonts w:hint="eastAsia" w:ascii="宋体" w:hAnsi="宋体"/>
          <w:szCs w:val="21"/>
          <w:highlight w:val="none"/>
          <w:lang w:val="en-US" w:eastAsia="zh-CN"/>
        </w:rPr>
        <w:t>5</w:t>
      </w:r>
      <w:r>
        <w:rPr>
          <w:rFonts w:hint="eastAsia" w:ascii="宋体" w:hAnsi="宋体"/>
          <w:szCs w:val="21"/>
          <w:highlight w:val="none"/>
        </w:rPr>
        <w:t>——资格、资信证明文件</w:t>
      </w:r>
    </w:p>
    <w:bookmarkEnd w:id="100"/>
    <w:bookmarkEnd w:id="101"/>
    <w:p w14:paraId="4F8B780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包括但不限于：</w:t>
      </w:r>
    </w:p>
    <w:p w14:paraId="6D513C0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-1法人或者其他组织的营业执照等证明文件复印件（须加盖本单位公章）</w:t>
      </w:r>
    </w:p>
    <w:p w14:paraId="32B4843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02E193A2">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7D6C2E3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-4投标人开户银行在投标截止日前三个月内开具的资信证明（原件或复印件加盖公章）或会计师事务所出具的上一年度财务审计报告复印件</w:t>
      </w:r>
    </w:p>
    <w:p w14:paraId="42C68EA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0FEF2D7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2429D3E1">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1175205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5613CB5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6</w:t>
      </w:r>
      <w:r>
        <w:rPr>
          <w:rFonts w:hint="eastAsia" w:ascii="宋体" w:hAnsi="宋体"/>
          <w:szCs w:val="21"/>
          <w:highlight w:val="none"/>
        </w:rPr>
        <w:t>——反商业贿赂承诺书（格式）</w:t>
      </w:r>
    </w:p>
    <w:p w14:paraId="6B502E56">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7</w:t>
      </w:r>
      <w:r>
        <w:rPr>
          <w:rFonts w:hint="eastAsia" w:ascii="宋体" w:hAnsi="宋体"/>
          <w:szCs w:val="21"/>
          <w:highlight w:val="none"/>
        </w:rPr>
        <w:t>——详细的实施方案</w:t>
      </w:r>
    </w:p>
    <w:p w14:paraId="029CCC08">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8</w:t>
      </w:r>
      <w:r>
        <w:rPr>
          <w:rFonts w:hint="eastAsia" w:ascii="宋体" w:hAnsi="宋体"/>
          <w:szCs w:val="21"/>
          <w:highlight w:val="none"/>
        </w:rPr>
        <w:t>——售后服务方案及承诺</w:t>
      </w:r>
    </w:p>
    <w:p w14:paraId="7D0D383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9</w:t>
      </w:r>
      <w:r>
        <w:rPr>
          <w:rFonts w:hint="eastAsia" w:ascii="宋体" w:hAnsi="宋体"/>
          <w:szCs w:val="21"/>
          <w:highlight w:val="none"/>
        </w:rPr>
        <w:t>——投标人认为需要提供的其它材料</w:t>
      </w:r>
    </w:p>
    <w:p w14:paraId="2E79DDD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10</w:t>
      </w:r>
      <w:r>
        <w:rPr>
          <w:rFonts w:hint="eastAsia" w:ascii="宋体" w:hAnsi="宋体"/>
          <w:szCs w:val="21"/>
          <w:highlight w:val="none"/>
        </w:rPr>
        <w:t>--其他投标相关承诺书</w:t>
      </w:r>
    </w:p>
    <w:p w14:paraId="799FF5ED">
      <w:pPr>
        <w:spacing w:line="360" w:lineRule="auto"/>
        <w:ind w:left="788" w:hanging="787" w:hangingChars="375"/>
        <w:rPr>
          <w:rFonts w:hint="eastAsia" w:ascii="宋体" w:hAnsi="宋体"/>
          <w:szCs w:val="21"/>
          <w:highlight w:val="none"/>
        </w:rPr>
      </w:pPr>
      <w:r>
        <w:rPr>
          <w:rFonts w:hint="eastAsia" w:ascii="宋体" w:hAnsi="宋体"/>
          <w:szCs w:val="21"/>
          <w:highlight w:val="none"/>
        </w:rPr>
        <w:t>9</w:t>
      </w:r>
      <w:r>
        <w:rPr>
          <w:rFonts w:ascii="宋体" w:hAnsi="宋体"/>
          <w:szCs w:val="21"/>
          <w:highlight w:val="none"/>
        </w:rPr>
        <w:t>.2</w:t>
      </w:r>
      <w:r>
        <w:rPr>
          <w:rFonts w:ascii="宋体" w:hAnsi="宋体"/>
          <w:szCs w:val="21"/>
          <w:highlight w:val="none"/>
        </w:rPr>
        <w:tab/>
      </w:r>
      <w:r>
        <w:rPr>
          <w:rFonts w:hint="eastAsia" w:ascii="宋体" w:hAnsi="宋体"/>
          <w:szCs w:val="21"/>
          <w:highlight w:val="none"/>
        </w:rPr>
        <w:t>除上述9</w:t>
      </w:r>
      <w:r>
        <w:rPr>
          <w:rFonts w:ascii="宋体" w:hAnsi="宋体"/>
          <w:szCs w:val="21"/>
          <w:highlight w:val="none"/>
        </w:rPr>
        <w:t>.1</w:t>
      </w:r>
      <w:r>
        <w:rPr>
          <w:rFonts w:hint="eastAsia" w:ascii="宋体" w:hAnsi="宋体"/>
          <w:szCs w:val="21"/>
          <w:highlight w:val="none"/>
        </w:rPr>
        <w:t>条外，投标文件还应包括本须知第10条的所有文件。</w:t>
      </w:r>
    </w:p>
    <w:p w14:paraId="3145267D">
      <w:pPr>
        <w:spacing w:line="360" w:lineRule="auto"/>
        <w:ind w:left="735" w:hanging="735" w:hangingChars="350"/>
        <w:rPr>
          <w:rFonts w:hint="eastAsia" w:ascii="宋体" w:hAnsi="宋体"/>
          <w:szCs w:val="21"/>
          <w:highlight w:val="none"/>
        </w:rPr>
      </w:pPr>
      <w:r>
        <w:rPr>
          <w:rFonts w:hint="eastAsia" w:ascii="宋体" w:hAnsi="宋体"/>
          <w:szCs w:val="21"/>
          <w:highlight w:val="none"/>
        </w:rPr>
        <w:t>9.3    所有投标人和投标货物的资格证明文件均应为合法、有效文件，否则将被视为该文件未被递交。</w:t>
      </w:r>
    </w:p>
    <w:p w14:paraId="2E68B535">
      <w:pPr>
        <w:spacing w:line="360" w:lineRule="auto"/>
        <w:ind w:left="788" w:hanging="787" w:hangingChars="375"/>
        <w:rPr>
          <w:rFonts w:hint="eastAsia" w:ascii="宋体" w:hAnsi="宋体"/>
          <w:szCs w:val="21"/>
          <w:highlight w:val="none"/>
        </w:rPr>
      </w:pPr>
      <w:r>
        <w:rPr>
          <w:rFonts w:hint="eastAsia" w:ascii="宋体" w:hAnsi="宋体"/>
          <w:szCs w:val="21"/>
          <w:highlight w:val="none"/>
        </w:rPr>
        <w:t>9.4    上述文件应按照招标文件规定的格式填写、签署和盖章。</w:t>
      </w:r>
    </w:p>
    <w:p w14:paraId="1CB45E26">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02" w:name="_Toc516367023"/>
      <w:bookmarkStart w:id="103" w:name="_Toc520356153"/>
      <w:bookmarkStart w:id="104" w:name="_Toc109736040"/>
      <w:r>
        <w:rPr>
          <w:rFonts w:hint="eastAsia" w:ascii="宋体" w:hAnsi="宋体" w:eastAsia="宋体" w:cs="Times New Roman"/>
          <w:b/>
          <w:bCs/>
          <w:sz w:val="21"/>
          <w:szCs w:val="21"/>
          <w:highlight w:val="none"/>
        </w:rPr>
        <w:t>10.</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证明货物的合格性和符合招标文件规定的文件</w:t>
      </w:r>
      <w:bookmarkEnd w:id="102"/>
      <w:bookmarkEnd w:id="103"/>
      <w:bookmarkEnd w:id="104"/>
    </w:p>
    <w:p w14:paraId="2C2B117C">
      <w:pPr>
        <w:spacing w:line="360" w:lineRule="auto"/>
        <w:ind w:left="788" w:hanging="787" w:hangingChars="375"/>
        <w:rPr>
          <w:rFonts w:ascii="宋体" w:hAnsi="宋体"/>
          <w:szCs w:val="21"/>
          <w:highlight w:val="none"/>
        </w:rPr>
      </w:pPr>
      <w:r>
        <w:rPr>
          <w:rFonts w:hint="eastAsia" w:ascii="宋体" w:hAnsi="宋体"/>
          <w:szCs w:val="21"/>
          <w:highlight w:val="none"/>
        </w:rPr>
        <w:t>10</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投标人应提交证明文件，证明其拟供的合同项下的货物和服务的合格性符合招标文件规定。该证明文件是投标文件的一部分。</w:t>
      </w:r>
    </w:p>
    <w:p w14:paraId="4AAB6423">
      <w:pPr>
        <w:spacing w:line="360" w:lineRule="auto"/>
        <w:ind w:left="788" w:hanging="787" w:hangingChars="375"/>
        <w:rPr>
          <w:rFonts w:ascii="宋体" w:hAnsi="宋体"/>
          <w:szCs w:val="21"/>
          <w:highlight w:val="none"/>
        </w:rPr>
      </w:pPr>
      <w:bookmarkStart w:id="105" w:name="_Ref467306244"/>
      <w:r>
        <w:rPr>
          <w:rFonts w:hint="eastAsia" w:ascii="宋体" w:hAnsi="宋体"/>
          <w:szCs w:val="21"/>
          <w:highlight w:val="none"/>
        </w:rPr>
        <w:t>10</w:t>
      </w:r>
      <w:r>
        <w:rPr>
          <w:rFonts w:ascii="宋体" w:hAnsi="宋体"/>
          <w:szCs w:val="21"/>
          <w:highlight w:val="none"/>
        </w:rPr>
        <w:t>.2</w:t>
      </w:r>
      <w:r>
        <w:rPr>
          <w:rFonts w:ascii="宋体" w:hAnsi="宋体"/>
          <w:szCs w:val="21"/>
          <w:highlight w:val="none"/>
        </w:rPr>
        <w:tab/>
      </w:r>
      <w:r>
        <w:rPr>
          <w:rFonts w:hint="eastAsia" w:ascii="宋体" w:hAnsi="宋体"/>
          <w:szCs w:val="21"/>
          <w:highlight w:val="none"/>
        </w:rPr>
        <w:t>上款所述的证明文件，可以是文字资料、图纸和数据，</w:t>
      </w:r>
      <w:bookmarkEnd w:id="105"/>
      <w:r>
        <w:rPr>
          <w:rFonts w:hint="eastAsia" w:ascii="宋体" w:hAnsi="宋体"/>
          <w:szCs w:val="21"/>
          <w:highlight w:val="none"/>
        </w:rPr>
        <w:t>它包括：</w:t>
      </w:r>
    </w:p>
    <w:p w14:paraId="63607098">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.2.1</w:t>
      </w:r>
      <w:r>
        <w:rPr>
          <w:rFonts w:ascii="宋体" w:hAnsi="宋体"/>
          <w:szCs w:val="21"/>
          <w:highlight w:val="none"/>
        </w:rPr>
        <w:tab/>
      </w:r>
      <w:r>
        <w:rPr>
          <w:rFonts w:hint="eastAsia" w:ascii="宋体" w:hAnsi="宋体"/>
          <w:szCs w:val="21"/>
          <w:highlight w:val="none"/>
        </w:rPr>
        <w:t>货物主要技术指标和性能的详细说明。</w:t>
      </w:r>
    </w:p>
    <w:p w14:paraId="168F2EC1">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.2.2</w:t>
      </w:r>
      <w:r>
        <w:rPr>
          <w:rFonts w:ascii="宋体" w:hAnsi="宋体"/>
          <w:szCs w:val="21"/>
          <w:highlight w:val="none"/>
        </w:rPr>
        <w:tab/>
      </w:r>
      <w:r>
        <w:rPr>
          <w:rFonts w:hint="eastAsia" w:ascii="宋体" w:hAnsi="宋体"/>
          <w:szCs w:val="21"/>
          <w:highlight w:val="none"/>
        </w:rPr>
        <w:t>货物从买方开始使用至招标文件规定的保质期内正常、连续地使用所必须的备件和专用工具清单，包括备件和专用工具的货源及现行价格。</w:t>
      </w:r>
    </w:p>
    <w:p w14:paraId="4359A27A">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.2.3</w:t>
      </w:r>
      <w:r>
        <w:rPr>
          <w:rFonts w:ascii="宋体" w:hAnsi="宋体"/>
          <w:szCs w:val="21"/>
          <w:highlight w:val="none"/>
        </w:rPr>
        <w:tab/>
      </w:r>
      <w:r>
        <w:rPr>
          <w:rFonts w:hint="eastAsia" w:ascii="宋体" w:hAnsi="宋体"/>
          <w:szCs w:val="21"/>
          <w:highlight w:val="none"/>
        </w:rPr>
        <w:t>对照招标文件技术规格，逐条说明所提供货物和服务已对招标文件的技术规格做出了实质性的响应，或申明与技术规格条文的偏差和例外。</w:t>
      </w:r>
    </w:p>
    <w:p w14:paraId="65699CD2">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.3</w:t>
      </w:r>
      <w:r>
        <w:rPr>
          <w:rFonts w:ascii="宋体" w:hAnsi="宋体"/>
          <w:szCs w:val="21"/>
          <w:highlight w:val="none"/>
        </w:rPr>
        <w:tab/>
      </w:r>
      <w:r>
        <w:rPr>
          <w:rFonts w:hint="eastAsia" w:ascii="宋体" w:hAnsi="宋体"/>
          <w:szCs w:val="21"/>
          <w:highlight w:val="none"/>
        </w:rPr>
        <w:t>投标人应注意招标人在技术规格中指出的工艺、材料和设备的专有名称、参照牌号或分类号仅起说明作用，并没有任何限制性。投标人在投标中可以选用替代牌号或分类号，但这些替代要实质上相当于技术规格的要求。招标采购单位承诺不以上述设备专有名称、参考牌号或分类号作为评标时确定无效投标的取舍标准。</w:t>
      </w:r>
    </w:p>
    <w:p w14:paraId="06606D05">
      <w:pPr>
        <w:spacing w:line="360" w:lineRule="auto"/>
        <w:ind w:left="788" w:hanging="787" w:hangingChars="375"/>
        <w:rPr>
          <w:rFonts w:hint="eastAsia" w:ascii="宋体" w:hAnsi="宋体"/>
          <w:szCs w:val="21"/>
          <w:highlight w:val="none"/>
        </w:rPr>
      </w:pPr>
      <w:r>
        <w:rPr>
          <w:rFonts w:hint="eastAsia" w:ascii="宋体" w:hAnsi="宋体"/>
          <w:szCs w:val="21"/>
          <w:highlight w:val="none"/>
        </w:rPr>
        <w:t>10.4   本条所指证明文件不得为对招标文件相关部分的文字、图标的复制。</w:t>
      </w:r>
    </w:p>
    <w:p w14:paraId="49075E81">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06" w:name="_Toc520356155"/>
      <w:bookmarkStart w:id="107" w:name="_Toc109736041"/>
      <w:r>
        <w:rPr>
          <w:rFonts w:hint="eastAsia" w:ascii="宋体" w:hAnsi="宋体" w:eastAsia="宋体" w:cs="Times New Roman"/>
          <w:b/>
          <w:bCs/>
          <w:sz w:val="21"/>
          <w:szCs w:val="21"/>
          <w:highlight w:val="none"/>
        </w:rPr>
        <w:t>11.</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投标报价</w:t>
      </w:r>
      <w:bookmarkEnd w:id="106"/>
      <w:bookmarkEnd w:id="107"/>
    </w:p>
    <w:p w14:paraId="5BA4331A">
      <w:pPr>
        <w:spacing w:line="360" w:lineRule="auto"/>
        <w:ind w:left="788" w:hanging="787" w:hangingChars="375"/>
        <w:rPr>
          <w:rFonts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所有投标均以人民币报价。投标人的投标报价应遵守《中华人民共和国价格法》。</w:t>
      </w:r>
    </w:p>
    <w:p w14:paraId="43895BFD">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.2</w:t>
      </w:r>
      <w:r>
        <w:rPr>
          <w:rFonts w:ascii="宋体" w:hAnsi="宋体"/>
          <w:szCs w:val="21"/>
          <w:highlight w:val="none"/>
        </w:rPr>
        <w:tab/>
      </w:r>
      <w:r>
        <w:rPr>
          <w:rFonts w:hint="eastAsia" w:ascii="宋体" w:hAnsi="宋体"/>
          <w:szCs w:val="21"/>
          <w:highlight w:val="none"/>
        </w:rPr>
        <w:t>投标人应在</w:t>
      </w:r>
      <w:r>
        <w:rPr>
          <w:rFonts w:hint="eastAsia" w:ascii="宋体" w:hAnsi="宋体"/>
          <w:szCs w:val="21"/>
          <w:highlight w:val="none"/>
          <w:lang w:val="en-US" w:eastAsia="zh-CN"/>
        </w:rPr>
        <w:t>开标一览表</w:t>
      </w:r>
      <w:r>
        <w:rPr>
          <w:rFonts w:hint="eastAsia" w:ascii="宋体" w:hAnsi="宋体"/>
          <w:szCs w:val="21"/>
          <w:highlight w:val="none"/>
        </w:rPr>
        <w:t>上标明投标货物及相关服务的单价（如适用）和总价（如适用），并由法定代表人或其授权代表签署。</w:t>
      </w:r>
    </w:p>
    <w:p w14:paraId="4AB591DC">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.3</w:t>
      </w:r>
      <w:r>
        <w:rPr>
          <w:rFonts w:ascii="宋体" w:hAnsi="宋体"/>
          <w:szCs w:val="21"/>
          <w:highlight w:val="none"/>
        </w:rPr>
        <w:tab/>
      </w:r>
      <w:r>
        <w:rPr>
          <w:rFonts w:hint="eastAsia" w:ascii="宋体" w:hAnsi="宋体"/>
          <w:szCs w:val="21"/>
          <w:highlight w:val="none"/>
        </w:rPr>
        <w:t>投标分项报价表上的价格应按下列方式填写：</w:t>
      </w:r>
    </w:p>
    <w:p w14:paraId="4408D634">
      <w:pPr>
        <w:spacing w:line="360" w:lineRule="auto"/>
        <w:ind w:left="788" w:hanging="787" w:hangingChars="375"/>
        <w:rPr>
          <w:rFonts w:hint="eastAsia" w:ascii="宋体" w:hAnsi="宋体"/>
          <w:szCs w:val="21"/>
          <w:highlight w:val="none"/>
        </w:rPr>
      </w:pPr>
      <w:r>
        <w:rPr>
          <w:rFonts w:hint="eastAsia" w:ascii="宋体" w:hAnsi="宋体"/>
          <w:szCs w:val="21"/>
          <w:highlight w:val="none"/>
        </w:rPr>
        <w:t>11.3.1  投标货物（包括备品备件、专用工具等）的出厂价（包括已在中国国内的进口货物完税后的仓库交货价、展室交货价或货架交货价），投标货物安装、调试、检验、技术服务和培训等费用；</w:t>
      </w:r>
    </w:p>
    <w:p w14:paraId="0DFAEADE">
      <w:pPr>
        <w:spacing w:line="360" w:lineRule="auto"/>
        <w:ind w:left="788" w:hanging="787" w:hangingChars="375"/>
        <w:rPr>
          <w:rFonts w:hint="eastAsia" w:ascii="宋体" w:hAnsi="宋体"/>
          <w:szCs w:val="21"/>
          <w:highlight w:val="none"/>
        </w:rPr>
      </w:pPr>
      <w:r>
        <w:rPr>
          <w:rFonts w:hint="eastAsia" w:ascii="宋体" w:hAnsi="宋体"/>
          <w:szCs w:val="21"/>
          <w:highlight w:val="none"/>
        </w:rPr>
        <w:t>11.3.2  货物运至最终目的地的运输费和保险费用。</w:t>
      </w:r>
    </w:p>
    <w:p w14:paraId="0CDC66C9">
      <w:pPr>
        <w:spacing w:line="360" w:lineRule="auto"/>
        <w:ind w:left="788" w:hanging="787" w:hangingChars="375"/>
        <w:rPr>
          <w:rFonts w:ascii="宋体" w:hAnsi="宋体"/>
          <w:szCs w:val="21"/>
          <w:highlight w:val="none"/>
        </w:rPr>
      </w:pPr>
      <w:r>
        <w:rPr>
          <w:rFonts w:hint="eastAsia" w:ascii="宋体" w:hAnsi="宋体"/>
          <w:szCs w:val="21"/>
          <w:highlight w:val="none"/>
        </w:rPr>
        <w:t>11</w:t>
      </w:r>
      <w:r>
        <w:rPr>
          <w:rFonts w:ascii="宋体" w:hAnsi="宋体"/>
          <w:szCs w:val="21"/>
          <w:highlight w:val="none"/>
        </w:rPr>
        <w:t>.</w:t>
      </w:r>
      <w:r>
        <w:rPr>
          <w:rFonts w:hint="eastAsia" w:ascii="宋体" w:hAnsi="宋体"/>
          <w:szCs w:val="21"/>
          <w:highlight w:val="none"/>
        </w:rPr>
        <w:t>4</w:t>
      </w:r>
      <w:r>
        <w:rPr>
          <w:rFonts w:hint="eastAsia" w:ascii="宋体" w:hAnsi="宋体"/>
          <w:szCs w:val="21"/>
          <w:highlight w:val="none"/>
        </w:rPr>
        <w:tab/>
      </w:r>
      <w:r>
        <w:rPr>
          <w:rFonts w:hint="eastAsia" w:ascii="宋体" w:hAnsi="宋体"/>
          <w:szCs w:val="21"/>
          <w:highlight w:val="none"/>
        </w:rPr>
        <w:t>为了方便评标委员会对投标文件进行比较，投标人可根据本须知11</w:t>
      </w:r>
      <w:r>
        <w:rPr>
          <w:rFonts w:ascii="宋体" w:hAnsi="宋体"/>
          <w:szCs w:val="21"/>
          <w:highlight w:val="none"/>
        </w:rPr>
        <w:t>.3</w:t>
      </w:r>
      <w:r>
        <w:rPr>
          <w:rFonts w:hint="eastAsia" w:ascii="宋体" w:hAnsi="宋体"/>
          <w:szCs w:val="21"/>
          <w:highlight w:val="none"/>
        </w:rPr>
        <w:t>条的规定将投标价分成几部分，并不限制买方以上述任何条件订立合同的权利。</w:t>
      </w:r>
    </w:p>
    <w:p w14:paraId="2F875E47">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.5</w:t>
      </w:r>
      <w:r>
        <w:rPr>
          <w:rFonts w:ascii="宋体" w:hAnsi="宋体"/>
          <w:szCs w:val="21"/>
          <w:highlight w:val="none"/>
        </w:rPr>
        <w:tab/>
      </w:r>
      <w:r>
        <w:rPr>
          <w:rFonts w:hint="eastAsia" w:ascii="宋体" w:hAnsi="宋体"/>
          <w:szCs w:val="21"/>
          <w:highlight w:val="none"/>
        </w:rPr>
        <w:t>投标人所报的各分项投标单价在合同履行过程中是固定不变的，不得以任何理由予以变更。任何包含价格调整要求的投标，依据本须知第21条规定，将被认为是无效投标而被拒绝。</w:t>
      </w:r>
    </w:p>
    <w:p w14:paraId="544957B8">
      <w:pPr>
        <w:spacing w:line="360" w:lineRule="auto"/>
        <w:ind w:left="788" w:hanging="787" w:hangingChars="375"/>
        <w:rPr>
          <w:rFonts w:hint="eastAsia" w:ascii="宋体" w:hAnsi="宋体"/>
          <w:szCs w:val="21"/>
          <w:highlight w:val="none"/>
        </w:rPr>
      </w:pPr>
      <w:r>
        <w:rPr>
          <w:rFonts w:hint="eastAsia" w:ascii="宋体" w:hAnsi="宋体"/>
          <w:szCs w:val="21"/>
          <w:highlight w:val="none"/>
        </w:rPr>
        <w:t>11.6</w:t>
      </w:r>
      <w:r>
        <w:rPr>
          <w:rFonts w:hint="eastAsia" w:ascii="宋体" w:hAnsi="宋体"/>
          <w:szCs w:val="21"/>
          <w:highlight w:val="none"/>
        </w:rPr>
        <w:tab/>
      </w:r>
      <w:r>
        <w:rPr>
          <w:rFonts w:hint="eastAsia" w:ascii="宋体" w:hAnsi="宋体"/>
          <w:szCs w:val="21"/>
          <w:highlight w:val="none"/>
        </w:rPr>
        <w:t>每种货物只能有一个投标报价。招标采购单位不接受具有附加条件的报价。</w:t>
      </w:r>
    </w:p>
    <w:p w14:paraId="5D5AC83C">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08" w:name="_Ref467306513"/>
      <w:bookmarkStart w:id="109" w:name="_Toc109736042"/>
      <w:bookmarkStart w:id="110" w:name="_Toc520356156"/>
      <w:r>
        <w:rPr>
          <w:rFonts w:hint="eastAsia" w:ascii="宋体" w:hAnsi="宋体" w:eastAsia="宋体" w:cs="Times New Roman"/>
          <w:b/>
          <w:bCs/>
          <w:sz w:val="21"/>
          <w:szCs w:val="21"/>
          <w:highlight w:val="none"/>
        </w:rPr>
        <w:t xml:space="preserve">12.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投标保证金</w:t>
      </w:r>
      <w:bookmarkEnd w:id="108"/>
      <w:bookmarkEnd w:id="109"/>
      <w:bookmarkEnd w:id="110"/>
    </w:p>
    <w:p w14:paraId="22941666">
      <w:pPr>
        <w:spacing w:line="360" w:lineRule="auto"/>
        <w:ind w:left="788" w:hanging="787" w:hangingChars="375"/>
        <w:rPr>
          <w:rFonts w:hint="eastAsia" w:ascii="宋体" w:hAnsi="宋体"/>
          <w:szCs w:val="21"/>
          <w:highlight w:val="none"/>
        </w:rPr>
      </w:pPr>
      <w:bookmarkStart w:id="111" w:name="_Ref467306302"/>
      <w:r>
        <w:rPr>
          <w:rFonts w:ascii="宋体" w:hAnsi="宋体"/>
          <w:szCs w:val="21"/>
          <w:highlight w:val="none"/>
        </w:rPr>
        <w:t>1</w:t>
      </w:r>
      <w:r>
        <w:rPr>
          <w:rFonts w:hint="eastAsia" w:ascii="宋体" w:hAnsi="宋体"/>
          <w:szCs w:val="21"/>
          <w:highlight w:val="none"/>
        </w:rPr>
        <w:t>2</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投标人应提供</w:t>
      </w:r>
      <w:r>
        <w:rPr>
          <w:rFonts w:hint="eastAsia" w:ascii="宋体" w:hAnsi="宋体"/>
          <w:szCs w:val="21"/>
          <w:highlight w:val="none"/>
          <w:u w:val="single"/>
        </w:rPr>
        <w:t>投标人须知资料表</w:t>
      </w:r>
      <w:r>
        <w:rPr>
          <w:rFonts w:hint="eastAsia" w:ascii="宋体" w:hAnsi="宋体"/>
          <w:szCs w:val="21"/>
          <w:highlight w:val="none"/>
        </w:rPr>
        <w:t>中规定的投标保证金</w:t>
      </w:r>
      <w:bookmarkEnd w:id="111"/>
      <w:r>
        <w:rPr>
          <w:rFonts w:hint="eastAsia" w:ascii="宋体" w:hAnsi="宋体"/>
          <w:szCs w:val="21"/>
          <w:highlight w:val="none"/>
        </w:rPr>
        <w:t>，并作为其投标的一部分。</w:t>
      </w:r>
    </w:p>
    <w:p w14:paraId="62D9834D">
      <w:pPr>
        <w:spacing w:line="360" w:lineRule="auto"/>
        <w:ind w:left="788" w:hanging="787" w:hangingChars="375"/>
        <w:rPr>
          <w:rFonts w:ascii="宋体" w:hAnsi="宋体"/>
          <w:szCs w:val="21"/>
          <w:highlight w:val="none"/>
        </w:rPr>
      </w:pPr>
      <w:r>
        <w:rPr>
          <w:rFonts w:ascii="宋体" w:hAnsi="宋体"/>
          <w:szCs w:val="21"/>
          <w:highlight w:val="none"/>
        </w:rPr>
        <w:t>1</w:t>
      </w:r>
      <w:r>
        <w:rPr>
          <w:rFonts w:hint="eastAsia" w:ascii="宋体" w:hAnsi="宋体"/>
          <w:szCs w:val="21"/>
          <w:highlight w:val="none"/>
        </w:rPr>
        <w:t>2</w:t>
      </w:r>
      <w:r>
        <w:rPr>
          <w:rFonts w:ascii="宋体" w:hAnsi="宋体"/>
          <w:szCs w:val="21"/>
          <w:highlight w:val="none"/>
        </w:rPr>
        <w:t>.2</w:t>
      </w:r>
      <w:r>
        <w:rPr>
          <w:rFonts w:ascii="宋体" w:hAnsi="宋体"/>
          <w:szCs w:val="21"/>
          <w:highlight w:val="none"/>
        </w:rPr>
        <w:tab/>
      </w:r>
      <w:r>
        <w:rPr>
          <w:rFonts w:hint="eastAsia" w:ascii="宋体" w:hAnsi="宋体"/>
          <w:szCs w:val="21"/>
          <w:highlight w:val="none"/>
        </w:rPr>
        <w:t>投标保证金是为了保护招标采购单位免遭因投标人的行为蒙受损失而要求的。</w:t>
      </w:r>
    </w:p>
    <w:p w14:paraId="7752AD9C">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下列任何情况发生，投标保证金将被没收：</w:t>
      </w:r>
    </w:p>
    <w:p w14:paraId="35F2DC38">
      <w:pPr>
        <w:pStyle w:val="25"/>
        <w:tabs>
          <w:tab w:val="left" w:pos="2240"/>
        </w:tabs>
        <w:spacing w:line="360" w:lineRule="auto"/>
        <w:ind w:left="1041" w:leftChars="371" w:hanging="262" w:hangingChars="125"/>
        <w:rPr>
          <w:rFonts w:hint="eastAsia" w:hAnsi="宋体"/>
          <w:szCs w:val="21"/>
          <w:highlight w:val="none"/>
        </w:rPr>
      </w:pPr>
      <w:r>
        <w:rPr>
          <w:rFonts w:hint="eastAsia" w:hAnsi="宋体"/>
          <w:szCs w:val="21"/>
          <w:highlight w:val="none"/>
        </w:rPr>
        <w:t>（1）在开标之日后到投标有效期满前，投标人擅自撤回投标的；</w:t>
      </w:r>
    </w:p>
    <w:p w14:paraId="5321F5B5">
      <w:pPr>
        <w:pStyle w:val="25"/>
        <w:tabs>
          <w:tab w:val="left" w:pos="2240"/>
        </w:tabs>
        <w:spacing w:line="360" w:lineRule="auto"/>
        <w:ind w:left="1041" w:leftChars="371" w:hanging="262" w:hangingChars="125"/>
        <w:rPr>
          <w:rFonts w:hint="eastAsia" w:hAnsi="宋体"/>
          <w:szCs w:val="21"/>
          <w:highlight w:val="none"/>
        </w:rPr>
      </w:pPr>
      <w:r>
        <w:rPr>
          <w:rFonts w:hint="eastAsia" w:hAnsi="宋体"/>
          <w:szCs w:val="21"/>
          <w:highlight w:val="none"/>
        </w:rPr>
        <w:t>（2）中标投标人不按本须知的规定与招标人签订合同的；</w:t>
      </w:r>
    </w:p>
    <w:p w14:paraId="6D0B1DFC">
      <w:pPr>
        <w:pStyle w:val="25"/>
        <w:tabs>
          <w:tab w:val="left" w:pos="2240"/>
        </w:tabs>
        <w:spacing w:line="360" w:lineRule="auto"/>
        <w:ind w:left="1041" w:leftChars="371" w:hanging="262" w:hangingChars="125"/>
        <w:rPr>
          <w:rFonts w:hint="eastAsia" w:hAnsi="宋体"/>
          <w:szCs w:val="21"/>
          <w:highlight w:val="none"/>
        </w:rPr>
      </w:pPr>
      <w:r>
        <w:rPr>
          <w:rFonts w:hint="eastAsia" w:hAnsi="宋体"/>
          <w:szCs w:val="21"/>
          <w:highlight w:val="none"/>
        </w:rPr>
        <w:t>（3）中标投标人不按本须知的规定提交履约保证金的；</w:t>
      </w:r>
    </w:p>
    <w:p w14:paraId="1F442E4A">
      <w:pPr>
        <w:spacing w:line="360" w:lineRule="auto"/>
        <w:ind w:left="788" w:hanging="787" w:hangingChars="375"/>
        <w:rPr>
          <w:rFonts w:ascii="宋体" w:hAnsi="宋体"/>
          <w:szCs w:val="21"/>
          <w:highlight w:val="none"/>
        </w:rPr>
      </w:pPr>
      <w:bookmarkStart w:id="112" w:name="_Ref467306336"/>
      <w:r>
        <w:rPr>
          <w:rFonts w:hint="eastAsia" w:ascii="宋体" w:hAnsi="宋体"/>
          <w:szCs w:val="21"/>
          <w:highlight w:val="none"/>
        </w:rPr>
        <w:t>12.3</w:t>
      </w:r>
      <w:r>
        <w:rPr>
          <w:rFonts w:hint="eastAsia" w:ascii="宋体" w:hAnsi="宋体"/>
          <w:szCs w:val="21"/>
          <w:highlight w:val="none"/>
        </w:rPr>
        <w:tab/>
      </w:r>
      <w:r>
        <w:rPr>
          <w:rFonts w:hint="eastAsia" w:ascii="宋体" w:hAnsi="宋体"/>
          <w:szCs w:val="21"/>
          <w:highlight w:val="none"/>
        </w:rPr>
        <w:t>投标保证金可采用下列形式之一：</w:t>
      </w:r>
      <w:bookmarkEnd w:id="112"/>
    </w:p>
    <w:p w14:paraId="1496FBFD">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扬州地区：支票、汇票、电汇，</w:t>
      </w:r>
      <w:r>
        <w:rPr>
          <w:rFonts w:ascii="宋体" w:hAnsi="宋体"/>
          <w:szCs w:val="21"/>
          <w:highlight w:val="none"/>
        </w:rPr>
        <w:t>以及</w:t>
      </w:r>
      <w:r>
        <w:rPr>
          <w:rFonts w:hint="eastAsia" w:ascii="宋体" w:hAnsi="宋体"/>
          <w:szCs w:val="21"/>
          <w:highlight w:val="none"/>
        </w:rPr>
        <w:t>招标采购单位可接受的其他形式</w:t>
      </w:r>
    </w:p>
    <w:p w14:paraId="4BD6FFEF">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外埠：汇票、电汇，</w:t>
      </w:r>
      <w:r>
        <w:rPr>
          <w:rFonts w:ascii="宋体" w:hAnsi="宋体"/>
          <w:szCs w:val="21"/>
          <w:highlight w:val="none"/>
        </w:rPr>
        <w:t>以及</w:t>
      </w:r>
      <w:r>
        <w:rPr>
          <w:rFonts w:hint="eastAsia" w:ascii="宋体" w:hAnsi="宋体"/>
          <w:szCs w:val="21"/>
          <w:highlight w:val="none"/>
        </w:rPr>
        <w:t>招标采购单位可接受的其他形式</w:t>
      </w:r>
    </w:p>
    <w:p w14:paraId="422580A2">
      <w:pPr>
        <w:spacing w:line="360" w:lineRule="auto"/>
        <w:ind w:left="788" w:hanging="787" w:hangingChars="375"/>
        <w:rPr>
          <w:rFonts w:hint="eastAsia" w:ascii="宋体" w:hAnsi="宋体"/>
          <w:szCs w:val="21"/>
          <w:highlight w:val="none"/>
        </w:rPr>
      </w:pPr>
      <w:r>
        <w:rPr>
          <w:rFonts w:hint="eastAsia" w:ascii="宋体" w:hAnsi="宋体"/>
          <w:szCs w:val="21"/>
          <w:highlight w:val="none"/>
        </w:rPr>
        <w:t>12.4</w:t>
      </w:r>
      <w:r>
        <w:rPr>
          <w:rFonts w:hint="eastAsia" w:ascii="宋体" w:hAnsi="宋体"/>
          <w:szCs w:val="21"/>
          <w:highlight w:val="none"/>
        </w:rPr>
        <w:tab/>
      </w:r>
      <w:r>
        <w:rPr>
          <w:rFonts w:hint="eastAsia" w:ascii="宋体" w:hAnsi="宋体"/>
          <w:szCs w:val="21"/>
          <w:highlight w:val="none"/>
        </w:rPr>
        <w:t>凡没有根据本须知12</w:t>
      </w:r>
      <w:r>
        <w:rPr>
          <w:rFonts w:ascii="宋体" w:hAnsi="宋体"/>
          <w:szCs w:val="21"/>
          <w:highlight w:val="none"/>
        </w:rPr>
        <w:t>.1</w:t>
      </w:r>
      <w:r>
        <w:rPr>
          <w:rFonts w:hint="eastAsia" w:ascii="宋体" w:hAnsi="宋体"/>
          <w:szCs w:val="21"/>
          <w:highlight w:val="none"/>
        </w:rPr>
        <w:t>和第</w:t>
      </w:r>
      <w:r>
        <w:rPr>
          <w:rFonts w:ascii="宋体" w:hAnsi="宋体"/>
          <w:szCs w:val="21"/>
          <w:highlight w:val="none"/>
        </w:rPr>
        <w:t>1</w:t>
      </w:r>
      <w:r>
        <w:rPr>
          <w:rFonts w:hint="eastAsia" w:ascii="宋体" w:hAnsi="宋体"/>
          <w:szCs w:val="21"/>
          <w:highlight w:val="none"/>
        </w:rPr>
        <w:t>2</w:t>
      </w:r>
      <w:r>
        <w:rPr>
          <w:rFonts w:ascii="宋体" w:hAnsi="宋体"/>
          <w:szCs w:val="21"/>
          <w:highlight w:val="none"/>
        </w:rPr>
        <w:t>.3</w:t>
      </w:r>
      <w:r>
        <w:rPr>
          <w:rFonts w:hint="eastAsia" w:ascii="宋体" w:hAnsi="宋体"/>
          <w:szCs w:val="21"/>
          <w:highlight w:val="none"/>
        </w:rPr>
        <w:t>条的规定，随附投标保证金的投标，将被视为无效投标被拒绝。</w:t>
      </w:r>
    </w:p>
    <w:p w14:paraId="607A7055">
      <w:pPr>
        <w:spacing w:line="360" w:lineRule="auto"/>
        <w:ind w:left="788" w:hanging="787" w:hangingChars="375"/>
        <w:rPr>
          <w:rFonts w:ascii="宋体" w:hAnsi="宋体"/>
          <w:szCs w:val="21"/>
          <w:highlight w:val="none"/>
        </w:rPr>
      </w:pPr>
      <w:r>
        <w:rPr>
          <w:rFonts w:hint="eastAsia" w:ascii="宋体" w:hAnsi="宋体"/>
          <w:szCs w:val="21"/>
          <w:highlight w:val="none"/>
        </w:rPr>
        <w:t>12.5   联合体投标的，可以由联合体中的一方或者共同提交投标保证金，以一方名义提交投标保证金的，对联合体各方均具有约束力。</w:t>
      </w:r>
    </w:p>
    <w:p w14:paraId="4FC7090C">
      <w:pPr>
        <w:spacing w:line="360" w:lineRule="auto"/>
        <w:ind w:left="788" w:hanging="787" w:hangingChars="375"/>
        <w:rPr>
          <w:rFonts w:hint="eastAsia" w:ascii="宋体" w:hAnsi="宋体"/>
          <w:b/>
          <w:szCs w:val="21"/>
          <w:highlight w:val="none"/>
        </w:rPr>
      </w:pPr>
      <w:r>
        <w:rPr>
          <w:rFonts w:hint="eastAsia" w:ascii="宋体" w:hAnsi="宋体"/>
          <w:szCs w:val="21"/>
          <w:highlight w:val="none"/>
        </w:rPr>
        <w:t>12.6</w:t>
      </w:r>
      <w:r>
        <w:rPr>
          <w:rFonts w:hint="eastAsia" w:ascii="宋体" w:hAnsi="宋体"/>
          <w:szCs w:val="21"/>
          <w:highlight w:val="none"/>
        </w:rPr>
        <w:tab/>
      </w:r>
      <w:r>
        <w:rPr>
          <w:rFonts w:hint="eastAsia" w:ascii="宋体" w:hAnsi="宋体"/>
          <w:b/>
          <w:szCs w:val="21"/>
          <w:highlight w:val="none"/>
        </w:rPr>
        <w:t>投标人必须填写投标保证金退回表（格式详见本章附件2），投标时和投标保证金一并密封于一信封内。</w:t>
      </w:r>
    </w:p>
    <w:p w14:paraId="36E0886A">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13" w:name="_Toc520356157"/>
      <w:bookmarkStart w:id="114" w:name="_Toc109736043"/>
      <w:r>
        <w:rPr>
          <w:rFonts w:hint="eastAsia" w:ascii="宋体" w:hAnsi="宋体" w:eastAsia="宋体" w:cs="Times New Roman"/>
          <w:b/>
          <w:bCs/>
          <w:sz w:val="21"/>
          <w:szCs w:val="21"/>
          <w:highlight w:val="none"/>
        </w:rPr>
        <w:t>13.</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投标有效期</w:t>
      </w:r>
      <w:bookmarkEnd w:id="113"/>
      <w:bookmarkEnd w:id="114"/>
    </w:p>
    <w:p w14:paraId="7B4F686B">
      <w:pPr>
        <w:spacing w:line="360" w:lineRule="auto"/>
        <w:ind w:left="788" w:hanging="787" w:hangingChars="375"/>
        <w:rPr>
          <w:rFonts w:ascii="宋体" w:hAnsi="宋体"/>
          <w:szCs w:val="21"/>
          <w:highlight w:val="none"/>
        </w:rPr>
      </w:pPr>
      <w:r>
        <w:rPr>
          <w:rFonts w:hint="eastAsia" w:ascii="宋体" w:hAnsi="宋体"/>
          <w:szCs w:val="21"/>
          <w:highlight w:val="none"/>
        </w:rPr>
        <w:t>13.1</w:t>
      </w:r>
      <w:r>
        <w:rPr>
          <w:rFonts w:hint="eastAsia" w:ascii="宋体" w:hAnsi="宋体"/>
          <w:szCs w:val="21"/>
          <w:highlight w:val="none"/>
        </w:rPr>
        <w:tab/>
      </w:r>
      <w:r>
        <w:rPr>
          <w:rFonts w:hint="eastAsia" w:ascii="宋体" w:hAnsi="宋体"/>
          <w:szCs w:val="21"/>
          <w:highlight w:val="none"/>
        </w:rPr>
        <w:t>投标应在规定的开标日后，按照</w:t>
      </w:r>
      <w:r>
        <w:rPr>
          <w:rFonts w:hint="eastAsia" w:ascii="宋体" w:hAnsi="宋体"/>
          <w:szCs w:val="21"/>
          <w:highlight w:val="none"/>
          <w:u w:val="single"/>
        </w:rPr>
        <w:t>投标人须知资料表</w:t>
      </w:r>
      <w:r>
        <w:rPr>
          <w:rFonts w:hint="eastAsia" w:ascii="宋体" w:hAnsi="宋体"/>
          <w:szCs w:val="21"/>
          <w:highlight w:val="none"/>
        </w:rPr>
        <w:t>中规定时间内保持有效，投标有效期不满足要求的投标将被视为无效投标被拒绝。</w:t>
      </w:r>
    </w:p>
    <w:p w14:paraId="34175142">
      <w:pPr>
        <w:spacing w:line="360" w:lineRule="auto"/>
        <w:ind w:left="788" w:hanging="787" w:hangingChars="375"/>
        <w:rPr>
          <w:rFonts w:ascii="宋体" w:hAnsi="宋体"/>
          <w:szCs w:val="21"/>
          <w:highlight w:val="none"/>
        </w:rPr>
      </w:pPr>
      <w:r>
        <w:rPr>
          <w:rFonts w:hint="eastAsia" w:ascii="宋体" w:hAnsi="宋体"/>
          <w:szCs w:val="21"/>
          <w:highlight w:val="none"/>
        </w:rPr>
        <w:t>13.2</w:t>
      </w:r>
      <w:r>
        <w:rPr>
          <w:rFonts w:hint="eastAsia" w:ascii="宋体" w:hAnsi="宋体"/>
          <w:szCs w:val="21"/>
          <w:highlight w:val="none"/>
        </w:rPr>
        <w:tab/>
      </w:r>
      <w:r>
        <w:rPr>
          <w:rFonts w:hint="eastAsia" w:ascii="宋体" w:hAnsi="宋体"/>
          <w:szCs w:val="21"/>
          <w:highlight w:val="none"/>
        </w:rPr>
        <w:t>招标采购单位可根据实际情况，在原投标有效期截止之前，要求投标人延长投标文件的有效期。接受该要求的投标人将不会被要求和允许修正其投标，且本须知中有关投标保证金的要求将在延长了的有效期内继续有效。投标人也可以拒绝招标采购单位的这种要求，其投标保证金将不会被没收。上述要求和答复都应以书面形式提交。</w:t>
      </w:r>
    </w:p>
    <w:p w14:paraId="39216E3F">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15" w:name="_Toc520356158"/>
      <w:bookmarkStart w:id="116" w:name="_Toc109736044"/>
      <w:r>
        <w:rPr>
          <w:rFonts w:hint="eastAsia" w:ascii="宋体" w:hAnsi="宋体" w:eastAsia="宋体" w:cs="Times New Roman"/>
          <w:b/>
          <w:bCs/>
          <w:sz w:val="21"/>
          <w:szCs w:val="21"/>
          <w:highlight w:val="none"/>
        </w:rPr>
        <w:t xml:space="preserve">14.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投标文件的签署</w:t>
      </w:r>
      <w:bookmarkEnd w:id="115"/>
      <w:r>
        <w:rPr>
          <w:rFonts w:hint="eastAsia" w:ascii="宋体" w:hAnsi="宋体" w:eastAsia="宋体" w:cs="Times New Roman"/>
          <w:b/>
          <w:bCs/>
          <w:sz w:val="21"/>
          <w:szCs w:val="21"/>
          <w:highlight w:val="none"/>
        </w:rPr>
        <w:t>及规定</w:t>
      </w:r>
      <w:bookmarkEnd w:id="116"/>
    </w:p>
    <w:p w14:paraId="622AFF93">
      <w:pPr>
        <w:spacing w:line="360" w:lineRule="auto"/>
        <w:ind w:left="788" w:hanging="787" w:hangingChars="375"/>
        <w:rPr>
          <w:rFonts w:hint="eastAsia" w:ascii="宋体" w:hAnsi="宋体"/>
          <w:szCs w:val="21"/>
          <w:highlight w:val="none"/>
        </w:rPr>
      </w:pPr>
      <w:r>
        <w:rPr>
          <w:rFonts w:hint="eastAsia" w:ascii="宋体" w:hAnsi="宋体"/>
          <w:szCs w:val="21"/>
          <w:highlight w:val="none"/>
        </w:rPr>
        <w:t>14.1</w:t>
      </w:r>
      <w:r>
        <w:rPr>
          <w:rFonts w:hint="eastAsia" w:ascii="宋体" w:hAnsi="宋体"/>
          <w:szCs w:val="21"/>
          <w:highlight w:val="none"/>
        </w:rPr>
        <w:tab/>
      </w:r>
      <w:r>
        <w:rPr>
          <w:rFonts w:hint="eastAsia" w:ascii="宋体" w:hAnsi="宋体"/>
          <w:szCs w:val="21"/>
          <w:highlight w:val="none"/>
        </w:rPr>
        <w:t>投标人应按</w:t>
      </w:r>
      <w:r>
        <w:rPr>
          <w:rFonts w:hint="eastAsia" w:ascii="宋体" w:hAnsi="宋体"/>
          <w:szCs w:val="21"/>
          <w:highlight w:val="none"/>
          <w:u w:val="single"/>
        </w:rPr>
        <w:t>投标人须知资料表</w:t>
      </w:r>
      <w:r>
        <w:rPr>
          <w:rFonts w:hint="eastAsia" w:ascii="宋体" w:hAnsi="宋体"/>
          <w:szCs w:val="21"/>
          <w:highlight w:val="none"/>
        </w:rPr>
        <w:t>中的规定准备和递交投标文件正本、副本和电子文档，每份纸质投标文件须清楚地标明“正本”或“副本”。若正本和副本不符，以正本为准。</w:t>
      </w:r>
    </w:p>
    <w:p w14:paraId="0E4229A4">
      <w:pPr>
        <w:spacing w:line="360" w:lineRule="auto"/>
        <w:ind w:left="788" w:hanging="787" w:hangingChars="375"/>
        <w:rPr>
          <w:rFonts w:ascii="宋体" w:hAnsi="宋体"/>
          <w:szCs w:val="21"/>
          <w:highlight w:val="none"/>
        </w:rPr>
      </w:pPr>
      <w:r>
        <w:rPr>
          <w:rFonts w:hint="eastAsia" w:ascii="宋体" w:hAnsi="宋体"/>
          <w:szCs w:val="21"/>
          <w:highlight w:val="none"/>
        </w:rPr>
        <w:t>14.2</w:t>
      </w:r>
      <w:r>
        <w:rPr>
          <w:rFonts w:hint="eastAsia" w:ascii="宋体" w:hAnsi="宋体"/>
          <w:szCs w:val="21"/>
          <w:highlight w:val="none"/>
        </w:rPr>
        <w:tab/>
      </w:r>
      <w:r>
        <w:rPr>
          <w:rFonts w:hint="eastAsia" w:ascii="宋体" w:hAnsi="宋体"/>
          <w:szCs w:val="21"/>
          <w:highlight w:val="none"/>
        </w:rPr>
        <w:t>投标文件的正本需打印或用不褪色墨水书写，并由投标人的法定代表人或经其正式授权的代表按招标文件规定在投标文件上签字并加盖单位印章。授权代表须持有书面的“法定代表人授权书”（标准格式附后）。如对投标文件进行了修改，则应由投标人的法定代表人或经其正式授权的代表在每一修改处签字。投标文件正本中印章及签字必须为原件，投标文件的副本可采用正本的复印件或带印章及签字的扫描件。</w:t>
      </w:r>
    </w:p>
    <w:p w14:paraId="623B4C8F">
      <w:pPr>
        <w:spacing w:line="360" w:lineRule="auto"/>
        <w:ind w:left="788" w:hanging="787" w:hangingChars="375"/>
        <w:rPr>
          <w:rFonts w:hint="eastAsia" w:ascii="宋体" w:hAnsi="宋体"/>
          <w:szCs w:val="21"/>
          <w:highlight w:val="none"/>
        </w:rPr>
      </w:pPr>
      <w:r>
        <w:rPr>
          <w:rFonts w:hint="eastAsia" w:ascii="宋体" w:hAnsi="宋体"/>
          <w:szCs w:val="21"/>
          <w:highlight w:val="none"/>
        </w:rPr>
        <w:t>14.3</w:t>
      </w:r>
      <w:r>
        <w:rPr>
          <w:rFonts w:hint="eastAsia" w:ascii="宋体" w:hAnsi="宋体"/>
          <w:szCs w:val="21"/>
          <w:highlight w:val="none"/>
        </w:rPr>
        <w:tab/>
      </w:r>
      <w:r>
        <w:rPr>
          <w:rFonts w:hint="eastAsia" w:ascii="宋体" w:hAnsi="宋体"/>
          <w:szCs w:val="21"/>
          <w:highlight w:val="none"/>
        </w:rPr>
        <w:t>任何行间插字、涂改和增删，必须由投标文件签字人签字或盖章后才有效。</w:t>
      </w:r>
    </w:p>
    <w:p w14:paraId="0CFA9574">
      <w:pPr>
        <w:spacing w:line="360" w:lineRule="auto"/>
        <w:ind w:left="788" w:hanging="787" w:hangingChars="375"/>
        <w:rPr>
          <w:rFonts w:hint="eastAsia" w:ascii="宋体" w:hAnsi="宋体"/>
          <w:szCs w:val="21"/>
          <w:highlight w:val="none"/>
        </w:rPr>
      </w:pPr>
      <w:r>
        <w:rPr>
          <w:rFonts w:hint="eastAsia" w:ascii="宋体" w:hAnsi="宋体"/>
          <w:szCs w:val="21"/>
          <w:highlight w:val="none"/>
        </w:rPr>
        <w:t>14.4</w:t>
      </w:r>
      <w:r>
        <w:rPr>
          <w:rFonts w:hint="eastAsia" w:ascii="宋体" w:hAnsi="宋体"/>
          <w:szCs w:val="21"/>
          <w:highlight w:val="none"/>
        </w:rPr>
        <w:tab/>
      </w:r>
      <w:r>
        <w:rPr>
          <w:rFonts w:hint="eastAsia" w:ascii="宋体" w:hAnsi="宋体"/>
          <w:szCs w:val="21"/>
          <w:highlight w:val="none"/>
        </w:rPr>
        <w:t>投标文件因字迹潦草、表达不清或</w:t>
      </w:r>
      <w:r>
        <w:rPr>
          <w:rFonts w:ascii="宋体" w:hAnsi="宋体"/>
          <w:szCs w:val="21"/>
          <w:highlight w:val="none"/>
        </w:rPr>
        <w:t>装订不当</w:t>
      </w:r>
      <w:r>
        <w:rPr>
          <w:rFonts w:hint="eastAsia" w:ascii="宋体" w:hAnsi="宋体"/>
          <w:szCs w:val="21"/>
          <w:highlight w:val="none"/>
        </w:rPr>
        <w:t>所引起的后果由投标人负责。</w:t>
      </w:r>
    </w:p>
    <w:p w14:paraId="1BA72F88">
      <w:pPr>
        <w:spacing w:line="360" w:lineRule="auto"/>
        <w:ind w:left="788" w:hanging="787" w:hangingChars="375"/>
        <w:rPr>
          <w:rFonts w:ascii="宋体" w:hAnsi="宋体"/>
          <w:szCs w:val="21"/>
          <w:highlight w:val="none"/>
        </w:rPr>
      </w:pPr>
    </w:p>
    <w:p w14:paraId="73B8998E">
      <w:pPr>
        <w:pStyle w:val="4"/>
        <w:keepNext/>
        <w:keepLines/>
        <w:pageBreakBefore w:val="0"/>
        <w:widowControl w:val="0"/>
        <w:kinsoku/>
        <w:wordWrap/>
        <w:overflowPunct/>
        <w:topLinePunct w:val="0"/>
        <w:autoSpaceDE/>
        <w:autoSpaceDN/>
        <w:bidi w:val="0"/>
        <w:adjustRightInd/>
        <w:snapToGrid/>
        <w:spacing w:before="0" w:line="360" w:lineRule="auto"/>
        <w:jc w:val="center"/>
        <w:textAlignment w:val="auto"/>
        <w:rPr>
          <w:rFonts w:hint="eastAsia" w:ascii="宋体" w:hAnsi="宋体" w:eastAsia="宋体"/>
          <w:sz w:val="24"/>
          <w:szCs w:val="24"/>
          <w:highlight w:val="none"/>
        </w:rPr>
      </w:pPr>
      <w:bookmarkStart w:id="117" w:name="_Toc109736045"/>
      <w:bookmarkStart w:id="118" w:name="_Toc520356159"/>
      <w:bookmarkStart w:id="119" w:name="_Toc23629"/>
      <w:bookmarkStart w:id="120" w:name="_Toc216582808"/>
      <w:r>
        <w:rPr>
          <w:rFonts w:hint="eastAsia" w:ascii="宋体" w:hAnsi="宋体" w:eastAsia="宋体"/>
          <w:sz w:val="24"/>
          <w:szCs w:val="24"/>
          <w:highlight w:val="none"/>
        </w:rPr>
        <w:t>四   投标文件的递交</w:t>
      </w:r>
      <w:bookmarkEnd w:id="117"/>
      <w:bookmarkEnd w:id="118"/>
      <w:bookmarkEnd w:id="119"/>
      <w:bookmarkEnd w:id="120"/>
    </w:p>
    <w:p w14:paraId="20D4193A">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21" w:name="_Toc520356160"/>
      <w:bookmarkStart w:id="122" w:name="_Toc109736046"/>
      <w:r>
        <w:rPr>
          <w:rFonts w:hint="eastAsia" w:ascii="宋体" w:hAnsi="宋体" w:eastAsia="宋体" w:cs="Times New Roman"/>
          <w:b/>
          <w:bCs/>
          <w:sz w:val="21"/>
          <w:szCs w:val="21"/>
          <w:highlight w:val="none"/>
        </w:rPr>
        <w:t xml:space="preserve">15.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投标文件的密封和标记</w:t>
      </w:r>
      <w:bookmarkEnd w:id="121"/>
      <w:bookmarkEnd w:id="122"/>
    </w:p>
    <w:p w14:paraId="55714D5F">
      <w:pPr>
        <w:spacing w:line="360" w:lineRule="auto"/>
        <w:ind w:left="788" w:hanging="787" w:hangingChars="375"/>
        <w:rPr>
          <w:rFonts w:hint="eastAsia" w:ascii="宋体" w:hAnsi="宋体"/>
          <w:szCs w:val="21"/>
          <w:highlight w:val="none"/>
        </w:rPr>
      </w:pPr>
      <w:r>
        <w:rPr>
          <w:rFonts w:hint="eastAsia" w:ascii="宋体" w:hAnsi="宋体"/>
          <w:szCs w:val="21"/>
          <w:highlight w:val="none"/>
        </w:rPr>
        <w:t>15.1   投标时，投标人应将投标文件正本和副本分开单独密封，且在封皮正面标明“正本”或“副本”字样。</w:t>
      </w:r>
    </w:p>
    <w:p w14:paraId="59E4BFD7">
      <w:pPr>
        <w:spacing w:line="360" w:lineRule="auto"/>
        <w:ind w:left="788" w:hanging="787" w:hangingChars="375"/>
        <w:rPr>
          <w:rFonts w:hint="eastAsia" w:ascii="宋体" w:hAnsi="宋体"/>
          <w:szCs w:val="21"/>
          <w:highlight w:val="none"/>
        </w:rPr>
      </w:pPr>
      <w:r>
        <w:rPr>
          <w:rFonts w:hint="eastAsia" w:ascii="宋体" w:hAnsi="宋体"/>
          <w:szCs w:val="21"/>
          <w:highlight w:val="none"/>
        </w:rPr>
        <w:t>15.2   为方便开标唱标，投标人应将 “开标一览表</w:t>
      </w:r>
      <w:r>
        <w:rPr>
          <w:rFonts w:ascii="宋体" w:hAnsi="宋体"/>
          <w:szCs w:val="21"/>
          <w:highlight w:val="none"/>
        </w:rPr>
        <w:t>”</w:t>
      </w:r>
      <w:r>
        <w:rPr>
          <w:rFonts w:hint="eastAsia" w:ascii="宋体" w:hAnsi="宋体"/>
          <w:szCs w:val="21"/>
          <w:highlight w:val="none"/>
        </w:rPr>
        <w:t>单独密封，并在信封上标明“开标一览表”字样，在投标时单独递交。</w:t>
      </w:r>
    </w:p>
    <w:p w14:paraId="44657C5D">
      <w:pPr>
        <w:spacing w:line="360" w:lineRule="auto"/>
        <w:ind w:left="788" w:hanging="787" w:hangingChars="375"/>
        <w:rPr>
          <w:rFonts w:hint="eastAsia" w:ascii="宋体" w:hAnsi="宋体"/>
          <w:szCs w:val="21"/>
          <w:highlight w:val="none"/>
        </w:rPr>
      </w:pPr>
      <w:r>
        <w:rPr>
          <w:rFonts w:hint="eastAsia" w:ascii="宋体" w:hAnsi="宋体"/>
          <w:szCs w:val="21"/>
          <w:highlight w:val="none"/>
        </w:rPr>
        <w:t>15.3   为方便核查投标保证金，投标人应将“投标保证金（支票、汇票、保函正本、电汇底单复印件）</w:t>
      </w:r>
      <w:r>
        <w:rPr>
          <w:rFonts w:ascii="宋体" w:hAnsi="宋体"/>
          <w:szCs w:val="21"/>
          <w:highlight w:val="none"/>
        </w:rPr>
        <w:t>”</w:t>
      </w:r>
      <w:r>
        <w:rPr>
          <w:rFonts w:hint="eastAsia" w:ascii="宋体" w:hAnsi="宋体"/>
          <w:szCs w:val="21"/>
          <w:highlight w:val="none"/>
        </w:rPr>
        <w:t>单独密封于一信封，并在信封上标明 “投标保证金”字样，在投标时单独递交。</w:t>
      </w:r>
    </w:p>
    <w:p w14:paraId="6B35DCAF">
      <w:pPr>
        <w:spacing w:line="360" w:lineRule="auto"/>
        <w:ind w:left="788" w:hanging="787" w:hangingChars="375"/>
        <w:rPr>
          <w:rFonts w:ascii="宋体" w:hAnsi="宋体"/>
          <w:szCs w:val="21"/>
          <w:highlight w:val="none"/>
        </w:rPr>
      </w:pPr>
      <w:r>
        <w:rPr>
          <w:rFonts w:hint="eastAsia" w:ascii="宋体" w:hAnsi="宋体"/>
          <w:szCs w:val="21"/>
          <w:highlight w:val="none"/>
        </w:rPr>
        <w:t>15.4    所有包装封皮和信封上均应：</w:t>
      </w:r>
    </w:p>
    <w:p w14:paraId="06F6B444">
      <w:pPr>
        <w:spacing w:line="360" w:lineRule="auto"/>
        <w:ind w:left="890" w:leftChars="399" w:hanging="52" w:hangingChars="25"/>
        <w:rPr>
          <w:rFonts w:hint="eastAsia" w:ascii="宋体" w:hAnsi="宋体"/>
          <w:szCs w:val="21"/>
          <w:highlight w:val="none"/>
        </w:rPr>
      </w:pPr>
      <w:r>
        <w:rPr>
          <w:rFonts w:hint="eastAsia" w:ascii="宋体" w:hAnsi="宋体"/>
          <w:szCs w:val="21"/>
          <w:highlight w:val="none"/>
        </w:rPr>
        <w:t>（1）注明</w:t>
      </w:r>
      <w:r>
        <w:rPr>
          <w:rFonts w:hint="eastAsia" w:ascii="宋体" w:hAnsi="宋体"/>
          <w:szCs w:val="21"/>
          <w:highlight w:val="none"/>
          <w:lang w:eastAsia="zh-CN"/>
        </w:rPr>
        <w:t>采购公告</w:t>
      </w:r>
      <w:r>
        <w:rPr>
          <w:rFonts w:hint="eastAsia" w:ascii="宋体" w:hAnsi="宋体"/>
          <w:szCs w:val="21"/>
          <w:highlight w:val="none"/>
        </w:rPr>
        <w:t>或投标邀请书中指明的货物名称、招标编号、投标人名称和“在（</w:t>
      </w:r>
      <w:r>
        <w:rPr>
          <w:rFonts w:hint="eastAsia" w:ascii="宋体" w:hAnsi="宋体"/>
          <w:szCs w:val="21"/>
          <w:highlight w:val="none"/>
          <w:u w:val="single"/>
        </w:rPr>
        <w:t>投标人须知资料表</w:t>
      </w:r>
      <w:r>
        <w:rPr>
          <w:rFonts w:hint="eastAsia" w:ascii="宋体" w:hAnsi="宋体"/>
          <w:szCs w:val="21"/>
          <w:highlight w:val="none"/>
        </w:rPr>
        <w:t>中规定开标时间）之前不得启封”的字样。</w:t>
      </w:r>
    </w:p>
    <w:p w14:paraId="338DF3A2">
      <w:pPr>
        <w:spacing w:line="360" w:lineRule="auto"/>
        <w:ind w:left="890" w:leftChars="399" w:hanging="52" w:hangingChars="25"/>
        <w:rPr>
          <w:rFonts w:hint="eastAsia" w:ascii="宋体" w:hAnsi="宋体"/>
          <w:szCs w:val="21"/>
          <w:highlight w:val="none"/>
        </w:rPr>
      </w:pPr>
      <w:r>
        <w:rPr>
          <w:rFonts w:hint="eastAsia" w:ascii="宋体" w:hAnsi="宋体"/>
          <w:szCs w:val="21"/>
          <w:highlight w:val="none"/>
        </w:rPr>
        <w:t>（2）在封装处加盖投标人公章，或由法定代表人（或其授权代表）签字。</w:t>
      </w:r>
    </w:p>
    <w:p w14:paraId="48925AE8">
      <w:pPr>
        <w:spacing w:line="360" w:lineRule="auto"/>
        <w:ind w:left="788" w:hanging="787" w:hangingChars="375"/>
        <w:rPr>
          <w:rFonts w:ascii="宋体" w:hAnsi="宋体"/>
          <w:szCs w:val="21"/>
          <w:highlight w:val="none"/>
        </w:rPr>
      </w:pPr>
      <w:r>
        <w:rPr>
          <w:rFonts w:hint="eastAsia" w:ascii="宋体" w:hAnsi="宋体"/>
          <w:szCs w:val="21"/>
          <w:highlight w:val="none"/>
        </w:rPr>
        <w:t>15.5</w:t>
      </w:r>
      <w:r>
        <w:rPr>
          <w:rFonts w:hint="eastAsia" w:ascii="宋体" w:hAnsi="宋体"/>
          <w:szCs w:val="21"/>
          <w:highlight w:val="none"/>
        </w:rPr>
        <w:tab/>
      </w:r>
      <w:r>
        <w:rPr>
          <w:rFonts w:hint="eastAsia" w:ascii="宋体" w:hAnsi="宋体"/>
          <w:szCs w:val="21"/>
          <w:highlight w:val="none"/>
        </w:rPr>
        <w:t>如果投标人未按上述要求密封及加写标记，招标采购单位对投标文件过早启封概不负责，并可能导致其投标被拒绝。</w:t>
      </w:r>
    </w:p>
    <w:p w14:paraId="10D55D9A">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23" w:name="_Toc520356161"/>
      <w:bookmarkStart w:id="124" w:name="_Toc109736047"/>
      <w:r>
        <w:rPr>
          <w:rFonts w:hint="eastAsia" w:ascii="宋体" w:hAnsi="宋体" w:eastAsia="宋体" w:cs="Times New Roman"/>
          <w:b/>
          <w:bCs/>
          <w:sz w:val="21"/>
          <w:szCs w:val="21"/>
          <w:highlight w:val="none"/>
        </w:rPr>
        <w:t>16.</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投标截止期</w:t>
      </w:r>
      <w:bookmarkEnd w:id="123"/>
      <w:bookmarkEnd w:id="124"/>
    </w:p>
    <w:p w14:paraId="510EB59F">
      <w:pPr>
        <w:spacing w:line="360" w:lineRule="auto"/>
        <w:ind w:left="788" w:hanging="787" w:hangingChars="375"/>
        <w:rPr>
          <w:rFonts w:hint="eastAsia" w:ascii="宋体" w:hAnsi="宋体"/>
          <w:szCs w:val="21"/>
          <w:highlight w:val="none"/>
        </w:rPr>
      </w:pPr>
      <w:r>
        <w:rPr>
          <w:rFonts w:hint="eastAsia" w:ascii="宋体" w:hAnsi="宋体"/>
          <w:szCs w:val="21"/>
          <w:highlight w:val="none"/>
        </w:rPr>
        <w:t>16.1</w:t>
      </w:r>
      <w:r>
        <w:rPr>
          <w:rFonts w:hint="eastAsia" w:ascii="宋体" w:hAnsi="宋体"/>
          <w:szCs w:val="21"/>
          <w:highlight w:val="none"/>
        </w:rPr>
        <w:tab/>
      </w:r>
      <w:r>
        <w:rPr>
          <w:rFonts w:hint="eastAsia" w:ascii="宋体" w:hAnsi="宋体"/>
          <w:szCs w:val="21"/>
          <w:highlight w:val="none"/>
        </w:rPr>
        <w:t>投标人应在</w:t>
      </w:r>
      <w:r>
        <w:rPr>
          <w:rFonts w:hint="eastAsia" w:ascii="宋体" w:hAnsi="宋体"/>
          <w:szCs w:val="21"/>
          <w:highlight w:val="none"/>
          <w:lang w:eastAsia="zh-CN"/>
        </w:rPr>
        <w:t>采购公告</w:t>
      </w:r>
      <w:r>
        <w:rPr>
          <w:rFonts w:hint="eastAsia" w:ascii="宋体" w:hAnsi="宋体"/>
          <w:szCs w:val="21"/>
          <w:highlight w:val="none"/>
        </w:rPr>
        <w:t>或投标邀请书中规定的截止日期和时间内，派人将投标文件递交招标采购单位，递交地点应是</w:t>
      </w:r>
      <w:r>
        <w:rPr>
          <w:rFonts w:hint="eastAsia" w:ascii="宋体" w:hAnsi="宋体"/>
          <w:szCs w:val="21"/>
          <w:highlight w:val="none"/>
          <w:lang w:eastAsia="zh-CN"/>
        </w:rPr>
        <w:t>采购公告</w:t>
      </w:r>
      <w:r>
        <w:rPr>
          <w:rFonts w:hint="eastAsia" w:ascii="宋体" w:hAnsi="宋体"/>
          <w:szCs w:val="21"/>
          <w:highlight w:val="none"/>
        </w:rPr>
        <w:t>或投标邀请书中规定的地址。</w:t>
      </w:r>
    </w:p>
    <w:p w14:paraId="7FA2D1C2">
      <w:pPr>
        <w:spacing w:line="360" w:lineRule="auto"/>
        <w:ind w:left="788" w:hanging="787" w:hangingChars="375"/>
        <w:rPr>
          <w:rFonts w:hint="eastAsia" w:ascii="宋体" w:hAnsi="宋体"/>
          <w:szCs w:val="21"/>
          <w:highlight w:val="none"/>
        </w:rPr>
      </w:pPr>
      <w:r>
        <w:rPr>
          <w:rFonts w:hint="eastAsia" w:ascii="宋体" w:hAnsi="宋体"/>
          <w:szCs w:val="21"/>
          <w:highlight w:val="none"/>
        </w:rPr>
        <w:t>16.2</w:t>
      </w:r>
      <w:r>
        <w:rPr>
          <w:rFonts w:hint="eastAsia" w:ascii="宋体" w:hAnsi="宋体"/>
          <w:szCs w:val="21"/>
          <w:highlight w:val="none"/>
        </w:rPr>
        <w:tab/>
      </w:r>
      <w:r>
        <w:rPr>
          <w:rFonts w:hint="eastAsia" w:ascii="宋体" w:hAnsi="宋体"/>
          <w:szCs w:val="21"/>
          <w:highlight w:val="none"/>
        </w:rPr>
        <w:t>招标采购单位有权按本须知的规定，通过修改招标文件，延长投标截止期。在此情况下，招标采购单位和投标人受投标截止期制约的所有权利和义务均应延长至新的截止期。</w:t>
      </w:r>
    </w:p>
    <w:p w14:paraId="3DB8394F">
      <w:pPr>
        <w:spacing w:line="360" w:lineRule="auto"/>
        <w:ind w:left="788" w:hanging="787" w:hangingChars="375"/>
        <w:rPr>
          <w:rFonts w:ascii="宋体" w:hAnsi="宋体"/>
          <w:szCs w:val="21"/>
          <w:highlight w:val="none"/>
        </w:rPr>
      </w:pPr>
      <w:r>
        <w:rPr>
          <w:rFonts w:hint="eastAsia" w:ascii="宋体" w:hAnsi="宋体"/>
          <w:szCs w:val="21"/>
          <w:highlight w:val="none"/>
        </w:rPr>
        <w:t>16.3</w:t>
      </w:r>
      <w:r>
        <w:rPr>
          <w:rFonts w:hint="eastAsia" w:ascii="宋体" w:hAnsi="宋体"/>
          <w:szCs w:val="21"/>
          <w:highlight w:val="none"/>
        </w:rPr>
        <w:tab/>
      </w:r>
      <w:r>
        <w:rPr>
          <w:rFonts w:hint="eastAsia" w:ascii="宋体" w:hAnsi="宋体"/>
          <w:szCs w:val="21"/>
          <w:highlight w:val="none"/>
        </w:rPr>
        <w:t>招标采购单位将拒绝并原封退回在投标截止期后送达的任何投标文件。</w:t>
      </w:r>
    </w:p>
    <w:p w14:paraId="64B59B9B">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25" w:name="_Toc109736048"/>
      <w:bookmarkStart w:id="126" w:name="_Toc520356162"/>
      <w:r>
        <w:rPr>
          <w:rFonts w:hint="eastAsia" w:ascii="宋体" w:hAnsi="宋体" w:eastAsia="宋体" w:cs="Times New Roman"/>
          <w:b/>
          <w:bCs/>
          <w:sz w:val="21"/>
          <w:szCs w:val="21"/>
          <w:highlight w:val="none"/>
        </w:rPr>
        <w:t>17.</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投标文件的修改与撤回</w:t>
      </w:r>
      <w:bookmarkEnd w:id="125"/>
      <w:bookmarkEnd w:id="126"/>
    </w:p>
    <w:p w14:paraId="0DD0015B">
      <w:pPr>
        <w:spacing w:line="360" w:lineRule="auto"/>
        <w:ind w:left="788" w:hanging="787" w:hangingChars="375"/>
        <w:rPr>
          <w:rFonts w:ascii="宋体" w:hAnsi="宋体"/>
          <w:szCs w:val="21"/>
          <w:highlight w:val="none"/>
        </w:rPr>
      </w:pPr>
      <w:r>
        <w:rPr>
          <w:rFonts w:hint="eastAsia" w:ascii="宋体" w:hAnsi="宋体"/>
          <w:szCs w:val="21"/>
          <w:highlight w:val="none"/>
        </w:rPr>
        <w:t>17.1</w:t>
      </w:r>
      <w:r>
        <w:rPr>
          <w:rFonts w:hint="eastAsia" w:ascii="宋体" w:hAnsi="宋体"/>
          <w:szCs w:val="21"/>
          <w:highlight w:val="none"/>
        </w:rPr>
        <w:tab/>
      </w:r>
      <w:r>
        <w:rPr>
          <w:rFonts w:hint="eastAsia" w:ascii="宋体" w:hAnsi="宋体"/>
          <w:szCs w:val="21"/>
          <w:highlight w:val="none"/>
        </w:rPr>
        <w:t>投标以后，如果投标人提出书面修改或撤标要求，在投标截止时间前送达开标地点，招标采购单位将予以接受，并视为投标文件的组成部分。</w:t>
      </w:r>
    </w:p>
    <w:p w14:paraId="444E6A85">
      <w:pPr>
        <w:spacing w:line="360" w:lineRule="auto"/>
        <w:ind w:left="788" w:hanging="787" w:hangingChars="375"/>
        <w:rPr>
          <w:rFonts w:ascii="宋体" w:hAnsi="宋体"/>
          <w:szCs w:val="21"/>
          <w:highlight w:val="none"/>
        </w:rPr>
      </w:pPr>
      <w:r>
        <w:rPr>
          <w:rFonts w:hint="eastAsia" w:ascii="宋体" w:hAnsi="宋体"/>
          <w:szCs w:val="21"/>
          <w:highlight w:val="none"/>
        </w:rPr>
        <w:t>17.2</w:t>
      </w:r>
      <w:r>
        <w:rPr>
          <w:rFonts w:hint="eastAsia" w:ascii="宋体" w:hAnsi="宋体"/>
          <w:szCs w:val="21"/>
          <w:highlight w:val="none"/>
        </w:rPr>
        <w:tab/>
      </w:r>
      <w:r>
        <w:rPr>
          <w:rFonts w:hint="eastAsia" w:ascii="宋体" w:hAnsi="宋体"/>
          <w:szCs w:val="21"/>
          <w:highlight w:val="none"/>
        </w:rPr>
        <w:t>投标人对投标文件的修改或撤回通知应按本须知第15条规定编制、密封、标记和发送。</w:t>
      </w:r>
    </w:p>
    <w:p w14:paraId="50A3804C">
      <w:pPr>
        <w:spacing w:line="360" w:lineRule="auto"/>
        <w:ind w:left="788" w:hanging="787" w:hangingChars="375"/>
        <w:rPr>
          <w:rFonts w:ascii="宋体" w:hAnsi="宋体"/>
          <w:szCs w:val="21"/>
          <w:highlight w:val="none"/>
        </w:rPr>
      </w:pPr>
      <w:r>
        <w:rPr>
          <w:rFonts w:hint="eastAsia" w:ascii="宋体" w:hAnsi="宋体"/>
          <w:szCs w:val="21"/>
          <w:highlight w:val="none"/>
        </w:rPr>
        <w:t>17.3</w:t>
      </w:r>
      <w:r>
        <w:rPr>
          <w:rFonts w:hint="eastAsia" w:ascii="宋体" w:hAnsi="宋体"/>
          <w:szCs w:val="21"/>
          <w:highlight w:val="none"/>
        </w:rPr>
        <w:tab/>
      </w:r>
      <w:r>
        <w:rPr>
          <w:rFonts w:hint="eastAsia" w:ascii="宋体" w:hAnsi="宋体"/>
          <w:szCs w:val="21"/>
          <w:highlight w:val="none"/>
        </w:rPr>
        <w:t>在投标截止期之后，投标人不得对其投标文件做任何修改，招标采购单位对所接收投标文件概不退回。</w:t>
      </w:r>
    </w:p>
    <w:p w14:paraId="06D4B4D5">
      <w:pPr>
        <w:spacing w:line="360" w:lineRule="auto"/>
        <w:ind w:left="788" w:hanging="787" w:hangingChars="375"/>
        <w:rPr>
          <w:rFonts w:hint="eastAsia" w:ascii="宋体" w:hAnsi="宋体"/>
          <w:szCs w:val="21"/>
          <w:highlight w:val="none"/>
        </w:rPr>
      </w:pPr>
      <w:r>
        <w:rPr>
          <w:rFonts w:hint="eastAsia" w:ascii="宋体" w:hAnsi="宋体"/>
          <w:szCs w:val="21"/>
          <w:highlight w:val="none"/>
        </w:rPr>
        <w:t>17.4</w:t>
      </w:r>
      <w:r>
        <w:rPr>
          <w:rFonts w:hint="eastAsia" w:ascii="宋体" w:hAnsi="宋体"/>
          <w:szCs w:val="21"/>
          <w:highlight w:val="none"/>
        </w:rPr>
        <w:tab/>
      </w:r>
      <w:r>
        <w:rPr>
          <w:rFonts w:hint="eastAsia" w:ascii="宋体" w:hAnsi="宋体"/>
          <w:szCs w:val="21"/>
          <w:highlight w:val="none"/>
        </w:rPr>
        <w:t>从投标截止期至投标人在投标书中承诺的投标有效期之间，投标人不得撤回其投标，否则其投标保证金将按照本须知第12条规定予以没收。</w:t>
      </w:r>
    </w:p>
    <w:p w14:paraId="21AC472D">
      <w:pPr>
        <w:spacing w:line="360" w:lineRule="auto"/>
        <w:ind w:left="1080" w:leftChars="257" w:hanging="540"/>
        <w:rPr>
          <w:rFonts w:hint="eastAsia" w:ascii="宋体" w:hAnsi="宋体"/>
          <w:sz w:val="24"/>
          <w:highlight w:val="none"/>
          <w:shd w:val="pct10" w:color="auto" w:fill="FFFFFF"/>
        </w:rPr>
      </w:pPr>
    </w:p>
    <w:p w14:paraId="621C6985">
      <w:pPr>
        <w:pStyle w:val="4"/>
        <w:spacing w:before="0" w:line="360" w:lineRule="auto"/>
        <w:jc w:val="center"/>
        <w:rPr>
          <w:rFonts w:hint="eastAsia" w:ascii="宋体" w:hAnsi="宋体" w:eastAsia="宋体"/>
          <w:sz w:val="24"/>
          <w:szCs w:val="24"/>
          <w:highlight w:val="none"/>
        </w:rPr>
      </w:pPr>
      <w:bookmarkStart w:id="127" w:name="_Toc216582809"/>
      <w:bookmarkStart w:id="128" w:name="_Toc520356163"/>
      <w:bookmarkStart w:id="129" w:name="_Toc109736049"/>
      <w:bookmarkStart w:id="130" w:name="_Toc23762"/>
      <w:r>
        <w:rPr>
          <w:rFonts w:hint="eastAsia" w:ascii="宋体" w:hAnsi="宋体" w:eastAsia="宋体"/>
          <w:sz w:val="24"/>
          <w:szCs w:val="24"/>
          <w:highlight w:val="none"/>
        </w:rPr>
        <w:t>五   开标及评标</w:t>
      </w:r>
      <w:bookmarkEnd w:id="127"/>
      <w:bookmarkEnd w:id="128"/>
      <w:bookmarkEnd w:id="129"/>
      <w:bookmarkEnd w:id="130"/>
    </w:p>
    <w:p w14:paraId="39CB0043">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1" w:name="_Toc109736050"/>
      <w:bookmarkStart w:id="132" w:name="_Toc520356164"/>
      <w:r>
        <w:rPr>
          <w:rFonts w:hint="eastAsia" w:ascii="宋体" w:hAnsi="宋体" w:eastAsia="宋体" w:cs="Times New Roman"/>
          <w:b/>
          <w:bCs/>
          <w:sz w:val="21"/>
          <w:szCs w:val="21"/>
          <w:highlight w:val="none"/>
        </w:rPr>
        <w:t>18.</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开标</w:t>
      </w:r>
      <w:bookmarkEnd w:id="131"/>
      <w:bookmarkEnd w:id="132"/>
    </w:p>
    <w:p w14:paraId="60F37FC8">
      <w:pPr>
        <w:spacing w:line="360" w:lineRule="auto"/>
        <w:ind w:left="788" w:hanging="787" w:hangingChars="375"/>
        <w:rPr>
          <w:rFonts w:hint="eastAsia" w:ascii="宋体" w:hAnsi="宋体"/>
          <w:szCs w:val="21"/>
          <w:highlight w:val="none"/>
        </w:rPr>
      </w:pPr>
      <w:r>
        <w:rPr>
          <w:rFonts w:hint="eastAsia" w:ascii="宋体" w:hAnsi="宋体"/>
          <w:szCs w:val="21"/>
          <w:highlight w:val="none"/>
        </w:rPr>
        <w:t>18.1</w:t>
      </w:r>
      <w:r>
        <w:rPr>
          <w:rFonts w:hint="eastAsia" w:ascii="宋体" w:hAnsi="宋体"/>
          <w:szCs w:val="21"/>
          <w:highlight w:val="none"/>
        </w:rPr>
        <w:tab/>
      </w:r>
      <w:r>
        <w:rPr>
          <w:rFonts w:hint="eastAsia" w:ascii="宋体" w:hAnsi="宋体"/>
          <w:szCs w:val="21"/>
          <w:highlight w:val="none"/>
        </w:rPr>
        <w:t>招标采购单位将按规定的开标时间和地点组织公开开标，所有投标人代表均有权参加。</w:t>
      </w:r>
    </w:p>
    <w:p w14:paraId="53A1AFC6">
      <w:pPr>
        <w:spacing w:line="360" w:lineRule="auto"/>
        <w:ind w:left="788" w:hanging="787" w:hangingChars="375"/>
        <w:rPr>
          <w:rFonts w:hint="eastAsia" w:ascii="宋体" w:hAnsi="宋体"/>
          <w:szCs w:val="21"/>
          <w:highlight w:val="none"/>
        </w:rPr>
      </w:pPr>
      <w:r>
        <w:rPr>
          <w:rFonts w:hint="eastAsia" w:ascii="宋体" w:hAnsi="宋体"/>
          <w:szCs w:val="21"/>
          <w:highlight w:val="none"/>
        </w:rPr>
        <w:t>18.2   开标时，由投标人或其推选的代表，以及公证人员（如有）检查投标文件的密封情况，经记录后，由招标采购单位当众拆封、宣读投标人名称、投标价格、价格折扣、是否提交了投标保证金、招标文件允许提供的备选方案等内容。对于投标人在投标截止期前递交的投标声明，在开标时当众宣读，评标时有效。</w:t>
      </w:r>
    </w:p>
    <w:p w14:paraId="0E9CEDC1">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未宣读的投标价格、价格折扣、备选方案等实质内容，评标时不予承认。</w:t>
      </w:r>
    </w:p>
    <w:p w14:paraId="7ED8D855">
      <w:pPr>
        <w:spacing w:line="360" w:lineRule="auto"/>
        <w:ind w:left="788" w:hanging="787" w:hangingChars="375"/>
        <w:rPr>
          <w:rFonts w:ascii="宋体" w:hAnsi="宋体"/>
          <w:szCs w:val="21"/>
          <w:highlight w:val="none"/>
        </w:rPr>
      </w:pPr>
      <w:r>
        <w:rPr>
          <w:rFonts w:hint="eastAsia" w:ascii="宋体" w:hAnsi="宋体"/>
          <w:szCs w:val="21"/>
          <w:highlight w:val="none"/>
        </w:rPr>
        <w:t>18.3    除了按照本须知的规定原封退回迟到的投标文件之外，开标时将不得拒绝任何投标。</w:t>
      </w:r>
    </w:p>
    <w:p w14:paraId="4727C5DD">
      <w:pPr>
        <w:spacing w:line="360" w:lineRule="auto"/>
        <w:ind w:left="788" w:hanging="787" w:hangingChars="375"/>
        <w:rPr>
          <w:rFonts w:hint="eastAsia" w:ascii="宋体" w:hAnsi="宋体"/>
          <w:szCs w:val="21"/>
          <w:highlight w:val="none"/>
        </w:rPr>
      </w:pPr>
      <w:r>
        <w:rPr>
          <w:rFonts w:hint="eastAsia" w:ascii="宋体" w:hAnsi="宋体"/>
          <w:szCs w:val="21"/>
          <w:highlight w:val="none"/>
        </w:rPr>
        <w:t>18.4</w:t>
      </w:r>
      <w:r>
        <w:rPr>
          <w:rFonts w:hint="eastAsia" w:ascii="宋体" w:hAnsi="宋体"/>
          <w:szCs w:val="21"/>
          <w:highlight w:val="none"/>
        </w:rPr>
        <w:tab/>
      </w:r>
      <w:r>
        <w:rPr>
          <w:rFonts w:hint="eastAsia" w:ascii="宋体" w:hAnsi="宋体"/>
          <w:szCs w:val="21"/>
          <w:highlight w:val="none"/>
        </w:rPr>
        <w:t>招标采购单位将对开标</w:t>
      </w:r>
      <w:r>
        <w:rPr>
          <w:rFonts w:ascii="宋体" w:hAnsi="宋体"/>
          <w:szCs w:val="21"/>
          <w:highlight w:val="none"/>
        </w:rPr>
        <w:t>过程</w:t>
      </w:r>
      <w:r>
        <w:rPr>
          <w:rFonts w:hint="eastAsia" w:ascii="宋体" w:hAnsi="宋体"/>
          <w:szCs w:val="21"/>
          <w:highlight w:val="none"/>
        </w:rPr>
        <w:t>进行记录</w:t>
      </w:r>
      <w:bookmarkStart w:id="133" w:name="_Toc520356165"/>
      <w:r>
        <w:rPr>
          <w:rFonts w:hint="eastAsia" w:ascii="宋体" w:hAnsi="宋体"/>
          <w:szCs w:val="21"/>
          <w:highlight w:val="none"/>
        </w:rPr>
        <w:t>，并存档备查。</w:t>
      </w:r>
    </w:p>
    <w:p w14:paraId="66097E88">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4" w:name="_Toc109736051"/>
      <w:r>
        <w:rPr>
          <w:rFonts w:hint="eastAsia" w:ascii="宋体" w:hAnsi="宋体" w:eastAsia="宋体" w:cs="Times New Roman"/>
          <w:b/>
          <w:bCs/>
          <w:sz w:val="21"/>
          <w:szCs w:val="21"/>
          <w:highlight w:val="none"/>
        </w:rPr>
        <w:t>19.</w:t>
      </w:r>
      <w:r>
        <w:rPr>
          <w:rFonts w:hint="eastAsia" w:ascii="宋体" w:hAnsi="宋体" w:eastAsia="宋体" w:cs="Times New Roman"/>
          <w:b/>
          <w:bCs/>
          <w:sz w:val="21"/>
          <w:szCs w:val="21"/>
          <w:highlight w:val="none"/>
        </w:rPr>
        <w:tab/>
      </w:r>
      <w:bookmarkEnd w:id="133"/>
      <w:r>
        <w:rPr>
          <w:rFonts w:hint="eastAsia" w:ascii="宋体" w:hAnsi="宋体" w:eastAsia="宋体" w:cs="Times New Roman"/>
          <w:b/>
          <w:bCs/>
          <w:sz w:val="21"/>
          <w:szCs w:val="21"/>
          <w:highlight w:val="none"/>
        </w:rPr>
        <w:t xml:space="preserve">    组建评标委员会</w:t>
      </w:r>
      <w:bookmarkEnd w:id="134"/>
    </w:p>
    <w:p w14:paraId="22582DD8">
      <w:pPr>
        <w:spacing w:line="360" w:lineRule="auto"/>
        <w:ind w:left="899" w:leftChars="428"/>
        <w:rPr>
          <w:rFonts w:hint="eastAsia" w:ascii="宋体" w:hAnsi="宋体"/>
          <w:szCs w:val="21"/>
          <w:highlight w:val="none"/>
        </w:rPr>
      </w:pPr>
      <w:r>
        <w:rPr>
          <w:rFonts w:hint="eastAsia" w:ascii="宋体" w:hAnsi="宋体"/>
          <w:szCs w:val="21"/>
          <w:highlight w:val="none"/>
        </w:rPr>
        <w:t>评标委员会根据招标采购货物的特点，按照《</w:t>
      </w:r>
      <w:r>
        <w:rPr>
          <w:rFonts w:ascii="宋体" w:hAnsi="宋体"/>
          <w:szCs w:val="21"/>
          <w:highlight w:val="none"/>
        </w:rPr>
        <w:t>中华人民共和国招标投标法</w:t>
      </w:r>
      <w:r>
        <w:rPr>
          <w:rFonts w:hint="eastAsia" w:ascii="宋体" w:hAnsi="宋体"/>
          <w:szCs w:val="21"/>
          <w:highlight w:val="none"/>
        </w:rPr>
        <w:t>》、《</w:t>
      </w:r>
      <w:r>
        <w:rPr>
          <w:rFonts w:ascii="宋体" w:hAnsi="宋体"/>
          <w:szCs w:val="21"/>
          <w:highlight w:val="none"/>
        </w:rPr>
        <w:t>中华人民共和国招标投标法实施条例》门</w:t>
      </w:r>
      <w:r>
        <w:rPr>
          <w:rFonts w:hint="eastAsia" w:ascii="宋体" w:hAnsi="宋体"/>
          <w:szCs w:val="21"/>
          <w:highlight w:val="none"/>
        </w:rPr>
        <w:t>的有关规定依法组建，并负责评标工作。</w:t>
      </w:r>
      <w:bookmarkStart w:id="135" w:name="_Toc520356166"/>
    </w:p>
    <w:p w14:paraId="11C224B9">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6" w:name="_Toc109736052"/>
      <w:r>
        <w:rPr>
          <w:rFonts w:hint="eastAsia" w:ascii="宋体" w:hAnsi="宋体" w:eastAsia="宋体" w:cs="Times New Roman"/>
          <w:b/>
          <w:bCs/>
          <w:sz w:val="21"/>
          <w:szCs w:val="21"/>
          <w:highlight w:val="none"/>
        </w:rPr>
        <w:t>20.</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投标文件的初审</w:t>
      </w:r>
      <w:bookmarkEnd w:id="135"/>
      <w:r>
        <w:rPr>
          <w:rFonts w:hint="eastAsia" w:ascii="宋体" w:hAnsi="宋体" w:eastAsia="宋体" w:cs="Times New Roman"/>
          <w:b/>
          <w:bCs/>
          <w:sz w:val="21"/>
          <w:szCs w:val="21"/>
          <w:highlight w:val="none"/>
        </w:rPr>
        <w:t>与澄清</w:t>
      </w:r>
      <w:bookmarkEnd w:id="136"/>
    </w:p>
    <w:p w14:paraId="65CAD675">
      <w:pPr>
        <w:spacing w:line="360" w:lineRule="auto"/>
        <w:ind w:left="788" w:hanging="787" w:hangingChars="375"/>
        <w:rPr>
          <w:rFonts w:hint="eastAsia" w:ascii="宋体" w:hAnsi="宋体"/>
          <w:szCs w:val="21"/>
          <w:highlight w:val="none"/>
        </w:rPr>
      </w:pPr>
      <w:r>
        <w:rPr>
          <w:rFonts w:hint="eastAsia" w:ascii="宋体" w:hAnsi="宋体"/>
          <w:szCs w:val="21"/>
          <w:highlight w:val="none"/>
        </w:rPr>
        <w:t>20.1    投标文件的初审分为资格性检查和符合性检查。</w:t>
      </w:r>
    </w:p>
    <w:p w14:paraId="5007BEBE">
      <w:pPr>
        <w:spacing w:line="360" w:lineRule="auto"/>
        <w:ind w:left="788" w:hanging="787" w:hangingChars="375"/>
        <w:rPr>
          <w:rFonts w:hint="eastAsia" w:ascii="宋体" w:hAnsi="宋体"/>
          <w:szCs w:val="21"/>
          <w:highlight w:val="none"/>
        </w:rPr>
      </w:pPr>
      <w:r>
        <w:rPr>
          <w:rFonts w:hint="eastAsia" w:ascii="宋体" w:hAnsi="宋体"/>
          <w:szCs w:val="21"/>
          <w:highlight w:val="none"/>
        </w:rPr>
        <w:t>20.1.1  资格性检查  指依据法律法规和招标文件的规定，对投标文件中的资格证明、投标保证金等进行审查，以确定投标人是否具备投标资格。</w:t>
      </w:r>
    </w:p>
    <w:p w14:paraId="08C2C33F">
      <w:pPr>
        <w:spacing w:line="360" w:lineRule="auto"/>
        <w:ind w:left="788" w:hanging="787" w:hangingChars="375"/>
        <w:rPr>
          <w:rFonts w:hint="eastAsia" w:ascii="宋体" w:hAnsi="宋体"/>
          <w:szCs w:val="21"/>
          <w:highlight w:val="none"/>
        </w:rPr>
      </w:pPr>
      <w:r>
        <w:rPr>
          <w:rFonts w:hint="eastAsia" w:ascii="宋体" w:hAnsi="宋体"/>
          <w:szCs w:val="21"/>
          <w:highlight w:val="none"/>
        </w:rPr>
        <w:t>20.1.2  符合性检查  依据招标文件的规定，从投标文件的有效性、完整性和对招标文件的响应程度进行审查，以确定是否对招标文件的实质性要求做出响应。</w:t>
      </w:r>
      <w:bookmarkStart w:id="137" w:name="_Hlt522424701"/>
      <w:bookmarkEnd w:id="137"/>
      <w:bookmarkStart w:id="138" w:name="_Toc520356167"/>
    </w:p>
    <w:p w14:paraId="29CBB8A8">
      <w:pPr>
        <w:spacing w:line="360" w:lineRule="auto"/>
        <w:ind w:left="788" w:hanging="787" w:hangingChars="375"/>
        <w:rPr>
          <w:rFonts w:hint="eastAsia" w:ascii="宋体" w:hAnsi="宋体"/>
          <w:szCs w:val="21"/>
          <w:highlight w:val="none"/>
        </w:rPr>
      </w:pPr>
      <w:r>
        <w:rPr>
          <w:rFonts w:hint="eastAsia" w:ascii="宋体" w:hAnsi="宋体"/>
          <w:szCs w:val="21"/>
          <w:highlight w:val="none"/>
        </w:rPr>
        <w:t>20.2</w:t>
      </w:r>
      <w:r>
        <w:rPr>
          <w:rFonts w:hint="eastAsia" w:ascii="宋体" w:hAnsi="宋体"/>
          <w:szCs w:val="21"/>
          <w:highlight w:val="none"/>
        </w:rPr>
        <w:tab/>
      </w:r>
      <w:r>
        <w:rPr>
          <w:rFonts w:hint="eastAsia" w:ascii="宋体" w:hAnsi="宋体"/>
          <w:szCs w:val="21"/>
          <w:highlight w:val="none"/>
        </w:rPr>
        <w:t>投标文件的澄清</w:t>
      </w:r>
    </w:p>
    <w:p w14:paraId="51D18B9B">
      <w:pPr>
        <w:spacing w:line="360" w:lineRule="auto"/>
        <w:ind w:left="788" w:hanging="787" w:hangingChars="375"/>
        <w:rPr>
          <w:rFonts w:hint="eastAsia" w:ascii="宋体" w:hAnsi="宋体"/>
          <w:szCs w:val="21"/>
          <w:highlight w:val="none"/>
        </w:rPr>
      </w:pPr>
      <w:r>
        <w:rPr>
          <w:rFonts w:hint="eastAsia" w:ascii="宋体" w:hAnsi="宋体"/>
          <w:szCs w:val="21"/>
          <w:highlight w:val="none"/>
        </w:rPr>
        <w:t>20.2.1  在评标期间，评标委员会有权以书面方式要求投标人对其投标文件中含义不明确、对同类问题表述不一致或者有明显文字和计算错误的内容作必要的澄清。投标人澄清应在评标委员会规定的时间内以书面方式进行，并不得超出投标文件范围或者改变投标文件的实质性内容。</w:t>
      </w:r>
    </w:p>
    <w:p w14:paraId="7168F49E">
      <w:pPr>
        <w:spacing w:line="360" w:lineRule="auto"/>
        <w:ind w:left="788" w:hanging="787" w:hangingChars="375"/>
        <w:rPr>
          <w:rFonts w:hint="eastAsia" w:ascii="宋体" w:hAnsi="宋体"/>
          <w:szCs w:val="21"/>
          <w:highlight w:val="none"/>
        </w:rPr>
      </w:pPr>
      <w:r>
        <w:rPr>
          <w:rFonts w:hint="eastAsia" w:ascii="宋体" w:hAnsi="宋体"/>
          <w:szCs w:val="21"/>
          <w:highlight w:val="none"/>
        </w:rPr>
        <w:t>20.2.2  澄清文件将作为投标文件的一部分。</w:t>
      </w:r>
    </w:p>
    <w:p w14:paraId="686C189E">
      <w:pPr>
        <w:spacing w:line="360" w:lineRule="auto"/>
        <w:ind w:left="788" w:hanging="787" w:hangingChars="375"/>
        <w:rPr>
          <w:rFonts w:hint="eastAsia" w:ascii="宋体" w:hAnsi="宋体"/>
          <w:szCs w:val="21"/>
          <w:highlight w:val="none"/>
        </w:rPr>
      </w:pPr>
      <w:r>
        <w:rPr>
          <w:rFonts w:hint="eastAsia" w:ascii="宋体" w:hAnsi="宋体"/>
          <w:szCs w:val="21"/>
          <w:highlight w:val="none"/>
        </w:rPr>
        <w:t>20.2.3  算术错误及文字歧义将按以下方法更正：投标文件中“开标一览表”（报价表）内容与投标文件中明细表内容不一致的，以“开标一览表” （报价表）为准。投标文件同一部分</w:t>
      </w:r>
      <w:r>
        <w:rPr>
          <w:rFonts w:ascii="宋体" w:hAnsi="宋体"/>
          <w:szCs w:val="21"/>
          <w:highlight w:val="none"/>
        </w:rPr>
        <w:t>中，</w:t>
      </w:r>
      <w:r>
        <w:rPr>
          <w:rFonts w:hint="eastAsia" w:ascii="宋体" w:hAnsi="宋体"/>
          <w:szCs w:val="21"/>
          <w:highlight w:val="none"/>
        </w:rPr>
        <w:t>大写金额和小写金额不一致的，以大写金额为准，总价金额与按单价汇总金额不一致，以单价金额计算结果为准，单价金额小数点有明显错位的，应以总价为准，并修改单价。对不同文字文本投标文件的解释发生异议的，以中文文本为准。</w:t>
      </w:r>
    </w:p>
    <w:p w14:paraId="07539AF3">
      <w:pPr>
        <w:spacing w:line="360" w:lineRule="auto"/>
        <w:ind w:left="788" w:hanging="787" w:hangingChars="375"/>
        <w:rPr>
          <w:rFonts w:hint="eastAsia" w:ascii="宋体" w:hAnsi="宋体"/>
          <w:szCs w:val="21"/>
          <w:highlight w:val="none"/>
        </w:rPr>
      </w:pPr>
      <w:r>
        <w:rPr>
          <w:rFonts w:hint="eastAsia" w:ascii="宋体" w:hAnsi="宋体"/>
          <w:szCs w:val="21"/>
          <w:highlight w:val="none"/>
        </w:rPr>
        <w:t>20.2.4 如果投标人不接受对其错误和歧义的更改，其投标将作为无效投标被拒绝。</w:t>
      </w:r>
    </w:p>
    <w:p w14:paraId="72C06991">
      <w:pPr>
        <w:spacing w:line="360" w:lineRule="auto"/>
        <w:ind w:left="788" w:hanging="787" w:hangingChars="375"/>
        <w:rPr>
          <w:rFonts w:hint="eastAsia" w:ascii="宋体" w:hAnsi="宋体"/>
          <w:szCs w:val="21"/>
          <w:highlight w:val="none"/>
        </w:rPr>
      </w:pPr>
      <w:r>
        <w:rPr>
          <w:rFonts w:hint="eastAsia" w:ascii="宋体" w:hAnsi="宋体"/>
          <w:szCs w:val="21"/>
          <w:highlight w:val="none"/>
        </w:rPr>
        <w:t>20.3   如一个包内只有一种设备，同一品牌同一型号只能由一个投标人参加投标。如果多家投标人以同一品牌同一型号设备（产品）投标，评标时只能选择一个投标厂商有资格继续参加评审。选择方法为资质审查合格且投标报价最低的投标厂商进入评标，代理同一品牌同一型号设备（产品）的其他投标厂商投标将被作为无效投标被拒绝。</w:t>
      </w:r>
    </w:p>
    <w:p w14:paraId="5ABA9B3D">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9" w:name="_Toc109736053"/>
      <w:r>
        <w:rPr>
          <w:rFonts w:hint="eastAsia" w:ascii="宋体" w:hAnsi="宋体" w:eastAsia="宋体" w:cs="Times New Roman"/>
          <w:b/>
          <w:bCs/>
          <w:sz w:val="21"/>
          <w:szCs w:val="21"/>
          <w:highlight w:val="none"/>
        </w:rPr>
        <w:t>21.     投标偏离与无效投标</w:t>
      </w:r>
      <w:bookmarkEnd w:id="139"/>
    </w:p>
    <w:p w14:paraId="6287A209">
      <w:pPr>
        <w:spacing w:line="360" w:lineRule="auto"/>
        <w:ind w:left="788" w:hanging="787" w:hangingChars="375"/>
        <w:rPr>
          <w:rFonts w:hint="eastAsia" w:ascii="宋体" w:hAnsi="宋体"/>
          <w:szCs w:val="21"/>
          <w:highlight w:val="none"/>
        </w:rPr>
      </w:pPr>
      <w:r>
        <w:rPr>
          <w:rFonts w:hint="eastAsia" w:ascii="宋体" w:hAnsi="宋体"/>
          <w:szCs w:val="21"/>
          <w:highlight w:val="none"/>
        </w:rPr>
        <w:t>21.1    对于投标文件中不构成实质性偏差的不正规、不一致或不规则，评标委员会可以接受，但这种接受不能损坏或影响任何投标人的相对排序。</w:t>
      </w:r>
    </w:p>
    <w:p w14:paraId="13651286">
      <w:pPr>
        <w:spacing w:line="360" w:lineRule="auto"/>
        <w:ind w:left="788" w:hanging="787" w:hangingChars="375"/>
        <w:rPr>
          <w:rFonts w:hint="eastAsia" w:ascii="宋体" w:hAnsi="宋体"/>
          <w:szCs w:val="21"/>
          <w:highlight w:val="none"/>
        </w:rPr>
      </w:pPr>
      <w:r>
        <w:rPr>
          <w:rFonts w:hint="eastAsia" w:ascii="宋体" w:hAnsi="宋体"/>
          <w:szCs w:val="21"/>
          <w:highlight w:val="none"/>
        </w:rPr>
        <w:t>21.2    在比较与评价之前，根据本须知的规定，评标委员会要审查每份投标文件是否实质上响应了招标文件的要求。实质上响应的投标应该是与招标文件要求的全部条款、条件和规格相符，没有重大偏离的投标。对关键条款的偏离、保留和反对，将被认为是实质上的偏离，属于无效投标被拒绝。评标委员会决定投标的响应性只根据投标文件本身的内容，而不寻求外部的证据。</w:t>
      </w:r>
    </w:p>
    <w:p w14:paraId="4F210A0E">
      <w:pPr>
        <w:spacing w:line="360" w:lineRule="auto"/>
        <w:ind w:left="788" w:hanging="787" w:hangingChars="375"/>
        <w:rPr>
          <w:rFonts w:hint="eastAsia" w:ascii="宋体" w:hAnsi="宋体"/>
          <w:szCs w:val="21"/>
          <w:highlight w:val="none"/>
        </w:rPr>
      </w:pPr>
      <w:r>
        <w:rPr>
          <w:rFonts w:hint="eastAsia" w:ascii="宋体" w:hAnsi="宋体"/>
          <w:szCs w:val="21"/>
          <w:highlight w:val="none"/>
        </w:rPr>
        <w:t>21.3</w:t>
      </w:r>
      <w:r>
        <w:rPr>
          <w:rFonts w:hint="eastAsia" w:ascii="宋体" w:hAnsi="宋体"/>
          <w:szCs w:val="21"/>
          <w:highlight w:val="none"/>
        </w:rPr>
        <w:tab/>
      </w:r>
      <w:r>
        <w:rPr>
          <w:rFonts w:hint="eastAsia" w:ascii="宋体" w:hAnsi="宋体"/>
          <w:szCs w:val="21"/>
          <w:highlight w:val="none"/>
        </w:rPr>
        <w:t>实质上没有响应招标文件要求的投标将被作为无效投标被拒绝。投标人不得通过修正或撤销不符合要求的偏离或保留从而使其投标成为实质上响应的投标。如发现下列情况之一的，其投标将被作为无效投标被拒绝：</w:t>
      </w:r>
    </w:p>
    <w:p w14:paraId="7DFC0598">
      <w:pPr>
        <w:numPr>
          <w:ilvl w:val="0"/>
          <w:numId w:val="13"/>
        </w:numPr>
        <w:spacing w:line="360" w:lineRule="auto"/>
        <w:rPr>
          <w:rFonts w:hint="eastAsia" w:ascii="宋体" w:hAnsi="宋体"/>
          <w:szCs w:val="21"/>
          <w:highlight w:val="none"/>
        </w:rPr>
      </w:pPr>
      <w:r>
        <w:rPr>
          <w:rFonts w:hint="eastAsia" w:ascii="宋体" w:hAnsi="宋体"/>
          <w:szCs w:val="21"/>
          <w:highlight w:val="none"/>
        </w:rPr>
        <w:t>报价超过项目预算额的；</w:t>
      </w:r>
    </w:p>
    <w:p w14:paraId="0DA9DAE4">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未按招标文件规定的形式和数量交纳投标保证金的；</w:t>
      </w:r>
    </w:p>
    <w:p w14:paraId="1BEA6DAB">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未按照招标文件规定要求密封、签署、盖章的；</w:t>
      </w:r>
    </w:p>
    <w:p w14:paraId="30E5129A">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未按照招标文件要求提供资格文件或资格证明文件无效或不符合招标文件要求的；</w:t>
      </w:r>
    </w:p>
    <w:p w14:paraId="5BF0C41E">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不具备招标文件中规定投标人资格要求的； </w:t>
      </w:r>
    </w:p>
    <w:p w14:paraId="0AED1478">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不满足招标文件中商务部分标注“</w:t>
      </w:r>
      <w:r>
        <w:rPr>
          <w:rFonts w:hint="eastAsia" w:ascii="宋体" w:hAnsi="宋体"/>
          <w:b/>
          <w:szCs w:val="21"/>
          <w:highlight w:val="none"/>
        </w:rPr>
        <w:t>*</w:t>
      </w:r>
      <w:r>
        <w:rPr>
          <w:rFonts w:hint="eastAsia" w:ascii="宋体" w:hAnsi="宋体"/>
          <w:szCs w:val="21"/>
          <w:highlight w:val="none"/>
        </w:rPr>
        <w:t>”号条款的；以及招标文件所列无效投标、必须满足项不满足等情形的；</w:t>
      </w:r>
    </w:p>
    <w:p w14:paraId="55FBF043">
      <w:pPr>
        <w:numPr>
          <w:ilvl w:val="0"/>
          <w:numId w:val="13"/>
        </w:numPr>
        <w:tabs>
          <w:tab w:val="left" w:pos="0"/>
        </w:tabs>
        <w:spacing w:line="360" w:lineRule="auto"/>
        <w:ind w:left="1081" w:leftChars="429" w:hanging="180"/>
        <w:rPr>
          <w:rFonts w:hint="eastAsia" w:ascii="宋体" w:hAnsi="宋体"/>
          <w:szCs w:val="21"/>
          <w:highlight w:val="none"/>
        </w:rPr>
      </w:pPr>
      <w:r>
        <w:rPr>
          <w:rFonts w:hint="eastAsia" w:ascii="宋体" w:hAnsi="宋体"/>
          <w:szCs w:val="21"/>
          <w:highlight w:val="none"/>
        </w:rPr>
        <w:t>不符合法规和招标文件中规定的其他实质性要求的。</w:t>
      </w:r>
    </w:p>
    <w:p w14:paraId="03664BCA">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40" w:name="_Toc109736054"/>
      <w:r>
        <w:rPr>
          <w:rFonts w:hint="eastAsia" w:ascii="宋体" w:hAnsi="宋体" w:eastAsia="宋体" w:cs="Times New Roman"/>
          <w:b/>
          <w:bCs/>
          <w:sz w:val="21"/>
          <w:szCs w:val="21"/>
          <w:highlight w:val="none"/>
        </w:rPr>
        <w:t xml:space="preserve">22. </w:t>
      </w:r>
      <w:r>
        <w:rPr>
          <w:rFonts w:hint="eastAsia" w:ascii="宋体" w:hAnsi="宋体" w:eastAsia="宋体" w:cs="Times New Roman"/>
          <w:b/>
          <w:bCs/>
          <w:sz w:val="21"/>
          <w:szCs w:val="21"/>
          <w:highlight w:val="none"/>
        </w:rPr>
        <w:tab/>
      </w:r>
      <w:bookmarkEnd w:id="138"/>
      <w:r>
        <w:rPr>
          <w:rFonts w:hint="eastAsia" w:ascii="宋体" w:hAnsi="宋体" w:eastAsia="宋体" w:cs="Times New Roman"/>
          <w:b/>
          <w:bCs/>
          <w:sz w:val="21"/>
          <w:szCs w:val="21"/>
          <w:highlight w:val="none"/>
        </w:rPr>
        <w:t>比较与评价</w:t>
      </w:r>
      <w:bookmarkEnd w:id="140"/>
    </w:p>
    <w:p w14:paraId="69B5719F">
      <w:pPr>
        <w:spacing w:line="360" w:lineRule="auto"/>
        <w:ind w:left="788" w:hanging="787" w:hangingChars="375"/>
        <w:rPr>
          <w:rFonts w:hint="eastAsia" w:ascii="宋体" w:hAnsi="宋体"/>
          <w:szCs w:val="21"/>
          <w:highlight w:val="none"/>
        </w:rPr>
      </w:pPr>
      <w:r>
        <w:rPr>
          <w:rFonts w:hint="eastAsia" w:ascii="宋体" w:hAnsi="宋体"/>
          <w:szCs w:val="21"/>
          <w:highlight w:val="none"/>
        </w:rPr>
        <w:t>22.1</w:t>
      </w:r>
      <w:r>
        <w:rPr>
          <w:rFonts w:hint="eastAsia" w:ascii="宋体" w:hAnsi="宋体"/>
          <w:szCs w:val="21"/>
          <w:highlight w:val="none"/>
        </w:rPr>
        <w:tab/>
      </w:r>
      <w:r>
        <w:rPr>
          <w:rFonts w:hint="eastAsia" w:ascii="宋体" w:hAnsi="宋体"/>
          <w:szCs w:val="21"/>
          <w:highlight w:val="none"/>
        </w:rPr>
        <w:t>经初审合格的投标文件，评标委员会将根据招标文件确定的评标方法和标准，对其技术部分和商务部分作进一步的比较和评价。</w:t>
      </w:r>
    </w:p>
    <w:p w14:paraId="689B995D">
      <w:pPr>
        <w:spacing w:line="360" w:lineRule="auto"/>
        <w:ind w:left="788" w:hanging="787" w:hangingChars="375"/>
        <w:rPr>
          <w:rFonts w:hint="eastAsia" w:ascii="宋体" w:hAnsi="宋体"/>
          <w:szCs w:val="21"/>
          <w:highlight w:val="none"/>
        </w:rPr>
      </w:pPr>
      <w:r>
        <w:rPr>
          <w:rFonts w:hint="eastAsia" w:ascii="宋体" w:hAnsi="宋体"/>
          <w:szCs w:val="21"/>
          <w:highlight w:val="none"/>
        </w:rPr>
        <w:t xml:space="preserve">22.2  </w:t>
      </w:r>
      <w:r>
        <w:rPr>
          <w:rFonts w:hint="eastAsia" w:ascii="宋体" w:hAnsi="宋体"/>
          <w:szCs w:val="21"/>
          <w:highlight w:val="none"/>
        </w:rPr>
        <w:tab/>
      </w:r>
      <w:r>
        <w:rPr>
          <w:rFonts w:hint="eastAsia" w:ascii="宋体" w:hAnsi="宋体"/>
          <w:szCs w:val="21"/>
          <w:highlight w:val="none"/>
        </w:rPr>
        <w:t>评标严格按照招标文件的要求和条件进行。根据实际情况，在</w:t>
      </w:r>
      <w:r>
        <w:rPr>
          <w:rFonts w:hint="eastAsia" w:ascii="宋体" w:hAnsi="宋体"/>
          <w:szCs w:val="21"/>
          <w:highlight w:val="none"/>
          <w:u w:val="single"/>
        </w:rPr>
        <w:t>投标人须知资料表</w:t>
      </w:r>
      <w:r>
        <w:rPr>
          <w:rFonts w:hint="eastAsia" w:ascii="宋体" w:hAnsi="宋体"/>
          <w:szCs w:val="21"/>
          <w:highlight w:val="none"/>
        </w:rPr>
        <w:t>中规定采用下列一种评标方法，详细评标标准见招标文件第九章：</w:t>
      </w:r>
    </w:p>
    <w:p w14:paraId="06FDA51E">
      <w:pPr>
        <w:pStyle w:val="25"/>
        <w:spacing w:line="360" w:lineRule="auto"/>
        <w:ind w:left="899" w:leftChars="342" w:hanging="181"/>
        <w:rPr>
          <w:rFonts w:hint="eastAsia" w:hAnsi="宋体"/>
          <w:szCs w:val="21"/>
          <w:highlight w:val="none"/>
        </w:rPr>
      </w:pPr>
      <w:r>
        <w:rPr>
          <w:rFonts w:hint="eastAsia" w:hAnsi="宋体"/>
          <w:szCs w:val="21"/>
          <w:highlight w:val="none"/>
        </w:rPr>
        <w:t>（1） 最低评标价法。是指</w:t>
      </w:r>
      <w:r>
        <w:rPr>
          <w:rFonts w:hAnsi="宋体"/>
          <w:szCs w:val="21"/>
          <w:highlight w:val="none"/>
        </w:rPr>
        <w:t>投标文件满足招标文件全部实质性要求且投标报价最低的投标人为中标</w:t>
      </w:r>
      <w:r>
        <w:rPr>
          <w:rFonts w:hint="eastAsia" w:hAnsi="宋体"/>
          <w:szCs w:val="21"/>
          <w:highlight w:val="none"/>
        </w:rPr>
        <w:t>候选</w:t>
      </w:r>
      <w:r>
        <w:rPr>
          <w:rFonts w:hAnsi="宋体"/>
          <w:szCs w:val="21"/>
          <w:highlight w:val="none"/>
        </w:rPr>
        <w:t>人的评标方法</w:t>
      </w:r>
      <w:r>
        <w:rPr>
          <w:rFonts w:hint="eastAsia" w:hAnsi="宋体"/>
          <w:szCs w:val="21"/>
          <w:highlight w:val="none"/>
        </w:rPr>
        <w:t>。</w:t>
      </w:r>
    </w:p>
    <w:p w14:paraId="407B8F51">
      <w:pPr>
        <w:pStyle w:val="25"/>
        <w:spacing w:line="360" w:lineRule="auto"/>
        <w:ind w:left="898" w:leftChars="342" w:hanging="180"/>
        <w:rPr>
          <w:rFonts w:hint="eastAsia" w:hAnsi="宋体"/>
          <w:szCs w:val="21"/>
          <w:highlight w:val="none"/>
        </w:rPr>
      </w:pPr>
      <w:r>
        <w:rPr>
          <w:rFonts w:hint="eastAsia" w:hAnsi="宋体"/>
          <w:szCs w:val="21"/>
          <w:highlight w:val="none"/>
        </w:rPr>
        <w:t>（2） 综合评分法。是</w:t>
      </w:r>
      <w:r>
        <w:rPr>
          <w:rFonts w:hAnsi="宋体"/>
          <w:szCs w:val="21"/>
          <w:highlight w:val="none"/>
        </w:rPr>
        <w:t>指投标文件满足招标</w:t>
      </w:r>
      <w:r>
        <w:rPr>
          <w:rFonts w:hint="eastAsia" w:hAnsi="宋体"/>
          <w:szCs w:val="21"/>
          <w:highlight w:val="none"/>
        </w:rPr>
        <w:t>文件</w:t>
      </w:r>
      <w:r>
        <w:rPr>
          <w:rFonts w:hAnsi="宋体"/>
          <w:szCs w:val="21"/>
          <w:highlight w:val="none"/>
        </w:rPr>
        <w:t>全部实质性要求且按照评审因素的</w:t>
      </w:r>
      <w:r>
        <w:rPr>
          <w:rFonts w:hint="eastAsia" w:hAnsi="宋体"/>
          <w:szCs w:val="21"/>
          <w:highlight w:val="none"/>
        </w:rPr>
        <w:t>量化</w:t>
      </w:r>
      <w:r>
        <w:rPr>
          <w:rFonts w:hAnsi="宋体"/>
          <w:szCs w:val="21"/>
          <w:highlight w:val="none"/>
        </w:rPr>
        <w:t>指标评审得分最高的投标人为中标候选人的评标方法。</w:t>
      </w:r>
    </w:p>
    <w:p w14:paraId="0F7F1936">
      <w:pPr>
        <w:pStyle w:val="25"/>
        <w:spacing w:line="360" w:lineRule="auto"/>
        <w:ind w:left="788" w:hanging="787" w:hangingChars="375"/>
        <w:rPr>
          <w:rFonts w:hint="eastAsia" w:hAnsi="宋体"/>
          <w:szCs w:val="21"/>
          <w:highlight w:val="none"/>
        </w:rPr>
      </w:pPr>
      <w:r>
        <w:rPr>
          <w:rFonts w:hint="eastAsia" w:hAnsi="宋体"/>
          <w:szCs w:val="21"/>
          <w:highlight w:val="none"/>
        </w:rPr>
        <w:t>22.3   备选方案的评审。如</w:t>
      </w:r>
      <w:r>
        <w:rPr>
          <w:rFonts w:hint="eastAsia" w:hAnsi="宋体"/>
          <w:szCs w:val="21"/>
          <w:highlight w:val="none"/>
          <w:u w:val="single"/>
        </w:rPr>
        <w:t>投标人须知资料表</w:t>
      </w:r>
      <w:r>
        <w:rPr>
          <w:rFonts w:hint="eastAsia" w:hAnsi="宋体"/>
          <w:szCs w:val="21"/>
          <w:highlight w:val="none"/>
        </w:rPr>
        <w:t>中允许提交备选方案，评审过程中只考虑主方案。只有当主方案的投标人为第一中标候选投标人或中标投标人，且开标时报出的备选方案满足招标文件要求、报价低于主方案时，招标人才可考虑选用备选方案。</w:t>
      </w:r>
    </w:p>
    <w:p w14:paraId="414CACFE">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r>
        <w:rPr>
          <w:rFonts w:hint="eastAsia" w:ascii="宋体" w:hAnsi="宋体" w:eastAsia="宋体" w:cs="Times New Roman"/>
          <w:b/>
          <w:bCs/>
          <w:sz w:val="21"/>
          <w:szCs w:val="21"/>
          <w:highlight w:val="none"/>
        </w:rPr>
        <w:t xml:space="preserve">  </w:t>
      </w:r>
      <w:bookmarkStart w:id="141" w:name="_Toc520356169"/>
      <w:r>
        <w:rPr>
          <w:rFonts w:hint="eastAsia" w:ascii="宋体" w:hAnsi="宋体" w:eastAsia="宋体" w:cs="Times New Roman"/>
          <w:b/>
          <w:bCs/>
          <w:sz w:val="21"/>
          <w:szCs w:val="21"/>
          <w:highlight w:val="none"/>
        </w:rPr>
        <w:t>23．</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保密原则</w:t>
      </w:r>
    </w:p>
    <w:p w14:paraId="364C573E">
      <w:pPr>
        <w:spacing w:line="360" w:lineRule="auto"/>
        <w:ind w:left="788" w:hanging="787" w:hangingChars="375"/>
        <w:rPr>
          <w:rFonts w:hint="eastAsia" w:ascii="宋体" w:hAnsi="宋体"/>
          <w:szCs w:val="21"/>
          <w:highlight w:val="none"/>
        </w:rPr>
      </w:pPr>
      <w:r>
        <w:rPr>
          <w:rFonts w:hint="eastAsia" w:ascii="宋体" w:hAnsi="宋体"/>
          <w:szCs w:val="21"/>
          <w:highlight w:val="none"/>
        </w:rPr>
        <w:t>23.1</w:t>
      </w:r>
      <w:r>
        <w:rPr>
          <w:rFonts w:hint="eastAsia" w:ascii="宋体" w:hAnsi="宋体"/>
          <w:szCs w:val="21"/>
          <w:highlight w:val="none"/>
        </w:rPr>
        <w:tab/>
      </w:r>
      <w:r>
        <w:rPr>
          <w:rFonts w:hint="eastAsia" w:ascii="宋体" w:hAnsi="宋体"/>
          <w:szCs w:val="21"/>
          <w:highlight w:val="none"/>
        </w:rPr>
        <w:t>评标将在严格保密的情况下进行。</w:t>
      </w:r>
    </w:p>
    <w:p w14:paraId="480A37B3">
      <w:pPr>
        <w:spacing w:line="360" w:lineRule="auto"/>
        <w:ind w:left="788" w:hanging="787" w:hangingChars="375"/>
        <w:rPr>
          <w:rFonts w:hint="eastAsia" w:ascii="宋体" w:hAnsi="宋体"/>
          <w:szCs w:val="21"/>
          <w:highlight w:val="none"/>
        </w:rPr>
      </w:pPr>
      <w:r>
        <w:rPr>
          <w:rFonts w:hint="eastAsia" w:ascii="宋体" w:hAnsi="宋体"/>
          <w:szCs w:val="21"/>
          <w:highlight w:val="none"/>
        </w:rPr>
        <w:t>23.2</w:t>
      </w:r>
      <w:r>
        <w:rPr>
          <w:rFonts w:hint="eastAsia" w:ascii="宋体" w:hAnsi="宋体"/>
          <w:szCs w:val="21"/>
          <w:highlight w:val="none"/>
        </w:rPr>
        <w:tab/>
      </w:r>
      <w:r>
        <w:rPr>
          <w:rFonts w:ascii="宋体" w:hAnsi="宋体"/>
          <w:szCs w:val="21"/>
          <w:highlight w:val="none"/>
        </w:rPr>
        <w:t>评审专家应当</w:t>
      </w:r>
      <w:r>
        <w:rPr>
          <w:rFonts w:hint="eastAsia" w:ascii="宋体" w:hAnsi="宋体"/>
          <w:szCs w:val="21"/>
          <w:highlight w:val="none"/>
        </w:rPr>
        <w:t>遵</w:t>
      </w:r>
      <w:r>
        <w:rPr>
          <w:rFonts w:ascii="宋体" w:hAnsi="宋体"/>
          <w:szCs w:val="21"/>
          <w:highlight w:val="none"/>
        </w:rPr>
        <w:t>守评审工作纪律，不得</w:t>
      </w:r>
      <w:r>
        <w:rPr>
          <w:rFonts w:hint="eastAsia" w:ascii="宋体" w:hAnsi="宋体"/>
          <w:szCs w:val="21"/>
          <w:highlight w:val="none"/>
        </w:rPr>
        <w:t>泄露</w:t>
      </w:r>
      <w:r>
        <w:rPr>
          <w:rFonts w:ascii="宋体" w:hAnsi="宋体"/>
          <w:szCs w:val="21"/>
          <w:highlight w:val="none"/>
        </w:rPr>
        <w:t>评审</w:t>
      </w:r>
      <w:r>
        <w:rPr>
          <w:rFonts w:hint="eastAsia" w:ascii="宋体" w:hAnsi="宋体"/>
          <w:szCs w:val="21"/>
          <w:highlight w:val="none"/>
        </w:rPr>
        <w:t>文件</w:t>
      </w:r>
      <w:r>
        <w:rPr>
          <w:rFonts w:ascii="宋体" w:hAnsi="宋体"/>
          <w:szCs w:val="21"/>
          <w:highlight w:val="none"/>
        </w:rPr>
        <w:t>、评审情况和评审中获悉的商业秘密。</w:t>
      </w:r>
    </w:p>
    <w:p w14:paraId="462D0F44">
      <w:pPr>
        <w:spacing w:line="360" w:lineRule="auto"/>
        <w:ind w:left="788" w:hanging="787" w:hangingChars="375"/>
        <w:rPr>
          <w:rFonts w:hint="eastAsia" w:ascii="宋体" w:hAnsi="宋体"/>
          <w:szCs w:val="21"/>
          <w:highlight w:val="none"/>
        </w:rPr>
      </w:pPr>
      <w:r>
        <w:rPr>
          <w:rFonts w:hint="eastAsia" w:ascii="宋体" w:hAnsi="宋体"/>
          <w:szCs w:val="21"/>
          <w:highlight w:val="none"/>
        </w:rPr>
        <w:t>23.3   投标人试图影响招标采购单位和评标委员会的任何活动，将导致其投标被拒绝，并承担相应的法律责任。</w:t>
      </w:r>
    </w:p>
    <w:p w14:paraId="543903A4">
      <w:pPr>
        <w:spacing w:line="360" w:lineRule="auto"/>
        <w:ind w:left="1080" w:leftChars="257" w:hanging="540"/>
        <w:rPr>
          <w:rFonts w:hint="eastAsia" w:ascii="宋体" w:hAnsi="宋体"/>
          <w:szCs w:val="21"/>
          <w:highlight w:val="none"/>
        </w:rPr>
      </w:pPr>
    </w:p>
    <w:p w14:paraId="13169E17">
      <w:pPr>
        <w:pStyle w:val="4"/>
        <w:spacing w:before="0" w:line="360" w:lineRule="auto"/>
        <w:jc w:val="center"/>
        <w:rPr>
          <w:rFonts w:hint="eastAsia" w:ascii="宋体" w:hAnsi="宋体" w:eastAsia="宋体"/>
          <w:sz w:val="24"/>
          <w:szCs w:val="24"/>
          <w:highlight w:val="none"/>
        </w:rPr>
      </w:pPr>
      <w:bookmarkStart w:id="142" w:name="_Toc109736055"/>
      <w:bookmarkStart w:id="143" w:name="_Toc216582810"/>
      <w:bookmarkStart w:id="144" w:name="_Toc6900"/>
      <w:r>
        <w:rPr>
          <w:rFonts w:hint="eastAsia" w:ascii="宋体" w:hAnsi="宋体" w:eastAsia="宋体"/>
          <w:sz w:val="24"/>
          <w:szCs w:val="24"/>
          <w:highlight w:val="none"/>
        </w:rPr>
        <w:t xml:space="preserve">六   </w:t>
      </w:r>
      <w:bookmarkEnd w:id="141"/>
      <w:r>
        <w:rPr>
          <w:rFonts w:hint="eastAsia" w:ascii="宋体" w:hAnsi="宋体" w:eastAsia="宋体"/>
          <w:sz w:val="24"/>
          <w:szCs w:val="24"/>
          <w:highlight w:val="none"/>
        </w:rPr>
        <w:t>确定中标</w:t>
      </w:r>
      <w:bookmarkEnd w:id="142"/>
      <w:bookmarkEnd w:id="143"/>
      <w:bookmarkEnd w:id="144"/>
    </w:p>
    <w:p w14:paraId="1B90CBBA">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45" w:name="_Toc109736056"/>
      <w:bookmarkStart w:id="146" w:name="_Toc520356170"/>
      <w:bookmarkStart w:id="147" w:name="_Ref467307010"/>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4</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中标候选投标人的确定原则及标准</w:t>
      </w:r>
      <w:bookmarkEnd w:id="145"/>
      <w:bookmarkEnd w:id="146"/>
      <w:bookmarkEnd w:id="147"/>
    </w:p>
    <w:p w14:paraId="77DCED86">
      <w:pPr>
        <w:spacing w:line="360" w:lineRule="auto"/>
        <w:ind w:left="788" w:hanging="787" w:hangingChars="375"/>
        <w:rPr>
          <w:rFonts w:hint="eastAsia" w:ascii="宋体" w:hAnsi="宋体"/>
          <w:szCs w:val="21"/>
          <w:highlight w:val="none"/>
        </w:rPr>
      </w:pPr>
      <w:r>
        <w:rPr>
          <w:rFonts w:hint="eastAsia" w:ascii="宋体" w:hAnsi="宋体"/>
          <w:szCs w:val="21"/>
          <w:highlight w:val="none"/>
        </w:rPr>
        <w:tab/>
      </w:r>
      <w:r>
        <w:rPr>
          <w:rFonts w:hint="eastAsia" w:ascii="宋体" w:hAnsi="宋体"/>
          <w:szCs w:val="21"/>
          <w:highlight w:val="none"/>
        </w:rPr>
        <w:t>除第27条规定外，确定实质上响应招标文件且满足</w:t>
      </w:r>
      <w:r>
        <w:rPr>
          <w:rFonts w:hint="eastAsia" w:ascii="宋体" w:hAnsi="宋体"/>
          <w:szCs w:val="21"/>
          <w:highlight w:val="none"/>
          <w:u w:val="single"/>
        </w:rPr>
        <w:t>投标人须知资料表</w:t>
      </w:r>
      <w:r>
        <w:rPr>
          <w:rFonts w:hint="eastAsia" w:ascii="宋体" w:hAnsi="宋体"/>
          <w:szCs w:val="21"/>
          <w:highlight w:val="none"/>
        </w:rPr>
        <w:t>中规定的下列条件之一者为中标候选投标人。</w:t>
      </w:r>
    </w:p>
    <w:p w14:paraId="6ED06AE5">
      <w:pPr>
        <w:spacing w:line="360" w:lineRule="auto"/>
        <w:ind w:left="901"/>
        <w:rPr>
          <w:rFonts w:hint="eastAsia" w:ascii="宋体" w:hAnsi="宋体"/>
          <w:szCs w:val="21"/>
          <w:highlight w:val="none"/>
        </w:rPr>
      </w:pPr>
      <w:r>
        <w:rPr>
          <w:rFonts w:hint="eastAsia" w:ascii="宋体" w:hAnsi="宋体"/>
          <w:szCs w:val="21"/>
          <w:highlight w:val="none"/>
        </w:rPr>
        <w:t>（1）如果采用最低评标价法，</w:t>
      </w:r>
      <w:r>
        <w:rPr>
          <w:rFonts w:hint="eastAsia" w:ascii="宋体" w:hAnsi="宋体"/>
          <w:szCs w:val="21"/>
          <w:highlight w:val="none"/>
          <w:lang w:val="en-US" w:eastAsia="zh-CN"/>
        </w:rPr>
        <w:t>满足技术需求的前提下，</w:t>
      </w:r>
      <w:r>
        <w:rPr>
          <w:rFonts w:hint="eastAsia" w:ascii="宋体" w:hAnsi="宋体"/>
          <w:szCs w:val="21"/>
          <w:highlight w:val="none"/>
        </w:rPr>
        <w:t>按评审后投标报价经</w:t>
      </w:r>
      <w:r>
        <w:rPr>
          <w:rFonts w:ascii="宋体" w:hAnsi="宋体"/>
          <w:szCs w:val="21"/>
          <w:highlight w:val="none"/>
        </w:rPr>
        <w:t>政策功能扣除后</w:t>
      </w:r>
      <w:r>
        <w:rPr>
          <w:rFonts w:hint="eastAsia" w:ascii="宋体" w:hAnsi="宋体"/>
          <w:szCs w:val="21"/>
          <w:highlight w:val="none"/>
        </w:rPr>
        <w:t>由低到高顺序排列。</w:t>
      </w:r>
    </w:p>
    <w:p w14:paraId="7009E3E6">
      <w:pPr>
        <w:spacing w:line="360" w:lineRule="auto"/>
        <w:ind w:left="901"/>
        <w:rPr>
          <w:rFonts w:hint="eastAsia" w:ascii="宋体" w:hAnsi="宋体"/>
          <w:szCs w:val="21"/>
          <w:highlight w:val="none"/>
        </w:rPr>
      </w:pPr>
      <w:r>
        <w:rPr>
          <w:rFonts w:hint="eastAsia" w:ascii="宋体" w:hAnsi="宋体"/>
          <w:szCs w:val="21"/>
          <w:highlight w:val="none"/>
        </w:rPr>
        <w:t>（2）如果采用综合评分法，按评审后得分由高到低顺序排列。得分相同的，按投标报价由低到高顺序排列，得分与投标报价均相同的，按技术指标优劣排列。</w:t>
      </w:r>
    </w:p>
    <w:p w14:paraId="3BC99603">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48" w:name="_Toc520356171"/>
      <w:bookmarkStart w:id="149" w:name="_Toc109736057"/>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5</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bookmarkEnd w:id="148"/>
      <w:r>
        <w:rPr>
          <w:rFonts w:hint="eastAsia" w:ascii="宋体" w:hAnsi="宋体" w:eastAsia="宋体" w:cs="Times New Roman"/>
          <w:b/>
          <w:bCs/>
          <w:sz w:val="21"/>
          <w:szCs w:val="21"/>
          <w:highlight w:val="none"/>
        </w:rPr>
        <w:t>确定中标候选投标人和中标投标人</w:t>
      </w:r>
      <w:bookmarkEnd w:id="149"/>
    </w:p>
    <w:p w14:paraId="4CB0D981">
      <w:pPr>
        <w:spacing w:line="360" w:lineRule="auto"/>
        <w:ind w:left="788" w:hanging="787" w:hangingChars="375"/>
        <w:rPr>
          <w:rFonts w:hint="default" w:ascii="宋体" w:hAnsi="宋体" w:eastAsia="宋体"/>
          <w:szCs w:val="21"/>
          <w:highlight w:val="none"/>
          <w:lang w:val="en-US" w:eastAsia="zh-CN"/>
        </w:rPr>
      </w:pPr>
      <w:r>
        <w:rPr>
          <w:rFonts w:hint="eastAsia" w:ascii="宋体" w:hAnsi="宋体"/>
          <w:szCs w:val="21"/>
          <w:highlight w:val="none"/>
        </w:rPr>
        <w:tab/>
      </w:r>
      <w:r>
        <w:rPr>
          <w:rFonts w:hint="eastAsia" w:ascii="宋体" w:hAnsi="宋体"/>
          <w:szCs w:val="21"/>
          <w:highlight w:val="none"/>
        </w:rPr>
        <w:t>评标委员会将根据评标标准，推荐已排序中标候选投标人</w:t>
      </w:r>
      <w:r>
        <w:rPr>
          <w:rFonts w:hint="eastAsia" w:ascii="宋体" w:hAnsi="宋体"/>
          <w:szCs w:val="21"/>
          <w:highlight w:val="none"/>
          <w:lang w:val="en-US" w:eastAsia="zh-CN"/>
        </w:rPr>
        <w:t>.提交扬州威克招议标领导小组及总经理办公会审议后定标。</w:t>
      </w:r>
    </w:p>
    <w:p w14:paraId="406306A6">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50" w:name="_Ref467306874"/>
      <w:bookmarkStart w:id="151" w:name="_Toc520356173"/>
      <w:bookmarkStart w:id="152" w:name="_Toc109736058"/>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6</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bookmarkEnd w:id="150"/>
      <w:bookmarkEnd w:id="151"/>
      <w:r>
        <w:rPr>
          <w:rFonts w:hint="eastAsia" w:ascii="宋体" w:hAnsi="宋体" w:eastAsia="宋体" w:cs="Times New Roman"/>
          <w:b/>
          <w:bCs/>
          <w:sz w:val="21"/>
          <w:szCs w:val="21"/>
          <w:highlight w:val="none"/>
        </w:rPr>
        <w:t>采购任务取消</w:t>
      </w:r>
      <w:bookmarkEnd w:id="152"/>
    </w:p>
    <w:p w14:paraId="0A2DFB2D">
      <w:pPr>
        <w:spacing w:line="360" w:lineRule="auto"/>
        <w:ind w:left="788" w:hanging="787" w:hangingChars="375"/>
        <w:rPr>
          <w:rFonts w:hint="eastAsia" w:ascii="宋体" w:hAnsi="宋体"/>
          <w:szCs w:val="21"/>
          <w:highlight w:val="none"/>
        </w:rPr>
      </w:pPr>
      <w:r>
        <w:rPr>
          <w:rFonts w:hint="eastAsia" w:ascii="宋体" w:hAnsi="宋体"/>
          <w:szCs w:val="21"/>
          <w:highlight w:val="none"/>
        </w:rPr>
        <w:tab/>
      </w:r>
      <w:r>
        <w:rPr>
          <w:rFonts w:hint="eastAsia" w:ascii="宋体" w:hAnsi="宋体"/>
          <w:szCs w:val="21"/>
          <w:highlight w:val="none"/>
        </w:rPr>
        <w:t>当采购任务取消时，为维护国家和社会公共利益，招标人有权拒绝任何投标人中标，且对受影响的投标人不承担任何责任。</w:t>
      </w:r>
      <w:bookmarkStart w:id="153" w:name="_Toc520356174"/>
    </w:p>
    <w:p w14:paraId="5B823C2D">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54" w:name="_Toc109736059"/>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7</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中标通知书</w:t>
      </w:r>
      <w:bookmarkEnd w:id="153"/>
      <w:bookmarkEnd w:id="154"/>
    </w:p>
    <w:p w14:paraId="6400FA04">
      <w:pPr>
        <w:spacing w:line="360" w:lineRule="auto"/>
        <w:ind w:left="788" w:hanging="787" w:hangingChars="375"/>
        <w:rPr>
          <w:rFonts w:ascii="宋体" w:hAnsi="宋体"/>
          <w:szCs w:val="21"/>
          <w:highlight w:val="none"/>
        </w:rPr>
      </w:pPr>
      <w:r>
        <w:rPr>
          <w:rFonts w:hint="eastAsia" w:ascii="宋体" w:hAnsi="宋体"/>
          <w:szCs w:val="21"/>
          <w:highlight w:val="none"/>
          <w:lang w:val="en-US" w:eastAsia="zh-CN"/>
        </w:rPr>
        <w:t>27</w:t>
      </w: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在投标有效期内，中标投标人确定后，招标采购单位以书面形式向中标投标人发出中标通知书。</w:t>
      </w:r>
    </w:p>
    <w:p w14:paraId="18F0717F">
      <w:pPr>
        <w:spacing w:line="360" w:lineRule="auto"/>
        <w:ind w:left="788" w:hanging="787" w:hangingChars="375"/>
        <w:rPr>
          <w:rFonts w:ascii="宋体" w:hAnsi="宋体"/>
          <w:szCs w:val="21"/>
          <w:highlight w:val="none"/>
        </w:rPr>
      </w:pPr>
      <w:r>
        <w:rPr>
          <w:rFonts w:hint="eastAsia" w:ascii="宋体" w:hAnsi="宋体"/>
          <w:szCs w:val="21"/>
          <w:highlight w:val="none"/>
          <w:lang w:val="en-US" w:eastAsia="zh-CN"/>
        </w:rPr>
        <w:t>27</w:t>
      </w: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中标通知书是合同的组成部分。</w:t>
      </w:r>
    </w:p>
    <w:p w14:paraId="1388A4AD">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55" w:name="_Ref467306377"/>
      <w:bookmarkStart w:id="156" w:name="_Ref467307204"/>
      <w:bookmarkStart w:id="157" w:name="_Ref467306978"/>
      <w:bookmarkStart w:id="158" w:name="_Ref467307062"/>
      <w:bookmarkStart w:id="159" w:name="_Toc520356175"/>
      <w:bookmarkStart w:id="160" w:name="_Toc109736060"/>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8</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签订合同</w:t>
      </w:r>
      <w:bookmarkEnd w:id="155"/>
      <w:bookmarkEnd w:id="156"/>
      <w:bookmarkEnd w:id="157"/>
      <w:bookmarkEnd w:id="158"/>
      <w:bookmarkEnd w:id="159"/>
      <w:bookmarkEnd w:id="160"/>
    </w:p>
    <w:p w14:paraId="1DB4588C">
      <w:pPr>
        <w:spacing w:line="360" w:lineRule="auto"/>
        <w:ind w:left="788" w:hanging="787" w:hangingChars="375"/>
        <w:rPr>
          <w:rFonts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中标投标人应当自发出中标通知书之日起30日内，与招标人签订合同。</w:t>
      </w:r>
    </w:p>
    <w:p w14:paraId="62985D76">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.2</w:t>
      </w:r>
      <w:r>
        <w:rPr>
          <w:rFonts w:hint="eastAsia" w:ascii="宋体" w:hAnsi="宋体"/>
          <w:szCs w:val="21"/>
          <w:highlight w:val="none"/>
        </w:rPr>
        <w:tab/>
      </w:r>
      <w:bookmarkStart w:id="161" w:name="_Ref467306425"/>
      <w:bookmarkStart w:id="162" w:name="_Ref467307090"/>
      <w:bookmarkStart w:id="163" w:name="_Toc520356176"/>
      <w:r>
        <w:rPr>
          <w:rFonts w:hint="eastAsia" w:ascii="宋体" w:hAnsi="宋体"/>
          <w:szCs w:val="21"/>
          <w:highlight w:val="none"/>
        </w:rPr>
        <w:t>招标文件、中标投标人的投标文件及其澄清文件等，均为签订合同的依据。</w:t>
      </w:r>
    </w:p>
    <w:p w14:paraId="1BCA1EB3">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.3   中</w:t>
      </w:r>
      <w:r>
        <w:rPr>
          <w:rFonts w:ascii="宋体" w:hAnsi="宋体"/>
          <w:szCs w:val="21"/>
          <w:highlight w:val="none"/>
        </w:rPr>
        <w:t>标投标人拒绝与招标人签订合同的，招标人可以按照评审报告推荐的中标候选人</w:t>
      </w:r>
      <w:r>
        <w:rPr>
          <w:rFonts w:hint="eastAsia" w:ascii="宋体" w:hAnsi="宋体"/>
          <w:szCs w:val="21"/>
          <w:highlight w:val="none"/>
        </w:rPr>
        <w:t>名单</w:t>
      </w:r>
      <w:r>
        <w:rPr>
          <w:rFonts w:ascii="宋体" w:hAnsi="宋体"/>
          <w:szCs w:val="21"/>
          <w:highlight w:val="none"/>
        </w:rPr>
        <w:t>排序</w:t>
      </w:r>
      <w:r>
        <w:rPr>
          <w:rFonts w:hint="eastAsia" w:ascii="宋体" w:hAnsi="宋体"/>
          <w:szCs w:val="21"/>
          <w:highlight w:val="none"/>
        </w:rPr>
        <w:t>，</w:t>
      </w:r>
      <w:r>
        <w:rPr>
          <w:rFonts w:ascii="宋体" w:hAnsi="宋体"/>
          <w:szCs w:val="21"/>
          <w:highlight w:val="none"/>
        </w:rPr>
        <w:t>确定下一</w:t>
      </w:r>
      <w:r>
        <w:rPr>
          <w:rFonts w:hint="eastAsia" w:ascii="宋体" w:hAnsi="宋体"/>
          <w:szCs w:val="21"/>
          <w:highlight w:val="none"/>
        </w:rPr>
        <w:t>候选</w:t>
      </w:r>
      <w:r>
        <w:rPr>
          <w:rFonts w:ascii="宋体" w:hAnsi="宋体"/>
          <w:szCs w:val="21"/>
          <w:highlight w:val="none"/>
        </w:rPr>
        <w:t>人为中标投标人，也可以重新开展</w:t>
      </w:r>
      <w:r>
        <w:rPr>
          <w:rFonts w:hint="eastAsia" w:ascii="宋体" w:hAnsi="宋体"/>
          <w:szCs w:val="21"/>
          <w:highlight w:val="none"/>
        </w:rPr>
        <w:t>招标</w:t>
      </w:r>
      <w:r>
        <w:rPr>
          <w:rFonts w:ascii="宋体" w:hAnsi="宋体"/>
          <w:szCs w:val="21"/>
          <w:highlight w:val="none"/>
        </w:rPr>
        <w:t>活动。</w:t>
      </w:r>
    </w:p>
    <w:p w14:paraId="6FCC438E">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.4   当出现法规规定的中标无效情形时，招标人可与其他中标投标人或中标候选投标人签订合同，或依法重新招标。</w:t>
      </w:r>
    </w:p>
    <w:p w14:paraId="6D3532E9">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64" w:name="_Toc109736061"/>
      <w:r>
        <w:rPr>
          <w:rFonts w:hint="eastAsia" w:ascii="宋体" w:hAnsi="宋体" w:eastAsia="宋体" w:cs="Times New Roman"/>
          <w:b/>
          <w:bCs/>
          <w:sz w:val="21"/>
          <w:szCs w:val="21"/>
          <w:highlight w:val="none"/>
          <w:lang w:val="en-US" w:eastAsia="zh-CN"/>
        </w:rPr>
        <w:t>29</w:t>
      </w:r>
      <w:r>
        <w:rPr>
          <w:rFonts w:hint="eastAsia" w:ascii="宋体" w:hAnsi="宋体" w:eastAsia="宋体" w:cs="Times New Roman"/>
          <w:b/>
          <w:bCs/>
          <w:sz w:val="21"/>
          <w:szCs w:val="21"/>
          <w:highlight w:val="none"/>
        </w:rPr>
        <w:t xml:space="preserve">．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履约保证金</w:t>
      </w:r>
      <w:bookmarkEnd w:id="161"/>
      <w:bookmarkEnd w:id="162"/>
      <w:bookmarkEnd w:id="163"/>
      <w:bookmarkEnd w:id="164"/>
    </w:p>
    <w:p w14:paraId="3E1450A2">
      <w:pPr>
        <w:spacing w:line="360" w:lineRule="auto"/>
        <w:ind w:left="788" w:hanging="787" w:hangingChars="375"/>
        <w:rPr>
          <w:rFonts w:hint="eastAsia"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中标投标人应按照</w:t>
      </w:r>
      <w:r>
        <w:rPr>
          <w:rFonts w:hint="eastAsia" w:ascii="宋体" w:hAnsi="宋体"/>
          <w:szCs w:val="21"/>
          <w:highlight w:val="none"/>
          <w:u w:val="single"/>
        </w:rPr>
        <w:t>投标人须知资料表</w:t>
      </w:r>
      <w:r>
        <w:rPr>
          <w:rFonts w:hint="eastAsia" w:ascii="宋体" w:hAnsi="宋体"/>
          <w:szCs w:val="21"/>
          <w:highlight w:val="none"/>
        </w:rPr>
        <w:t>规定的金额、形式和时间向招标人缴纳履约保证金（如采用保函形式，格式见本章附件</w:t>
      </w:r>
      <w:r>
        <w:rPr>
          <w:rFonts w:ascii="宋体" w:hAnsi="宋体"/>
          <w:szCs w:val="21"/>
          <w:highlight w:val="none"/>
        </w:rPr>
        <w:t>1</w:t>
      </w:r>
      <w:r>
        <w:rPr>
          <w:rFonts w:hint="eastAsia" w:ascii="宋体" w:hAnsi="宋体"/>
          <w:szCs w:val="21"/>
          <w:highlight w:val="none"/>
        </w:rPr>
        <w:t>）。</w:t>
      </w:r>
    </w:p>
    <w:p w14:paraId="6D086585">
      <w:pPr>
        <w:spacing w:line="360" w:lineRule="auto"/>
        <w:ind w:left="788" w:hanging="787" w:hangingChars="375"/>
        <w:rPr>
          <w:rFonts w:hint="eastAsia"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如果中标投标人没有按照</w:t>
      </w:r>
      <w:r>
        <w:rPr>
          <w:rFonts w:hint="eastAsia" w:ascii="宋体" w:hAnsi="宋体"/>
          <w:szCs w:val="21"/>
          <w:highlight w:val="none"/>
          <w:lang w:val="en-US" w:eastAsia="zh-CN"/>
        </w:rPr>
        <w:t>招标文件</w:t>
      </w:r>
      <w:r>
        <w:rPr>
          <w:rFonts w:hint="eastAsia" w:ascii="宋体" w:hAnsi="宋体"/>
          <w:szCs w:val="21"/>
          <w:highlight w:val="none"/>
        </w:rPr>
        <w:t>规定执行，将视为放弃中标资格，中标投标人的投标保证金将被没收。在此情况下，招标采购单位可选下一个中标候选投标人。</w:t>
      </w:r>
    </w:p>
    <w:p w14:paraId="6CA055F2">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lang w:val="en-US" w:eastAsia="zh-CN"/>
        </w:rPr>
      </w:pPr>
      <w:bookmarkStart w:id="165" w:name="_Toc109736062"/>
      <w:r>
        <w:rPr>
          <w:rFonts w:hint="eastAsia" w:ascii="宋体" w:hAnsi="宋体" w:eastAsia="宋体" w:cs="Times New Roman"/>
          <w:b/>
          <w:bCs/>
          <w:sz w:val="21"/>
          <w:szCs w:val="21"/>
          <w:highlight w:val="none"/>
          <w:lang w:val="en-US" w:eastAsia="zh-CN"/>
        </w:rPr>
        <w:t>30.    廉洁自律规定</w:t>
      </w:r>
      <w:bookmarkEnd w:id="165"/>
    </w:p>
    <w:p w14:paraId="6F859A34">
      <w:pPr>
        <w:spacing w:line="360" w:lineRule="auto"/>
        <w:ind w:left="788" w:hanging="787" w:hangingChars="375"/>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lang w:val="en-US" w:eastAsia="zh-CN"/>
        </w:rPr>
        <w:t>0</w:t>
      </w:r>
      <w:r>
        <w:rPr>
          <w:rFonts w:hint="eastAsia" w:ascii="宋体" w:hAnsi="宋体"/>
          <w:szCs w:val="21"/>
          <w:highlight w:val="none"/>
        </w:rPr>
        <w:t xml:space="preserve">.1 </w:t>
      </w:r>
      <w:r>
        <w:rPr>
          <w:rFonts w:ascii="宋体" w:hAnsi="宋体"/>
          <w:szCs w:val="21"/>
          <w:highlight w:val="none"/>
        </w:rPr>
        <w:t xml:space="preserve">  </w:t>
      </w:r>
      <w:r>
        <w:rPr>
          <w:rFonts w:hint="eastAsia" w:ascii="宋体" w:hAnsi="宋体"/>
          <w:szCs w:val="21"/>
          <w:highlight w:val="none"/>
        </w:rPr>
        <w:t>招标机构</w:t>
      </w:r>
      <w:r>
        <w:rPr>
          <w:rFonts w:ascii="宋体" w:hAnsi="宋体"/>
          <w:szCs w:val="21"/>
          <w:highlight w:val="none"/>
        </w:rPr>
        <w:t>工作人员</w:t>
      </w:r>
      <w:r>
        <w:rPr>
          <w:rFonts w:hint="eastAsia" w:ascii="宋体" w:hAnsi="宋体"/>
          <w:szCs w:val="21"/>
          <w:highlight w:val="none"/>
        </w:rPr>
        <w:t>不得以不正当手段获取业务，不得与招标人、投标人恶意串通操纵采购活动。</w:t>
      </w:r>
    </w:p>
    <w:p w14:paraId="12E5BC62">
      <w:pPr>
        <w:spacing w:line="360" w:lineRule="auto"/>
        <w:ind w:left="788" w:hanging="787" w:hangingChars="375"/>
        <w:rPr>
          <w:rFonts w:hint="eastAsia" w:ascii="宋体" w:hAnsi="宋体"/>
          <w:szCs w:val="21"/>
          <w:highlight w:val="none"/>
        </w:rPr>
      </w:pPr>
      <w:r>
        <w:rPr>
          <w:rFonts w:ascii="宋体" w:hAnsi="宋体"/>
          <w:szCs w:val="21"/>
          <w:highlight w:val="none"/>
        </w:rPr>
        <w:t>3</w:t>
      </w:r>
      <w:r>
        <w:rPr>
          <w:rFonts w:hint="eastAsia" w:ascii="宋体" w:hAnsi="宋体"/>
          <w:szCs w:val="21"/>
          <w:highlight w:val="none"/>
          <w:lang w:val="en-US" w:eastAsia="zh-CN"/>
        </w:rPr>
        <w:t>0</w:t>
      </w:r>
      <w:r>
        <w:rPr>
          <w:rFonts w:ascii="宋体" w:hAnsi="宋体"/>
          <w:szCs w:val="21"/>
          <w:highlight w:val="none"/>
        </w:rPr>
        <w:t xml:space="preserve">.2   </w:t>
      </w:r>
      <w:r>
        <w:rPr>
          <w:rFonts w:hint="eastAsia" w:ascii="宋体" w:hAnsi="宋体"/>
          <w:szCs w:val="21"/>
          <w:highlight w:val="none"/>
        </w:rPr>
        <w:t>招标机构工作人员不得接受招标人或者投标人组织的宴请、旅游、娱乐，不得收受礼品、现金、有价证券等，不得向招标人或者投标人报销应当由个人承担的费用。</w:t>
      </w:r>
    </w:p>
    <w:p w14:paraId="42DF202A">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lang w:val="en-US" w:eastAsia="zh-CN"/>
        </w:rPr>
      </w:pPr>
      <w:bookmarkStart w:id="166" w:name="_Toc109736063"/>
      <w:r>
        <w:rPr>
          <w:rFonts w:hint="eastAsia" w:ascii="宋体" w:hAnsi="宋体" w:eastAsia="宋体" w:cs="Times New Roman"/>
          <w:b/>
          <w:bCs/>
          <w:sz w:val="21"/>
          <w:szCs w:val="21"/>
          <w:highlight w:val="none"/>
          <w:lang w:val="en-US" w:eastAsia="zh-CN"/>
        </w:rPr>
        <w:t>31.    人员回避</w:t>
      </w:r>
      <w:bookmarkEnd w:id="166"/>
    </w:p>
    <w:p w14:paraId="6A6824AA">
      <w:pPr>
        <w:spacing w:line="360" w:lineRule="auto"/>
        <w:ind w:left="788" w:hanging="787" w:hangingChars="375"/>
        <w:jc w:val="left"/>
        <w:rPr>
          <w:rFonts w:ascii="宋体" w:hAnsi="宋体"/>
          <w:szCs w:val="21"/>
          <w:highlight w:val="none"/>
        </w:rPr>
      </w:pPr>
      <w:r>
        <w:rPr>
          <w:rFonts w:ascii="宋体" w:hAnsi="宋体"/>
          <w:szCs w:val="21"/>
          <w:highlight w:val="none"/>
        </w:rPr>
        <w:t xml:space="preserve">       </w:t>
      </w:r>
      <w:r>
        <w:rPr>
          <w:rFonts w:hint="eastAsia" w:ascii="宋体" w:hAnsi="宋体"/>
          <w:szCs w:val="21"/>
          <w:highlight w:val="none"/>
        </w:rPr>
        <w:t>投标人</w:t>
      </w:r>
      <w:r>
        <w:rPr>
          <w:rFonts w:ascii="宋体" w:hAnsi="宋体"/>
          <w:szCs w:val="21"/>
          <w:highlight w:val="none"/>
        </w:rPr>
        <w:t>认为招标人员</w:t>
      </w:r>
      <w:r>
        <w:rPr>
          <w:rFonts w:hint="eastAsia" w:ascii="宋体" w:hAnsi="宋体"/>
          <w:szCs w:val="21"/>
          <w:highlight w:val="none"/>
        </w:rPr>
        <w:t>及其</w:t>
      </w:r>
      <w:r>
        <w:rPr>
          <w:rFonts w:ascii="宋体" w:hAnsi="宋体"/>
          <w:szCs w:val="21"/>
          <w:highlight w:val="none"/>
        </w:rPr>
        <w:t>相关人员有</w:t>
      </w:r>
      <w:r>
        <w:rPr>
          <w:rFonts w:hint="eastAsia" w:ascii="宋体" w:hAnsi="宋体"/>
          <w:szCs w:val="21"/>
          <w:highlight w:val="none"/>
        </w:rPr>
        <w:t>法律</w:t>
      </w:r>
      <w:r>
        <w:rPr>
          <w:rFonts w:ascii="宋体" w:hAnsi="宋体"/>
          <w:szCs w:val="21"/>
          <w:highlight w:val="none"/>
        </w:rPr>
        <w:t>法规所列与其他投标人</w:t>
      </w:r>
      <w:r>
        <w:rPr>
          <w:rFonts w:hint="eastAsia" w:ascii="宋体" w:hAnsi="宋体"/>
          <w:szCs w:val="21"/>
          <w:highlight w:val="none"/>
        </w:rPr>
        <w:t>有</w:t>
      </w:r>
      <w:r>
        <w:rPr>
          <w:rFonts w:ascii="宋体" w:hAnsi="宋体"/>
          <w:szCs w:val="21"/>
          <w:highlight w:val="none"/>
        </w:rPr>
        <w:t>利害关系的，可以向招标</w:t>
      </w:r>
      <w:r>
        <w:rPr>
          <w:rFonts w:hint="eastAsia" w:ascii="宋体" w:hAnsi="宋体"/>
          <w:szCs w:val="21"/>
          <w:highlight w:val="none"/>
        </w:rPr>
        <w:t>采购单位</w:t>
      </w:r>
      <w:r>
        <w:rPr>
          <w:rFonts w:ascii="宋体" w:hAnsi="宋体"/>
          <w:szCs w:val="21"/>
          <w:highlight w:val="none"/>
        </w:rPr>
        <w:t>书面提出回避申请，并说明理由。</w:t>
      </w:r>
      <w:bookmarkEnd w:id="55"/>
      <w:bookmarkEnd w:id="56"/>
      <w:bookmarkEnd w:id="57"/>
      <w:bookmarkEnd w:id="58"/>
      <w:bookmarkEnd w:id="59"/>
      <w:bookmarkStart w:id="167" w:name="_Toc109736064"/>
    </w:p>
    <w:p w14:paraId="56E70A35">
      <w:pPr>
        <w:rPr>
          <w:rFonts w:hint="eastAsia" w:ascii="宋体" w:hAnsi="宋体"/>
          <w:bCs/>
          <w:sz w:val="28"/>
          <w:szCs w:val="28"/>
          <w:highlight w:val="none"/>
        </w:rPr>
      </w:pPr>
      <w:r>
        <w:rPr>
          <w:rFonts w:hint="eastAsia" w:ascii="宋体" w:hAnsi="宋体"/>
          <w:bCs/>
          <w:sz w:val="28"/>
          <w:szCs w:val="28"/>
          <w:highlight w:val="none"/>
        </w:rPr>
        <w:br w:type="page"/>
      </w:r>
    </w:p>
    <w:p w14:paraId="6FD75558">
      <w:pPr>
        <w:keepNext w:val="0"/>
        <w:keepLines w:val="0"/>
        <w:pageBreakBefore w:val="0"/>
        <w:widowControl w:val="0"/>
        <w:kinsoku/>
        <w:wordWrap/>
        <w:overflowPunct/>
        <w:topLinePunct w:val="0"/>
        <w:autoSpaceDE/>
        <w:autoSpaceDN/>
        <w:bidi w:val="0"/>
        <w:adjustRightInd/>
        <w:snapToGrid/>
        <w:spacing w:line="360" w:lineRule="auto"/>
        <w:ind w:left="0" w:hanging="1054" w:hangingChars="375"/>
        <w:jc w:val="center"/>
        <w:textAlignment w:val="auto"/>
        <w:outlineLvl w:val="0"/>
        <w:rPr>
          <w:rFonts w:hint="eastAsia" w:ascii="宋体" w:hAnsi="宋体"/>
          <w:b/>
          <w:bCs w:val="0"/>
          <w:sz w:val="28"/>
          <w:szCs w:val="28"/>
          <w:highlight w:val="none"/>
        </w:rPr>
      </w:pPr>
      <w:bookmarkStart w:id="168" w:name="_Toc11624"/>
      <w:r>
        <w:rPr>
          <w:rFonts w:hint="eastAsia" w:ascii="宋体" w:hAnsi="宋体"/>
          <w:b/>
          <w:bCs w:val="0"/>
          <w:sz w:val="28"/>
          <w:szCs w:val="28"/>
          <w:highlight w:val="none"/>
        </w:rPr>
        <w:t>第三章 合同条款</w:t>
      </w:r>
      <w:bookmarkEnd w:id="167"/>
      <w:bookmarkEnd w:id="168"/>
    </w:p>
    <w:p w14:paraId="3DFB7387">
      <w:pPr>
        <w:pStyle w:val="4"/>
        <w:rPr>
          <w:rFonts w:hint="eastAsia" w:ascii="宋体" w:hAnsi="宋体" w:eastAsia="宋体"/>
          <w:sz w:val="21"/>
          <w:szCs w:val="21"/>
          <w:highlight w:val="none"/>
        </w:rPr>
      </w:pPr>
      <w:bookmarkStart w:id="169" w:name="_Toc109736065"/>
      <w:bookmarkStart w:id="170" w:name="_Toc11185"/>
      <w:r>
        <w:rPr>
          <w:rFonts w:hint="eastAsia" w:ascii="宋体" w:hAnsi="宋体" w:eastAsia="宋体"/>
          <w:sz w:val="21"/>
          <w:szCs w:val="21"/>
          <w:highlight w:val="none"/>
        </w:rPr>
        <w:t>一、合同通用条款</w:t>
      </w:r>
      <w:bookmarkEnd w:id="169"/>
      <w:bookmarkEnd w:id="170"/>
    </w:p>
    <w:p w14:paraId="0CE643F9">
      <w:pPr>
        <w:outlineLvl w:val="2"/>
        <w:rPr>
          <w:rFonts w:ascii="宋体" w:hAnsi="宋体"/>
          <w:szCs w:val="21"/>
          <w:highlight w:val="none"/>
        </w:rPr>
      </w:pPr>
      <w:bookmarkStart w:id="171" w:name="_Ref467379094"/>
      <w:bookmarkStart w:id="172" w:name="_Ref467379205"/>
      <w:bookmarkStart w:id="173" w:name="_Ref467379225"/>
      <w:bookmarkStart w:id="174" w:name="_Ref467378499"/>
      <w:bookmarkStart w:id="175" w:name="_Toc487900349"/>
      <w:bookmarkStart w:id="176" w:name="_Toc415222497"/>
      <w:bookmarkStart w:id="177" w:name="_Ref467378404"/>
      <w:bookmarkStart w:id="178" w:name="_Ref467379195"/>
      <w:bookmarkStart w:id="179" w:name="_Ref467379101"/>
      <w:bookmarkStart w:id="180" w:name="_Ref467379214"/>
      <w:bookmarkStart w:id="181" w:name="_Ref467379109"/>
      <w:bookmarkStart w:id="182" w:name="_Ref467378463"/>
      <w:bookmarkStart w:id="183" w:name="_Toc11182"/>
      <w:bookmarkStart w:id="184" w:name="_Toc31576"/>
      <w:r>
        <w:rPr>
          <w:rFonts w:hint="eastAsia" w:ascii="宋体" w:hAnsi="宋体"/>
          <w:szCs w:val="21"/>
          <w:highlight w:val="none"/>
        </w:rPr>
        <w:t>1．   定义</w:t>
      </w:r>
      <w:bookmarkEnd w:id="171"/>
      <w:bookmarkEnd w:id="172"/>
      <w:bookmarkEnd w:id="173"/>
      <w:bookmarkEnd w:id="174"/>
      <w:bookmarkEnd w:id="175"/>
      <w:bookmarkEnd w:id="176"/>
      <w:bookmarkEnd w:id="177"/>
      <w:bookmarkEnd w:id="178"/>
      <w:bookmarkEnd w:id="179"/>
      <w:bookmarkEnd w:id="180"/>
      <w:bookmarkEnd w:id="181"/>
      <w:bookmarkEnd w:id="182"/>
      <w:r>
        <w:rPr>
          <w:rFonts w:hint="eastAsia" w:ascii="宋体" w:hAnsi="宋体"/>
          <w:szCs w:val="21"/>
          <w:highlight w:val="none"/>
          <w:lang w:eastAsia="zh-CN"/>
        </w:rPr>
        <w:t>：</w:t>
      </w:r>
      <w:r>
        <w:rPr>
          <w:rFonts w:hint="eastAsia" w:ascii="宋体" w:hAnsi="宋体"/>
          <w:szCs w:val="21"/>
          <w:highlight w:val="none"/>
        </w:rPr>
        <w:t>本合同中的下列术语应解释为：</w:t>
      </w:r>
      <w:bookmarkEnd w:id="183"/>
      <w:bookmarkEnd w:id="184"/>
    </w:p>
    <w:p w14:paraId="419247B8">
      <w:pPr>
        <w:spacing w:line="360" w:lineRule="auto"/>
        <w:ind w:left="788" w:hanging="787" w:hangingChars="375"/>
        <w:rPr>
          <w:rFonts w:hint="eastAsia" w:ascii="宋体" w:hAnsi="宋体"/>
          <w:szCs w:val="21"/>
          <w:highlight w:val="none"/>
        </w:rPr>
      </w:pPr>
      <w:r>
        <w:rPr>
          <w:rFonts w:hint="eastAsia" w:ascii="宋体" w:hAnsi="宋体"/>
          <w:szCs w:val="21"/>
          <w:highlight w:val="none"/>
        </w:rPr>
        <w:t xml:space="preserve">1.1   </w:t>
      </w:r>
      <w:r>
        <w:rPr>
          <w:rFonts w:ascii="宋体" w:hAnsi="宋体"/>
          <w:szCs w:val="21"/>
          <w:highlight w:val="none"/>
        </w:rPr>
        <w:t>“</w:t>
      </w:r>
      <w:r>
        <w:rPr>
          <w:rFonts w:hint="eastAsia" w:ascii="宋体" w:hAnsi="宋体"/>
          <w:szCs w:val="21"/>
          <w:highlight w:val="none"/>
        </w:rPr>
        <w:t>合同”系指买卖双方签署的、合同格式中载明的买卖双方所达成的协议，</w:t>
      </w:r>
      <w:r>
        <w:rPr>
          <w:rFonts w:ascii="宋体" w:hAnsi="宋体"/>
          <w:szCs w:val="21"/>
          <w:highlight w:val="none"/>
        </w:rPr>
        <w:t xml:space="preserve"> </w:t>
      </w:r>
      <w:r>
        <w:rPr>
          <w:rFonts w:hint="eastAsia" w:ascii="宋体" w:hAnsi="宋体"/>
          <w:szCs w:val="21"/>
          <w:highlight w:val="none"/>
        </w:rPr>
        <w:t>包括所有的附件、附录和构成合同的其它文件。</w:t>
      </w:r>
    </w:p>
    <w:p w14:paraId="4B1E13FB">
      <w:pPr>
        <w:spacing w:line="360" w:lineRule="auto"/>
        <w:ind w:left="788" w:hanging="787" w:hangingChars="375"/>
        <w:rPr>
          <w:rFonts w:ascii="宋体" w:hAnsi="宋体"/>
          <w:szCs w:val="21"/>
          <w:highlight w:val="none"/>
        </w:rPr>
      </w:pPr>
      <w:r>
        <w:rPr>
          <w:rFonts w:hint="eastAsia" w:ascii="宋体" w:hAnsi="宋体"/>
          <w:szCs w:val="21"/>
          <w:highlight w:val="none"/>
        </w:rPr>
        <w:t xml:space="preserve">1.2   </w:t>
      </w:r>
      <w:r>
        <w:rPr>
          <w:rFonts w:ascii="宋体" w:hAnsi="宋体"/>
          <w:szCs w:val="21"/>
          <w:highlight w:val="none"/>
        </w:rPr>
        <w:t>“</w:t>
      </w:r>
      <w:r>
        <w:rPr>
          <w:rFonts w:hint="eastAsia" w:ascii="宋体" w:hAnsi="宋体"/>
          <w:szCs w:val="21"/>
          <w:highlight w:val="none"/>
        </w:rPr>
        <w:t>合同价”系指根据合同约定，卖方在完全履行合同义务后买方应付给卖方的价格。</w:t>
      </w:r>
    </w:p>
    <w:p w14:paraId="76F61539">
      <w:pPr>
        <w:spacing w:line="360" w:lineRule="auto"/>
        <w:ind w:left="788" w:hanging="787" w:hangingChars="375"/>
        <w:rPr>
          <w:rFonts w:ascii="宋体" w:hAnsi="宋体"/>
          <w:szCs w:val="21"/>
          <w:highlight w:val="none"/>
        </w:rPr>
      </w:pPr>
      <w:r>
        <w:rPr>
          <w:rFonts w:hint="eastAsia" w:ascii="宋体" w:hAnsi="宋体"/>
          <w:szCs w:val="21"/>
          <w:highlight w:val="none"/>
        </w:rPr>
        <w:t>1.3   “货物”系指卖方根据合同约定须向买方提供的一切设备、机械、仪表、备件，包括工具、手册等其它相关资料。</w:t>
      </w:r>
    </w:p>
    <w:p w14:paraId="6AAFE1B0">
      <w:pPr>
        <w:spacing w:line="360" w:lineRule="auto"/>
        <w:ind w:left="788" w:hanging="787" w:hangingChars="375"/>
        <w:rPr>
          <w:rFonts w:ascii="宋体" w:hAnsi="宋体"/>
          <w:szCs w:val="21"/>
          <w:highlight w:val="none"/>
        </w:rPr>
      </w:pPr>
      <w:r>
        <w:rPr>
          <w:rFonts w:hint="eastAsia" w:ascii="宋体" w:hAnsi="宋体"/>
          <w:szCs w:val="21"/>
          <w:highlight w:val="none"/>
        </w:rPr>
        <w:t xml:space="preserve">1.4   </w:t>
      </w:r>
      <w:r>
        <w:rPr>
          <w:rFonts w:ascii="宋体" w:hAnsi="宋体"/>
          <w:szCs w:val="21"/>
          <w:highlight w:val="none"/>
        </w:rPr>
        <w:t>“</w:t>
      </w:r>
      <w:r>
        <w:rPr>
          <w:rFonts w:hint="eastAsia" w:ascii="宋体" w:hAnsi="宋体"/>
          <w:szCs w:val="21"/>
          <w:highlight w:val="none"/>
        </w:rPr>
        <w:t>服务”系指根据合同约定卖方承担与供货有关的辅助服务，如运输、保险及安装、调试、提供技术援助、培训和其他类似的服务。</w:t>
      </w:r>
    </w:p>
    <w:p w14:paraId="3211B24C">
      <w:pPr>
        <w:spacing w:line="360" w:lineRule="auto"/>
        <w:ind w:left="788" w:hanging="787" w:hangingChars="375"/>
        <w:rPr>
          <w:rFonts w:ascii="宋体" w:hAnsi="宋体"/>
          <w:szCs w:val="21"/>
          <w:highlight w:val="none"/>
        </w:rPr>
      </w:pPr>
      <w:bookmarkStart w:id="185" w:name="_Ref467378840"/>
      <w:r>
        <w:rPr>
          <w:rFonts w:hint="eastAsia" w:ascii="宋体" w:hAnsi="宋体"/>
          <w:szCs w:val="21"/>
          <w:highlight w:val="none"/>
        </w:rPr>
        <w:t xml:space="preserve">1.5   </w:t>
      </w:r>
      <w:r>
        <w:rPr>
          <w:rFonts w:ascii="宋体" w:hAnsi="宋体"/>
          <w:szCs w:val="21"/>
          <w:highlight w:val="none"/>
        </w:rPr>
        <w:t>“</w:t>
      </w:r>
      <w:r>
        <w:rPr>
          <w:rFonts w:hint="eastAsia" w:ascii="宋体" w:hAnsi="宋体"/>
          <w:szCs w:val="21"/>
          <w:highlight w:val="none"/>
        </w:rPr>
        <w:t>买方”系指与中标投标人签署供货合同的单位（含最终用户）。</w:t>
      </w:r>
      <w:bookmarkEnd w:id="185"/>
    </w:p>
    <w:p w14:paraId="22900834">
      <w:pPr>
        <w:spacing w:line="360" w:lineRule="auto"/>
        <w:ind w:left="788" w:hanging="787" w:hangingChars="375"/>
        <w:rPr>
          <w:rFonts w:ascii="宋体" w:hAnsi="宋体"/>
          <w:szCs w:val="21"/>
          <w:highlight w:val="none"/>
        </w:rPr>
      </w:pPr>
      <w:bookmarkStart w:id="186" w:name="_Ref467379400"/>
      <w:r>
        <w:rPr>
          <w:rFonts w:hint="eastAsia" w:ascii="宋体" w:hAnsi="宋体"/>
          <w:szCs w:val="21"/>
          <w:highlight w:val="none"/>
        </w:rPr>
        <w:t xml:space="preserve">1.6   </w:t>
      </w:r>
      <w:r>
        <w:rPr>
          <w:rFonts w:ascii="宋体" w:hAnsi="宋体"/>
          <w:szCs w:val="21"/>
          <w:highlight w:val="none"/>
        </w:rPr>
        <w:t>“</w:t>
      </w:r>
      <w:r>
        <w:rPr>
          <w:rFonts w:hint="eastAsia" w:ascii="宋体" w:hAnsi="宋体"/>
          <w:szCs w:val="21"/>
          <w:highlight w:val="none"/>
        </w:rPr>
        <w:t>卖方”系指根据合同约定提供货物及相关服务的中标投标人。</w:t>
      </w:r>
      <w:bookmarkEnd w:id="186"/>
    </w:p>
    <w:p w14:paraId="499CA0CB">
      <w:pPr>
        <w:spacing w:line="360" w:lineRule="auto"/>
        <w:ind w:left="788" w:hanging="787" w:hangingChars="375"/>
        <w:rPr>
          <w:rFonts w:ascii="宋体" w:hAnsi="宋体"/>
          <w:szCs w:val="21"/>
          <w:highlight w:val="none"/>
        </w:rPr>
      </w:pPr>
      <w:bookmarkStart w:id="187" w:name="_Ref467379436"/>
      <w:r>
        <w:rPr>
          <w:rFonts w:hint="eastAsia" w:ascii="宋体" w:hAnsi="宋体"/>
          <w:szCs w:val="21"/>
          <w:highlight w:val="none"/>
        </w:rPr>
        <w:t xml:space="preserve">1.7   </w:t>
      </w:r>
      <w:r>
        <w:rPr>
          <w:rFonts w:ascii="宋体" w:hAnsi="宋体"/>
          <w:szCs w:val="21"/>
          <w:highlight w:val="none"/>
        </w:rPr>
        <w:t>“</w:t>
      </w:r>
      <w:r>
        <w:rPr>
          <w:rFonts w:hint="eastAsia" w:ascii="宋体" w:hAnsi="宋体"/>
          <w:szCs w:val="21"/>
          <w:highlight w:val="none"/>
        </w:rPr>
        <w:t>现场”系指合同约定货物将要运至和安装的地点。</w:t>
      </w:r>
      <w:bookmarkEnd w:id="187"/>
    </w:p>
    <w:p w14:paraId="37209055">
      <w:pPr>
        <w:spacing w:line="360" w:lineRule="auto"/>
        <w:ind w:left="788" w:hanging="787" w:hangingChars="375"/>
        <w:rPr>
          <w:rFonts w:ascii="宋体" w:hAnsi="宋体"/>
          <w:szCs w:val="21"/>
          <w:highlight w:val="none"/>
        </w:rPr>
      </w:pPr>
      <w:r>
        <w:rPr>
          <w:rFonts w:hint="eastAsia" w:ascii="宋体" w:hAnsi="宋体"/>
          <w:szCs w:val="21"/>
          <w:highlight w:val="none"/>
        </w:rPr>
        <w:t xml:space="preserve">1.8   </w:t>
      </w:r>
      <w:r>
        <w:rPr>
          <w:rFonts w:ascii="宋体" w:hAnsi="宋体"/>
          <w:szCs w:val="21"/>
          <w:highlight w:val="none"/>
        </w:rPr>
        <w:t>“</w:t>
      </w:r>
      <w:r>
        <w:rPr>
          <w:rFonts w:hint="eastAsia" w:ascii="宋体" w:hAnsi="宋体"/>
          <w:szCs w:val="21"/>
          <w:highlight w:val="none"/>
        </w:rPr>
        <w:t>验收”系指合同双方依据强制性的国家技术质量规范和合同约定，确认合同项下的货物符合合同规定的活动。</w:t>
      </w:r>
    </w:p>
    <w:p w14:paraId="39410DF6">
      <w:pPr>
        <w:outlineLvl w:val="2"/>
        <w:rPr>
          <w:rFonts w:ascii="宋体" w:hAnsi="宋体"/>
          <w:szCs w:val="21"/>
          <w:highlight w:val="none"/>
        </w:rPr>
      </w:pPr>
      <w:bookmarkStart w:id="188" w:name="_Toc31740"/>
      <w:bookmarkStart w:id="189" w:name="_Toc10889"/>
      <w:bookmarkStart w:id="190" w:name="_Toc415222498"/>
      <w:bookmarkStart w:id="191" w:name="_Toc487900350"/>
      <w:r>
        <w:rPr>
          <w:rFonts w:hint="eastAsia" w:ascii="宋体" w:hAnsi="宋体"/>
          <w:szCs w:val="21"/>
          <w:highlight w:val="none"/>
        </w:rPr>
        <w:t>2     技术规范</w:t>
      </w:r>
      <w:bookmarkEnd w:id="188"/>
      <w:bookmarkEnd w:id="189"/>
      <w:bookmarkEnd w:id="190"/>
      <w:bookmarkEnd w:id="191"/>
    </w:p>
    <w:p w14:paraId="2C141BF8">
      <w:pPr>
        <w:spacing w:line="360" w:lineRule="auto"/>
        <w:ind w:left="630" w:hanging="630" w:hangingChars="300"/>
        <w:rPr>
          <w:rFonts w:ascii="宋体" w:hAnsi="宋体"/>
          <w:szCs w:val="21"/>
          <w:highlight w:val="none"/>
        </w:rPr>
      </w:pPr>
      <w:r>
        <w:rPr>
          <w:rFonts w:hint="eastAsia" w:ascii="宋体" w:hAnsi="宋体"/>
          <w:szCs w:val="21"/>
          <w:highlight w:val="none"/>
        </w:rPr>
        <w:t>2.1   提交货物的技术规范应与招标文件规定的技术规范和技术规范附件</w:t>
      </w:r>
      <w:r>
        <w:rPr>
          <w:rFonts w:ascii="宋体" w:hAnsi="宋体"/>
          <w:szCs w:val="21"/>
          <w:highlight w:val="none"/>
        </w:rPr>
        <w:t>(</w:t>
      </w:r>
      <w:r>
        <w:rPr>
          <w:rFonts w:hint="eastAsia" w:ascii="宋体" w:hAnsi="宋体"/>
          <w:szCs w:val="21"/>
          <w:highlight w:val="none"/>
        </w:rPr>
        <w:t>如果有的话</w:t>
      </w:r>
      <w:r>
        <w:rPr>
          <w:rFonts w:ascii="宋体" w:hAnsi="宋体"/>
          <w:szCs w:val="21"/>
          <w:highlight w:val="none"/>
        </w:rPr>
        <w:t>)</w:t>
      </w:r>
      <w:r>
        <w:rPr>
          <w:rFonts w:hint="eastAsia" w:ascii="宋体" w:hAnsi="宋体"/>
          <w:szCs w:val="21"/>
          <w:highlight w:val="none"/>
        </w:rPr>
        <w:t>及其投标文件的技术规范偏差表</w:t>
      </w:r>
      <w:r>
        <w:rPr>
          <w:rFonts w:ascii="宋体" w:hAnsi="宋体"/>
          <w:szCs w:val="21"/>
          <w:highlight w:val="none"/>
        </w:rPr>
        <w:t>(</w:t>
      </w:r>
      <w:r>
        <w:rPr>
          <w:rFonts w:hint="eastAsia" w:ascii="宋体" w:hAnsi="宋体"/>
          <w:szCs w:val="21"/>
          <w:highlight w:val="none"/>
        </w:rPr>
        <w:t>如果被买方接受的话</w:t>
      </w:r>
      <w:r>
        <w:rPr>
          <w:rFonts w:ascii="宋体" w:hAnsi="宋体"/>
          <w:szCs w:val="21"/>
          <w:highlight w:val="none"/>
        </w:rPr>
        <w:t>)</w:t>
      </w:r>
      <w:r>
        <w:rPr>
          <w:rFonts w:hint="eastAsia" w:ascii="宋体" w:hAnsi="宋体"/>
          <w:szCs w:val="21"/>
          <w:highlight w:val="none"/>
        </w:rPr>
        <w:t>相一致。若技术规范中无相应说明，则以国家有关部门最新颁布的相应标准及规范为准。</w:t>
      </w:r>
    </w:p>
    <w:p w14:paraId="433964C7">
      <w:pPr>
        <w:outlineLvl w:val="2"/>
        <w:rPr>
          <w:rFonts w:ascii="宋体" w:hAnsi="宋体"/>
          <w:szCs w:val="21"/>
          <w:highlight w:val="none"/>
        </w:rPr>
      </w:pPr>
      <w:bookmarkStart w:id="192" w:name="_Toc487900351"/>
      <w:bookmarkStart w:id="193" w:name="_Toc2425"/>
      <w:bookmarkStart w:id="194" w:name="_Toc415222499"/>
      <w:bookmarkStart w:id="195" w:name="_Toc10492"/>
      <w:r>
        <w:rPr>
          <w:rFonts w:hint="eastAsia" w:ascii="宋体" w:hAnsi="宋体"/>
          <w:szCs w:val="21"/>
          <w:highlight w:val="none"/>
        </w:rPr>
        <w:t>3．   知识产权</w:t>
      </w:r>
      <w:bookmarkEnd w:id="192"/>
      <w:bookmarkEnd w:id="193"/>
      <w:bookmarkEnd w:id="194"/>
      <w:bookmarkEnd w:id="195"/>
    </w:p>
    <w:p w14:paraId="39589EAA">
      <w:pPr>
        <w:spacing w:line="360" w:lineRule="auto"/>
        <w:ind w:left="630" w:hanging="630" w:hangingChars="300"/>
        <w:rPr>
          <w:rFonts w:ascii="宋体" w:hAnsi="宋体"/>
          <w:szCs w:val="21"/>
          <w:highlight w:val="none"/>
        </w:rPr>
      </w:pPr>
      <w:r>
        <w:rPr>
          <w:rFonts w:hint="eastAsia" w:ascii="宋体" w:hAnsi="宋体"/>
          <w:szCs w:val="21"/>
          <w:highlight w:val="none"/>
        </w:rPr>
        <w:t>3.1   卖方应保证买方在使用该货物或其任何一部分时不受第三方提出的侵犯专利权、著作权、商标权和工业设计权等的起诉。如果任何第三方提出侵权指控，卖方须与第三方交涉并承担由此发生的一切责任、费用和经济赔偿。</w:t>
      </w:r>
    </w:p>
    <w:p w14:paraId="2D6B8B9D">
      <w:pPr>
        <w:outlineLvl w:val="2"/>
        <w:rPr>
          <w:rFonts w:ascii="宋体" w:hAnsi="宋体"/>
          <w:szCs w:val="21"/>
          <w:highlight w:val="none"/>
        </w:rPr>
      </w:pPr>
      <w:bookmarkStart w:id="196" w:name="_Toc487900352"/>
      <w:bookmarkStart w:id="197" w:name="_Toc4693"/>
      <w:bookmarkStart w:id="198" w:name="_Toc415222500"/>
      <w:bookmarkStart w:id="199" w:name="_Toc18031"/>
      <w:r>
        <w:rPr>
          <w:rFonts w:hint="eastAsia" w:ascii="宋体" w:hAnsi="宋体"/>
          <w:szCs w:val="21"/>
          <w:highlight w:val="none"/>
        </w:rPr>
        <w:t>4．   包装要求</w:t>
      </w:r>
      <w:bookmarkEnd w:id="196"/>
      <w:bookmarkEnd w:id="197"/>
      <w:bookmarkEnd w:id="198"/>
      <w:bookmarkEnd w:id="199"/>
    </w:p>
    <w:p w14:paraId="2C2187FB">
      <w:pPr>
        <w:spacing w:line="360" w:lineRule="auto"/>
        <w:ind w:left="630" w:hanging="630" w:hangingChars="300"/>
        <w:rPr>
          <w:rFonts w:ascii="宋体" w:hAnsi="宋体"/>
          <w:szCs w:val="21"/>
          <w:highlight w:val="none"/>
        </w:rPr>
      </w:pPr>
      <w:r>
        <w:rPr>
          <w:rFonts w:hint="eastAsia" w:ascii="宋体" w:hAnsi="宋体"/>
          <w:szCs w:val="21"/>
          <w:highlight w:val="none"/>
        </w:rPr>
        <w:t>4.1   除合同另有约定外</w:t>
      </w:r>
      <w:r>
        <w:rPr>
          <w:rFonts w:ascii="宋体" w:hAnsi="宋体"/>
          <w:szCs w:val="21"/>
          <w:highlight w:val="none"/>
        </w:rPr>
        <w:t>,</w:t>
      </w:r>
      <w:r>
        <w:rPr>
          <w:rFonts w:hint="eastAsia" w:ascii="宋体" w:hAnsi="宋体"/>
          <w:szCs w:val="21"/>
          <w:highlight w:val="none"/>
        </w:rPr>
        <w:t>卖方提供的全部货物</w:t>
      </w:r>
      <w:r>
        <w:rPr>
          <w:rFonts w:ascii="宋体" w:hAnsi="宋体"/>
          <w:szCs w:val="21"/>
          <w:highlight w:val="none"/>
        </w:rPr>
        <w:t>,</w:t>
      </w:r>
      <w:r>
        <w:rPr>
          <w:rFonts w:hint="eastAsia" w:ascii="宋体" w:hAnsi="宋体"/>
          <w:szCs w:val="21"/>
          <w:highlight w:val="none"/>
        </w:rPr>
        <w:t>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2EA59EB1">
      <w:pPr>
        <w:spacing w:line="360" w:lineRule="auto"/>
        <w:ind w:left="788" w:hanging="787" w:hangingChars="375"/>
        <w:rPr>
          <w:rFonts w:ascii="宋体" w:hAnsi="宋体"/>
          <w:szCs w:val="21"/>
          <w:highlight w:val="none"/>
        </w:rPr>
      </w:pPr>
      <w:r>
        <w:rPr>
          <w:rFonts w:hint="eastAsia" w:ascii="宋体" w:hAnsi="宋体"/>
          <w:szCs w:val="21"/>
          <w:highlight w:val="none"/>
        </w:rPr>
        <w:t>4.2   每件包装箱内应附一份详细装箱单和质量合格证。</w:t>
      </w:r>
    </w:p>
    <w:p w14:paraId="0C3BD935">
      <w:pPr>
        <w:outlineLvl w:val="2"/>
        <w:rPr>
          <w:rFonts w:ascii="宋体" w:hAnsi="宋体"/>
          <w:szCs w:val="21"/>
          <w:highlight w:val="none"/>
        </w:rPr>
      </w:pPr>
      <w:bookmarkStart w:id="200" w:name="_Toc487900353"/>
      <w:bookmarkStart w:id="201" w:name="_Toc1323"/>
      <w:bookmarkStart w:id="202" w:name="_Toc415222501"/>
      <w:bookmarkStart w:id="203" w:name="_Toc17967"/>
      <w:r>
        <w:rPr>
          <w:rFonts w:hint="eastAsia" w:ascii="宋体" w:hAnsi="宋体"/>
          <w:szCs w:val="21"/>
          <w:highlight w:val="none"/>
        </w:rPr>
        <w:t>5．  装运标志</w:t>
      </w:r>
      <w:bookmarkEnd w:id="200"/>
      <w:bookmarkEnd w:id="201"/>
      <w:bookmarkEnd w:id="202"/>
      <w:bookmarkEnd w:id="203"/>
    </w:p>
    <w:p w14:paraId="6A74DA4A">
      <w:pPr>
        <w:spacing w:line="360" w:lineRule="auto"/>
        <w:ind w:left="788" w:hanging="787" w:hangingChars="375"/>
        <w:rPr>
          <w:rFonts w:ascii="宋体" w:hAnsi="宋体"/>
          <w:szCs w:val="21"/>
          <w:highlight w:val="none"/>
        </w:rPr>
      </w:pPr>
      <w:r>
        <w:rPr>
          <w:rFonts w:hint="eastAsia" w:ascii="宋体" w:hAnsi="宋体"/>
          <w:szCs w:val="21"/>
          <w:highlight w:val="none"/>
        </w:rPr>
        <w:t>5.1  卖方应在每一包装箱的四侧用不褪色的油漆以醒目的中文字样做出下列标记：</w:t>
      </w:r>
    </w:p>
    <w:p w14:paraId="60E33862">
      <w:pPr>
        <w:spacing w:line="360" w:lineRule="auto"/>
        <w:ind w:left="1026" w:leftChars="314" w:hanging="367" w:hangingChars="175"/>
        <w:rPr>
          <w:rFonts w:ascii="宋体" w:hAnsi="宋体"/>
          <w:szCs w:val="21"/>
          <w:highlight w:val="none"/>
        </w:rPr>
      </w:pPr>
      <w:r>
        <w:rPr>
          <w:rFonts w:hint="eastAsia" w:ascii="宋体" w:hAnsi="宋体"/>
          <w:szCs w:val="21"/>
          <w:highlight w:val="none"/>
        </w:rPr>
        <w:t>收货人：</w:t>
      </w:r>
      <w:r>
        <w:rPr>
          <w:rFonts w:ascii="宋体" w:hAnsi="宋体"/>
          <w:szCs w:val="21"/>
          <w:highlight w:val="none"/>
          <w:u w:val="single"/>
        </w:rPr>
        <w:t xml:space="preserve">                                   </w:t>
      </w:r>
    </w:p>
    <w:p w14:paraId="0DB5E07F">
      <w:pPr>
        <w:spacing w:line="360" w:lineRule="auto"/>
        <w:ind w:left="1026" w:leftChars="314" w:hanging="367" w:hangingChars="175"/>
        <w:rPr>
          <w:rFonts w:ascii="宋体" w:hAnsi="宋体"/>
          <w:szCs w:val="21"/>
          <w:highlight w:val="none"/>
        </w:rPr>
      </w:pPr>
      <w:r>
        <w:rPr>
          <w:rFonts w:hint="eastAsia" w:ascii="宋体" w:hAnsi="宋体"/>
          <w:szCs w:val="21"/>
          <w:highlight w:val="none"/>
        </w:rPr>
        <w:t>合同号：</w:t>
      </w:r>
      <w:r>
        <w:rPr>
          <w:rFonts w:ascii="宋体" w:hAnsi="宋体"/>
          <w:szCs w:val="21"/>
          <w:highlight w:val="none"/>
          <w:u w:val="single"/>
        </w:rPr>
        <w:t xml:space="preserve">                                   </w:t>
      </w:r>
    </w:p>
    <w:p w14:paraId="01ADCE66">
      <w:pPr>
        <w:spacing w:line="360" w:lineRule="auto"/>
        <w:ind w:left="1026" w:leftChars="314" w:hanging="367" w:hangingChars="175"/>
        <w:rPr>
          <w:rFonts w:ascii="宋体" w:hAnsi="宋体"/>
          <w:szCs w:val="21"/>
          <w:highlight w:val="none"/>
        </w:rPr>
      </w:pPr>
      <w:r>
        <w:rPr>
          <w:rFonts w:hint="eastAsia" w:ascii="宋体" w:hAnsi="宋体"/>
          <w:szCs w:val="21"/>
          <w:highlight w:val="none"/>
        </w:rPr>
        <w:t>装运标志：</w:t>
      </w:r>
      <w:r>
        <w:rPr>
          <w:rFonts w:ascii="宋体" w:hAnsi="宋体"/>
          <w:szCs w:val="21"/>
          <w:highlight w:val="none"/>
          <w:u w:val="single"/>
        </w:rPr>
        <w:t xml:space="preserve">                                 </w:t>
      </w:r>
    </w:p>
    <w:p w14:paraId="584AF4A8">
      <w:pPr>
        <w:spacing w:line="360" w:lineRule="auto"/>
        <w:ind w:left="1026" w:leftChars="314" w:hanging="367" w:hangingChars="175"/>
        <w:rPr>
          <w:rFonts w:ascii="宋体" w:hAnsi="宋体"/>
          <w:szCs w:val="21"/>
          <w:highlight w:val="none"/>
        </w:rPr>
      </w:pPr>
      <w:r>
        <w:rPr>
          <w:rFonts w:hint="eastAsia" w:ascii="宋体" w:hAnsi="宋体"/>
          <w:szCs w:val="21"/>
          <w:highlight w:val="none"/>
        </w:rPr>
        <w:t>收货人代号：</w:t>
      </w:r>
      <w:r>
        <w:rPr>
          <w:rFonts w:ascii="宋体" w:hAnsi="宋体"/>
          <w:szCs w:val="21"/>
          <w:highlight w:val="none"/>
          <w:u w:val="single"/>
        </w:rPr>
        <w:t xml:space="preserve">                               </w:t>
      </w:r>
    </w:p>
    <w:p w14:paraId="655EBE9A">
      <w:pPr>
        <w:spacing w:line="360" w:lineRule="auto"/>
        <w:ind w:left="1026" w:leftChars="314" w:hanging="367" w:hangingChars="175"/>
        <w:rPr>
          <w:rFonts w:ascii="宋体" w:hAnsi="宋体"/>
          <w:szCs w:val="21"/>
          <w:highlight w:val="none"/>
        </w:rPr>
      </w:pPr>
      <w:r>
        <w:rPr>
          <w:rFonts w:hint="eastAsia" w:ascii="宋体" w:hAnsi="宋体"/>
          <w:szCs w:val="21"/>
          <w:highlight w:val="none"/>
        </w:rPr>
        <w:t>目的地：</w:t>
      </w:r>
      <w:r>
        <w:rPr>
          <w:rFonts w:ascii="宋体" w:hAnsi="宋体"/>
          <w:szCs w:val="21"/>
          <w:highlight w:val="none"/>
          <w:u w:val="single"/>
        </w:rPr>
        <w:t xml:space="preserve">                                   </w:t>
      </w:r>
    </w:p>
    <w:p w14:paraId="579D0F4D">
      <w:pPr>
        <w:spacing w:line="360" w:lineRule="auto"/>
        <w:ind w:left="1026" w:leftChars="314" w:hanging="367" w:hangingChars="175"/>
        <w:rPr>
          <w:rFonts w:ascii="宋体" w:hAnsi="宋体"/>
          <w:szCs w:val="21"/>
          <w:highlight w:val="none"/>
        </w:rPr>
      </w:pPr>
      <w:r>
        <w:rPr>
          <w:rFonts w:hint="eastAsia" w:ascii="宋体" w:hAnsi="宋体"/>
          <w:szCs w:val="21"/>
          <w:highlight w:val="none"/>
        </w:rPr>
        <w:t>货物名称、品目号和箱号：</w:t>
      </w:r>
      <w:r>
        <w:rPr>
          <w:rFonts w:ascii="宋体" w:hAnsi="宋体"/>
          <w:szCs w:val="21"/>
          <w:highlight w:val="none"/>
          <w:u w:val="single"/>
        </w:rPr>
        <w:t xml:space="preserve">                   </w:t>
      </w:r>
    </w:p>
    <w:p w14:paraId="6B84602A">
      <w:pPr>
        <w:spacing w:line="360" w:lineRule="auto"/>
        <w:ind w:left="1026" w:leftChars="314" w:hanging="367" w:hangingChars="175"/>
        <w:rPr>
          <w:rFonts w:ascii="宋体" w:hAnsi="宋体"/>
          <w:szCs w:val="21"/>
          <w:highlight w:val="none"/>
        </w:rPr>
      </w:pPr>
      <w:r>
        <w:rPr>
          <w:rFonts w:hint="eastAsia" w:ascii="宋体" w:hAnsi="宋体"/>
          <w:szCs w:val="21"/>
          <w:highlight w:val="none"/>
        </w:rPr>
        <w:t>毛重／净重：</w:t>
      </w:r>
      <w:r>
        <w:rPr>
          <w:rFonts w:ascii="宋体" w:hAnsi="宋体"/>
          <w:szCs w:val="21"/>
          <w:highlight w:val="none"/>
          <w:u w:val="single"/>
        </w:rPr>
        <w:t xml:space="preserve">                               </w:t>
      </w:r>
    </w:p>
    <w:p w14:paraId="5692A277">
      <w:pPr>
        <w:spacing w:line="360" w:lineRule="auto"/>
        <w:ind w:left="1026" w:leftChars="314" w:hanging="367" w:hangingChars="175"/>
        <w:rPr>
          <w:rFonts w:ascii="宋体" w:hAnsi="宋体"/>
          <w:szCs w:val="21"/>
          <w:highlight w:val="none"/>
        </w:rPr>
      </w:pPr>
      <w:r>
        <w:rPr>
          <w:rFonts w:hint="eastAsia" w:ascii="宋体" w:hAnsi="宋体"/>
          <w:szCs w:val="21"/>
          <w:highlight w:val="none"/>
        </w:rPr>
        <w:t>尺寸</w:t>
      </w:r>
      <w:r>
        <w:rPr>
          <w:rFonts w:ascii="宋体" w:hAnsi="宋体"/>
          <w:szCs w:val="21"/>
          <w:highlight w:val="none"/>
        </w:rPr>
        <w:t>(</w:t>
      </w:r>
      <w:r>
        <w:rPr>
          <w:rFonts w:hint="eastAsia" w:ascii="宋体" w:hAnsi="宋体"/>
          <w:szCs w:val="21"/>
          <w:highlight w:val="none"/>
        </w:rPr>
        <w:t>长×宽×高以厘米计</w:t>
      </w:r>
      <w:r>
        <w:rPr>
          <w:rFonts w:ascii="宋体" w:hAnsi="宋体"/>
          <w:szCs w:val="21"/>
          <w:highlight w:val="none"/>
        </w:rPr>
        <w:t>)</w:t>
      </w:r>
      <w:r>
        <w:rPr>
          <w:rFonts w:hint="eastAsia" w:ascii="宋体" w:hAnsi="宋体"/>
          <w:szCs w:val="21"/>
          <w:highlight w:val="none"/>
        </w:rPr>
        <w:t>：</w:t>
      </w:r>
      <w:r>
        <w:rPr>
          <w:rFonts w:ascii="宋体" w:hAnsi="宋体"/>
          <w:szCs w:val="21"/>
          <w:highlight w:val="none"/>
          <w:u w:val="single"/>
        </w:rPr>
        <w:t xml:space="preserve">                 </w:t>
      </w:r>
    </w:p>
    <w:p w14:paraId="4F00CE0E">
      <w:pPr>
        <w:spacing w:line="360" w:lineRule="auto"/>
        <w:ind w:left="473" w:hanging="472" w:hangingChars="225"/>
        <w:rPr>
          <w:rFonts w:ascii="宋体" w:hAnsi="宋体"/>
          <w:szCs w:val="21"/>
          <w:highlight w:val="none"/>
        </w:rPr>
      </w:pPr>
      <w:r>
        <w:rPr>
          <w:rFonts w:hint="eastAsia" w:ascii="宋体" w:hAnsi="宋体"/>
          <w:szCs w:val="21"/>
          <w:highlight w:val="none"/>
        </w:rPr>
        <w:t>5.2  如果货物单件重量在</w:t>
      </w:r>
      <w:r>
        <w:rPr>
          <w:rFonts w:ascii="宋体" w:hAnsi="宋体"/>
          <w:szCs w:val="21"/>
          <w:highlight w:val="none"/>
        </w:rPr>
        <w:t>2</w:t>
      </w:r>
      <w:r>
        <w:rPr>
          <w:rFonts w:hint="eastAsia" w:ascii="宋体" w:hAnsi="宋体"/>
          <w:szCs w:val="21"/>
          <w:highlight w:val="none"/>
        </w:rPr>
        <w:t>吨或</w:t>
      </w:r>
      <w:r>
        <w:rPr>
          <w:rFonts w:ascii="宋体" w:hAnsi="宋体"/>
          <w:szCs w:val="21"/>
          <w:highlight w:val="none"/>
        </w:rPr>
        <w:t>2</w:t>
      </w:r>
      <w:r>
        <w:rPr>
          <w:rFonts w:hint="eastAsia" w:ascii="宋体" w:hAnsi="宋体"/>
          <w:szCs w:val="21"/>
          <w:highlight w:val="none"/>
        </w:rPr>
        <w:t>吨以上，卖方应在每件包装箱的两侧用中文和适当的运输标记，标明“重心”和“吊装点”，以便装卸和搬运。根据货物的特点和运输的不同要求，</w:t>
      </w:r>
      <w:r>
        <w:rPr>
          <w:rFonts w:ascii="宋体" w:hAnsi="宋体"/>
          <w:szCs w:val="21"/>
          <w:highlight w:val="none"/>
        </w:rPr>
        <w:t xml:space="preserve"> </w:t>
      </w:r>
      <w:r>
        <w:rPr>
          <w:rFonts w:hint="eastAsia" w:ascii="宋体" w:hAnsi="宋体"/>
          <w:szCs w:val="21"/>
          <w:highlight w:val="none"/>
        </w:rPr>
        <w:t>卖方应在包装箱上清楚地标有“小心轻放”、“防潮”、</w:t>
      </w:r>
      <w:r>
        <w:rPr>
          <w:rFonts w:ascii="宋体" w:hAnsi="宋体"/>
          <w:szCs w:val="21"/>
          <w:highlight w:val="none"/>
        </w:rPr>
        <w:t xml:space="preserve"> “</w:t>
      </w:r>
      <w:r>
        <w:rPr>
          <w:rFonts w:hint="eastAsia" w:ascii="宋体" w:hAnsi="宋体"/>
          <w:szCs w:val="21"/>
          <w:highlight w:val="none"/>
        </w:rPr>
        <w:t>勿倒置”等字样和其他适当的标志。</w:t>
      </w:r>
    </w:p>
    <w:p w14:paraId="48E78880">
      <w:pPr>
        <w:outlineLvl w:val="2"/>
        <w:rPr>
          <w:rFonts w:ascii="宋体" w:hAnsi="宋体"/>
          <w:szCs w:val="21"/>
          <w:highlight w:val="none"/>
        </w:rPr>
      </w:pPr>
      <w:bookmarkStart w:id="204" w:name="_Ref467379527"/>
      <w:bookmarkStart w:id="205" w:name="_Ref467378541"/>
      <w:bookmarkStart w:id="206" w:name="_Ref467378591"/>
      <w:bookmarkStart w:id="207" w:name="_Toc11864"/>
      <w:bookmarkStart w:id="208" w:name="_Ref467379536"/>
      <w:bookmarkStart w:id="209" w:name="_Toc487900354"/>
      <w:bookmarkStart w:id="210" w:name="_Toc18715"/>
      <w:bookmarkStart w:id="211" w:name="_Ref467379542"/>
      <w:bookmarkStart w:id="212" w:name="_Toc415222502"/>
      <w:r>
        <w:rPr>
          <w:rFonts w:hint="eastAsia" w:ascii="宋体" w:hAnsi="宋体"/>
          <w:szCs w:val="21"/>
          <w:highlight w:val="none"/>
        </w:rPr>
        <w:t>6．   交货方式</w:t>
      </w:r>
      <w:bookmarkEnd w:id="204"/>
      <w:bookmarkEnd w:id="205"/>
      <w:bookmarkEnd w:id="206"/>
      <w:bookmarkEnd w:id="207"/>
      <w:bookmarkEnd w:id="208"/>
      <w:bookmarkEnd w:id="209"/>
      <w:bookmarkEnd w:id="210"/>
      <w:bookmarkEnd w:id="211"/>
      <w:bookmarkEnd w:id="212"/>
    </w:p>
    <w:p w14:paraId="521A5DBB">
      <w:pPr>
        <w:spacing w:line="360" w:lineRule="auto"/>
        <w:ind w:left="788" w:hanging="787" w:hangingChars="375"/>
        <w:rPr>
          <w:rFonts w:ascii="宋体" w:hAnsi="宋体"/>
          <w:szCs w:val="21"/>
          <w:highlight w:val="none"/>
        </w:rPr>
      </w:pPr>
      <w:bookmarkStart w:id="213" w:name="_Ref467379657"/>
      <w:r>
        <w:rPr>
          <w:rFonts w:hint="eastAsia" w:ascii="宋体" w:hAnsi="宋体"/>
          <w:szCs w:val="21"/>
          <w:highlight w:val="none"/>
        </w:rPr>
        <w:t>6.1   交货方式一般为下列其中一种，具体在合同专用条款中规定。</w:t>
      </w:r>
      <w:bookmarkEnd w:id="213"/>
    </w:p>
    <w:p w14:paraId="56C2A342">
      <w:pPr>
        <w:spacing w:line="360" w:lineRule="auto"/>
        <w:ind w:left="630" w:hanging="630" w:hangingChars="300"/>
        <w:rPr>
          <w:rFonts w:ascii="宋体" w:hAnsi="宋体"/>
          <w:szCs w:val="21"/>
          <w:highlight w:val="none"/>
        </w:rPr>
      </w:pPr>
      <w:r>
        <w:rPr>
          <w:rFonts w:hint="eastAsia" w:ascii="宋体" w:hAnsi="宋体"/>
          <w:szCs w:val="21"/>
          <w:highlight w:val="none"/>
        </w:rPr>
        <w:t>6.1.1 现场交货：卖方负责办理运输和保险，将货物运抵现场。有关运输和保险的一切费用由卖方承担。所有货物运抵现场的日期为交货日期。</w:t>
      </w:r>
    </w:p>
    <w:p w14:paraId="34B6A210">
      <w:pPr>
        <w:spacing w:line="360" w:lineRule="auto"/>
        <w:ind w:left="630" w:hanging="630" w:hangingChars="300"/>
        <w:rPr>
          <w:rFonts w:ascii="宋体" w:hAnsi="宋体"/>
          <w:szCs w:val="21"/>
          <w:highlight w:val="none"/>
        </w:rPr>
      </w:pPr>
      <w:r>
        <w:rPr>
          <w:rFonts w:hint="eastAsia" w:ascii="宋体" w:hAnsi="宋体"/>
          <w:szCs w:val="21"/>
          <w:highlight w:val="none"/>
        </w:rPr>
        <w:t>6.1.2 工厂交货：由卖方负责代办运输和保险事宜。运输费和保险费由买方承担。运输部门出具收据的日期为交货日期。</w:t>
      </w:r>
    </w:p>
    <w:p w14:paraId="6D4E4FF7">
      <w:pPr>
        <w:spacing w:line="360" w:lineRule="auto"/>
        <w:ind w:left="788" w:hanging="787" w:hangingChars="375"/>
        <w:rPr>
          <w:rFonts w:ascii="宋体" w:hAnsi="宋体"/>
          <w:szCs w:val="21"/>
          <w:highlight w:val="none"/>
        </w:rPr>
      </w:pPr>
      <w:r>
        <w:rPr>
          <w:rFonts w:hint="eastAsia" w:ascii="宋体" w:hAnsi="宋体"/>
          <w:szCs w:val="21"/>
          <w:highlight w:val="none"/>
        </w:rPr>
        <w:t>6.1.3 买方自提货物：由买方在合同规定地点自行办理提货。提单日期为交货日期。</w:t>
      </w:r>
    </w:p>
    <w:p w14:paraId="61FB9CE0">
      <w:pPr>
        <w:spacing w:line="360" w:lineRule="auto"/>
        <w:ind w:left="630" w:hanging="630" w:hangingChars="300"/>
        <w:rPr>
          <w:rFonts w:ascii="宋体" w:hAnsi="宋体"/>
          <w:szCs w:val="21"/>
          <w:highlight w:val="none"/>
        </w:rPr>
      </w:pPr>
      <w:r>
        <w:rPr>
          <w:rFonts w:hint="eastAsia" w:ascii="宋体" w:hAnsi="宋体"/>
          <w:szCs w:val="21"/>
          <w:highlight w:val="none"/>
        </w:rPr>
        <w:t>6.2   卖方应在合同专用条款规定时间以电报或传真形式将合同号、货物名称、数量、包装箱件数、总毛重、总体积</w:t>
      </w:r>
      <w:r>
        <w:rPr>
          <w:rFonts w:ascii="宋体" w:hAnsi="宋体"/>
          <w:szCs w:val="21"/>
          <w:highlight w:val="none"/>
        </w:rPr>
        <w:t>(</w:t>
      </w:r>
      <w:r>
        <w:rPr>
          <w:rFonts w:hint="eastAsia" w:ascii="宋体" w:hAnsi="宋体"/>
          <w:szCs w:val="21"/>
          <w:highlight w:val="none"/>
        </w:rPr>
        <w:t>立方米</w:t>
      </w:r>
      <w:r>
        <w:rPr>
          <w:rFonts w:ascii="宋体" w:hAnsi="宋体"/>
          <w:szCs w:val="21"/>
          <w:highlight w:val="none"/>
        </w:rPr>
        <w:t>)</w:t>
      </w:r>
      <w:r>
        <w:rPr>
          <w:rFonts w:hint="eastAsia" w:ascii="宋体" w:hAnsi="宋体"/>
          <w:szCs w:val="21"/>
          <w:highlight w:val="none"/>
        </w:rPr>
        <w:t>和备妥交货日期通知买方。同时卖方应用挂号信将详细交货清单一式</w:t>
      </w:r>
      <w:r>
        <w:rPr>
          <w:rFonts w:ascii="宋体" w:hAnsi="宋体"/>
          <w:szCs w:val="21"/>
          <w:highlight w:val="none"/>
        </w:rPr>
        <w:t>6</w:t>
      </w:r>
      <w:r>
        <w:rPr>
          <w:rFonts w:hint="eastAsia" w:ascii="宋体" w:hAnsi="宋体"/>
          <w:szCs w:val="21"/>
          <w:highlight w:val="none"/>
        </w:rPr>
        <w:t>份包括合同号、货物名称、规格、数量、总毛重、总体积</w:t>
      </w:r>
      <w:r>
        <w:rPr>
          <w:rFonts w:ascii="宋体" w:hAnsi="宋体"/>
          <w:szCs w:val="21"/>
          <w:highlight w:val="none"/>
        </w:rPr>
        <w:t>(</w:t>
      </w:r>
      <w:r>
        <w:rPr>
          <w:rFonts w:hint="eastAsia" w:ascii="宋体" w:hAnsi="宋体"/>
          <w:szCs w:val="21"/>
          <w:highlight w:val="none"/>
        </w:rPr>
        <w:t>立方米</w:t>
      </w:r>
      <w:r>
        <w:rPr>
          <w:rFonts w:ascii="宋体" w:hAnsi="宋体"/>
          <w:szCs w:val="21"/>
          <w:highlight w:val="none"/>
        </w:rPr>
        <w:t>)</w:t>
      </w:r>
      <w:r>
        <w:rPr>
          <w:rFonts w:hint="eastAsia" w:ascii="宋体" w:hAnsi="宋体"/>
          <w:szCs w:val="21"/>
          <w:highlight w:val="none"/>
        </w:rPr>
        <w:t>、包装箱件数和每个包装箱的尺寸</w:t>
      </w:r>
      <w:r>
        <w:rPr>
          <w:rFonts w:ascii="宋体" w:hAnsi="宋体"/>
          <w:szCs w:val="21"/>
          <w:highlight w:val="none"/>
        </w:rPr>
        <w:t>(</w:t>
      </w:r>
      <w:r>
        <w:rPr>
          <w:rFonts w:hint="eastAsia" w:ascii="宋体" w:hAnsi="宋体"/>
          <w:szCs w:val="21"/>
          <w:highlight w:val="none"/>
        </w:rPr>
        <w:t>长×宽×高</w:t>
      </w:r>
      <w:r>
        <w:rPr>
          <w:rFonts w:ascii="宋体" w:hAnsi="宋体"/>
          <w:szCs w:val="21"/>
          <w:highlight w:val="none"/>
        </w:rPr>
        <w:t>)</w:t>
      </w:r>
      <w:r>
        <w:rPr>
          <w:rFonts w:hint="eastAsia" w:ascii="宋体" w:hAnsi="宋体"/>
          <w:szCs w:val="21"/>
          <w:highlight w:val="none"/>
        </w:rPr>
        <w:t>、货物总价和备妥待交日期以及对货物在运输和仓储的特殊要求和注意事项通知买方。</w:t>
      </w:r>
    </w:p>
    <w:p w14:paraId="24ECBFAB">
      <w:pPr>
        <w:spacing w:line="360" w:lineRule="auto"/>
        <w:ind w:left="630" w:hanging="630" w:hangingChars="300"/>
        <w:rPr>
          <w:rFonts w:ascii="宋体" w:hAnsi="宋体"/>
          <w:szCs w:val="21"/>
          <w:highlight w:val="none"/>
        </w:rPr>
      </w:pPr>
      <w:r>
        <w:rPr>
          <w:rFonts w:hint="eastAsia" w:ascii="宋体" w:hAnsi="宋体"/>
          <w:szCs w:val="21"/>
          <w:highlight w:val="none"/>
        </w:rPr>
        <w:t>6.3   在现场交货和工厂交货条件下，卖方装运的货物不应超过合同规定的数量或重量。否则，卖方应对超运部分引起的一切后果负责。</w:t>
      </w:r>
    </w:p>
    <w:p w14:paraId="209218AD">
      <w:pPr>
        <w:outlineLvl w:val="2"/>
        <w:rPr>
          <w:rFonts w:ascii="宋体" w:hAnsi="宋体"/>
          <w:szCs w:val="21"/>
          <w:highlight w:val="none"/>
        </w:rPr>
      </w:pPr>
      <w:bookmarkStart w:id="214" w:name="_Toc487900355"/>
      <w:bookmarkStart w:id="215" w:name="_Toc415222503"/>
      <w:bookmarkStart w:id="216" w:name="_Toc6625"/>
      <w:bookmarkStart w:id="217" w:name="_Toc12437"/>
      <w:r>
        <w:rPr>
          <w:rFonts w:hint="eastAsia" w:ascii="宋体" w:hAnsi="宋体"/>
          <w:szCs w:val="21"/>
          <w:highlight w:val="none"/>
        </w:rPr>
        <w:t>7．   装运通知</w:t>
      </w:r>
      <w:bookmarkEnd w:id="214"/>
      <w:bookmarkEnd w:id="215"/>
      <w:bookmarkEnd w:id="216"/>
      <w:bookmarkEnd w:id="217"/>
    </w:p>
    <w:p w14:paraId="3E24B172">
      <w:pPr>
        <w:spacing w:line="360" w:lineRule="auto"/>
        <w:ind w:left="630" w:hanging="630" w:hangingChars="300"/>
        <w:rPr>
          <w:rFonts w:ascii="宋体" w:hAnsi="宋体"/>
          <w:szCs w:val="21"/>
          <w:highlight w:val="none"/>
        </w:rPr>
      </w:pPr>
      <w:r>
        <w:rPr>
          <w:rFonts w:hint="eastAsia" w:ascii="宋体" w:hAnsi="宋体"/>
          <w:szCs w:val="21"/>
          <w:highlight w:val="none"/>
        </w:rPr>
        <w:t>7.1   在现场交货和工厂交货条件下的货物，卖方通知买方货物已备妥待运输后</w:t>
      </w:r>
      <w:r>
        <w:rPr>
          <w:rFonts w:ascii="宋体" w:hAnsi="宋体"/>
          <w:szCs w:val="21"/>
          <w:highlight w:val="none"/>
        </w:rPr>
        <w:t>24</w:t>
      </w:r>
      <w:r>
        <w:rPr>
          <w:rFonts w:hint="eastAsia" w:ascii="宋体" w:hAnsi="宋体"/>
          <w:szCs w:val="21"/>
          <w:highlight w:val="none"/>
        </w:rPr>
        <w:t>小时之内，应将合同号、货名、数量、毛重、总体积</w:t>
      </w:r>
      <w:r>
        <w:rPr>
          <w:rFonts w:ascii="宋体" w:hAnsi="宋体"/>
          <w:szCs w:val="21"/>
          <w:highlight w:val="none"/>
        </w:rPr>
        <w:t>(</w:t>
      </w:r>
      <w:r>
        <w:rPr>
          <w:rFonts w:hint="eastAsia" w:ascii="宋体" w:hAnsi="宋体"/>
          <w:szCs w:val="21"/>
          <w:highlight w:val="none"/>
        </w:rPr>
        <w:t>立方米</w:t>
      </w:r>
      <w:r>
        <w:rPr>
          <w:rFonts w:ascii="宋体" w:hAnsi="宋体"/>
          <w:szCs w:val="21"/>
          <w:highlight w:val="none"/>
        </w:rPr>
        <w:t>)</w:t>
      </w:r>
      <w:r>
        <w:rPr>
          <w:rFonts w:hint="eastAsia" w:ascii="宋体" w:hAnsi="宋体"/>
          <w:szCs w:val="21"/>
          <w:highlight w:val="none"/>
        </w:rPr>
        <w:t>、发票金额、运输工具名称及装运日期，以电报或传真通知买方。</w:t>
      </w:r>
    </w:p>
    <w:p w14:paraId="42EB2AD7">
      <w:pPr>
        <w:spacing w:line="360" w:lineRule="auto"/>
        <w:ind w:left="630" w:hanging="630" w:hangingChars="300"/>
        <w:rPr>
          <w:rFonts w:ascii="宋体" w:hAnsi="宋体"/>
          <w:szCs w:val="21"/>
          <w:highlight w:val="none"/>
        </w:rPr>
      </w:pPr>
      <w:r>
        <w:rPr>
          <w:rFonts w:hint="eastAsia" w:ascii="宋体" w:hAnsi="宋体"/>
          <w:szCs w:val="21"/>
          <w:highlight w:val="none"/>
        </w:rPr>
        <w:t>7.2   如因卖方延误将上述内容用电报或传真通知买方，由此引起的一切后果损失应由卖方负责。</w:t>
      </w:r>
    </w:p>
    <w:p w14:paraId="4A8F89F2">
      <w:pPr>
        <w:outlineLvl w:val="2"/>
        <w:rPr>
          <w:rFonts w:ascii="宋体" w:hAnsi="宋体"/>
          <w:szCs w:val="21"/>
          <w:highlight w:val="none"/>
        </w:rPr>
      </w:pPr>
      <w:bookmarkStart w:id="218" w:name="_Toc26337"/>
      <w:bookmarkStart w:id="219" w:name="_Toc487900357"/>
      <w:bookmarkStart w:id="220" w:name="_Ref467379793"/>
      <w:bookmarkStart w:id="221" w:name="_Toc415222504"/>
      <w:bookmarkStart w:id="222" w:name="_Ref467379807"/>
      <w:bookmarkStart w:id="223" w:name="_Toc15361"/>
      <w:r>
        <w:rPr>
          <w:rFonts w:hint="eastAsia" w:ascii="宋体" w:hAnsi="宋体"/>
          <w:szCs w:val="21"/>
          <w:highlight w:val="none"/>
        </w:rPr>
        <w:t>8．   付款条件</w:t>
      </w:r>
      <w:bookmarkEnd w:id="218"/>
      <w:bookmarkEnd w:id="219"/>
      <w:bookmarkEnd w:id="220"/>
      <w:bookmarkEnd w:id="221"/>
      <w:bookmarkEnd w:id="222"/>
      <w:bookmarkEnd w:id="223"/>
    </w:p>
    <w:p w14:paraId="3048BB66">
      <w:pPr>
        <w:spacing w:line="360" w:lineRule="auto"/>
        <w:ind w:left="788" w:hanging="787" w:hangingChars="375"/>
        <w:rPr>
          <w:rFonts w:ascii="宋体" w:hAnsi="宋体"/>
          <w:szCs w:val="21"/>
          <w:highlight w:val="none"/>
        </w:rPr>
      </w:pPr>
      <w:r>
        <w:rPr>
          <w:rFonts w:hint="eastAsia" w:ascii="宋体" w:hAnsi="宋体"/>
          <w:szCs w:val="21"/>
          <w:highlight w:val="none"/>
        </w:rPr>
        <w:t xml:space="preserve">      付款条件见第二册第八章“</w:t>
      </w:r>
      <w:r>
        <w:rPr>
          <w:rFonts w:hint="eastAsia" w:ascii="宋体" w:hAnsi="宋体"/>
          <w:szCs w:val="21"/>
          <w:highlight w:val="none"/>
          <w:u w:val="single"/>
        </w:rPr>
        <w:t>合同专用条款</w:t>
      </w:r>
      <w:r>
        <w:rPr>
          <w:rFonts w:hint="eastAsia" w:ascii="宋体" w:hAnsi="宋体"/>
          <w:szCs w:val="21"/>
          <w:highlight w:val="none"/>
        </w:rPr>
        <w:t>”。</w:t>
      </w:r>
    </w:p>
    <w:p w14:paraId="01AC3948">
      <w:pPr>
        <w:outlineLvl w:val="2"/>
        <w:rPr>
          <w:rFonts w:ascii="宋体" w:hAnsi="宋体"/>
          <w:szCs w:val="21"/>
          <w:highlight w:val="none"/>
        </w:rPr>
      </w:pPr>
      <w:bookmarkStart w:id="224" w:name="_Toc1380"/>
      <w:bookmarkStart w:id="225" w:name="_Ref467379863"/>
      <w:bookmarkStart w:id="226" w:name="_Toc487900358"/>
      <w:bookmarkStart w:id="227" w:name="_Ref467379852"/>
      <w:bookmarkStart w:id="228" w:name="_Toc6588"/>
      <w:bookmarkStart w:id="229" w:name="_Ref467379923"/>
      <w:bookmarkStart w:id="230" w:name="_Toc415222505"/>
      <w:r>
        <w:rPr>
          <w:rFonts w:hint="eastAsia" w:ascii="宋体" w:hAnsi="宋体"/>
          <w:szCs w:val="21"/>
          <w:highlight w:val="none"/>
        </w:rPr>
        <w:t>9．   技术资料</w:t>
      </w:r>
      <w:bookmarkEnd w:id="224"/>
      <w:bookmarkEnd w:id="225"/>
      <w:bookmarkEnd w:id="226"/>
      <w:bookmarkEnd w:id="227"/>
      <w:bookmarkEnd w:id="228"/>
      <w:bookmarkEnd w:id="229"/>
      <w:bookmarkEnd w:id="230"/>
    </w:p>
    <w:p w14:paraId="471CD58C">
      <w:pPr>
        <w:spacing w:line="360" w:lineRule="auto"/>
        <w:ind w:left="788" w:hanging="787" w:hangingChars="375"/>
        <w:rPr>
          <w:rFonts w:ascii="宋体" w:hAnsi="宋体"/>
          <w:szCs w:val="21"/>
          <w:highlight w:val="none"/>
        </w:rPr>
      </w:pPr>
      <w:r>
        <w:rPr>
          <w:rFonts w:hint="eastAsia" w:ascii="宋体" w:hAnsi="宋体"/>
          <w:szCs w:val="21"/>
          <w:highlight w:val="none"/>
        </w:rPr>
        <w:t>9.1   合同项下技术资料</w:t>
      </w:r>
      <w:r>
        <w:rPr>
          <w:rFonts w:ascii="宋体" w:hAnsi="宋体"/>
          <w:szCs w:val="21"/>
          <w:highlight w:val="none"/>
        </w:rPr>
        <w:t>(</w:t>
      </w:r>
      <w:r>
        <w:rPr>
          <w:rFonts w:hint="eastAsia" w:ascii="宋体" w:hAnsi="宋体"/>
          <w:szCs w:val="21"/>
          <w:highlight w:val="none"/>
        </w:rPr>
        <w:t>除合同特殊条款规定外</w:t>
      </w:r>
      <w:r>
        <w:rPr>
          <w:rFonts w:ascii="宋体" w:hAnsi="宋体"/>
          <w:szCs w:val="21"/>
          <w:highlight w:val="none"/>
        </w:rPr>
        <w:t>)</w:t>
      </w:r>
      <w:r>
        <w:rPr>
          <w:rFonts w:hint="eastAsia" w:ascii="宋体" w:hAnsi="宋体"/>
          <w:szCs w:val="21"/>
          <w:highlight w:val="none"/>
        </w:rPr>
        <w:t>将以下列方式交付：</w:t>
      </w:r>
    </w:p>
    <w:p w14:paraId="32FE3E7D">
      <w:pPr>
        <w:spacing w:line="360" w:lineRule="auto"/>
        <w:ind w:left="718" w:leftChars="340" w:hanging="4" w:hangingChars="2"/>
        <w:rPr>
          <w:rFonts w:ascii="宋体" w:hAnsi="宋体"/>
          <w:szCs w:val="21"/>
          <w:highlight w:val="none"/>
        </w:rPr>
      </w:pPr>
      <w:r>
        <w:rPr>
          <w:rFonts w:hint="eastAsia" w:ascii="宋体" w:hAnsi="宋体"/>
          <w:szCs w:val="21"/>
          <w:highlight w:val="none"/>
        </w:rPr>
        <w:t>在合同专用条款规定时间内，卖方应将每台设备和仪器的中文技术资料一套，如目录索引、图纸、操作手册、使用指南、维修指南和／或服务手册和示意图寄给买方。</w:t>
      </w:r>
    </w:p>
    <w:p w14:paraId="0F727BFC">
      <w:pPr>
        <w:spacing w:line="360" w:lineRule="auto"/>
        <w:ind w:left="788" w:hanging="787" w:hangingChars="375"/>
        <w:rPr>
          <w:rFonts w:ascii="宋体" w:hAnsi="宋体"/>
          <w:szCs w:val="21"/>
          <w:highlight w:val="none"/>
        </w:rPr>
      </w:pPr>
      <w:r>
        <w:rPr>
          <w:rFonts w:hint="eastAsia" w:ascii="宋体" w:hAnsi="宋体"/>
          <w:szCs w:val="21"/>
          <w:highlight w:val="none"/>
        </w:rPr>
        <w:t>9.2   另外一套完整的上述资料应包装好随同每批货物一起发运。</w:t>
      </w:r>
    </w:p>
    <w:p w14:paraId="025CA34C">
      <w:pPr>
        <w:spacing w:line="360" w:lineRule="auto"/>
        <w:ind w:left="630" w:hanging="630" w:hangingChars="300"/>
        <w:rPr>
          <w:rFonts w:ascii="宋体" w:hAnsi="宋体"/>
          <w:szCs w:val="21"/>
          <w:highlight w:val="none"/>
        </w:rPr>
      </w:pPr>
      <w:r>
        <w:rPr>
          <w:rFonts w:hint="eastAsia" w:ascii="宋体" w:hAnsi="宋体"/>
          <w:szCs w:val="21"/>
          <w:highlight w:val="none"/>
        </w:rPr>
        <w:t>9.3   如果买方确认卖方提供的技术资料不完整或在运输过程中丢失，卖方将在合同专用条款规定时间内将这些资料免费寄给买方。</w:t>
      </w:r>
    </w:p>
    <w:p w14:paraId="2D90071D">
      <w:pPr>
        <w:outlineLvl w:val="2"/>
        <w:rPr>
          <w:rFonts w:ascii="宋体" w:hAnsi="宋体"/>
          <w:szCs w:val="21"/>
          <w:highlight w:val="none"/>
        </w:rPr>
      </w:pPr>
      <w:bookmarkStart w:id="231" w:name="_Toc15447"/>
      <w:bookmarkStart w:id="232" w:name="_Ref467377962"/>
      <w:bookmarkStart w:id="233" w:name="_Ref467377798"/>
      <w:bookmarkStart w:id="234" w:name="_Ref467379937"/>
      <w:bookmarkStart w:id="235" w:name="_Toc28649"/>
      <w:bookmarkStart w:id="236" w:name="_Toc487900359"/>
      <w:bookmarkStart w:id="237" w:name="_Toc415222506"/>
      <w:bookmarkStart w:id="238" w:name="_Ref467379946"/>
      <w:r>
        <w:rPr>
          <w:rFonts w:hint="eastAsia" w:ascii="宋体" w:hAnsi="宋体"/>
          <w:szCs w:val="21"/>
          <w:highlight w:val="none"/>
        </w:rPr>
        <w:t>10．  质量保证</w:t>
      </w:r>
      <w:bookmarkEnd w:id="231"/>
      <w:bookmarkEnd w:id="232"/>
      <w:bookmarkEnd w:id="233"/>
      <w:bookmarkEnd w:id="234"/>
      <w:bookmarkEnd w:id="235"/>
      <w:bookmarkEnd w:id="236"/>
      <w:bookmarkEnd w:id="237"/>
      <w:bookmarkEnd w:id="238"/>
    </w:p>
    <w:p w14:paraId="593B1A3F">
      <w:pPr>
        <w:spacing w:line="360" w:lineRule="auto"/>
        <w:ind w:left="630" w:hanging="630" w:hangingChars="300"/>
        <w:rPr>
          <w:rFonts w:hint="eastAsia" w:ascii="宋体" w:hAnsi="宋体"/>
          <w:szCs w:val="21"/>
          <w:highlight w:val="none"/>
        </w:rPr>
      </w:pPr>
      <w:r>
        <w:rPr>
          <w:rFonts w:hint="eastAsia" w:ascii="宋体" w:hAnsi="宋体"/>
          <w:szCs w:val="21"/>
          <w:highlight w:val="none"/>
        </w:rPr>
        <w:t>10.1  卖方须保证货物是全新、未使用过的，并完全符合强制性的国家技术质量规范和合同规定的质量、规格、性能和技术规范等的要求。</w:t>
      </w:r>
    </w:p>
    <w:p w14:paraId="088F0677">
      <w:pPr>
        <w:spacing w:line="360" w:lineRule="auto"/>
        <w:ind w:left="630" w:hanging="630" w:hangingChars="300"/>
        <w:rPr>
          <w:rFonts w:ascii="宋体" w:hAnsi="宋体"/>
          <w:szCs w:val="21"/>
          <w:highlight w:val="none"/>
        </w:rPr>
      </w:pPr>
      <w:r>
        <w:rPr>
          <w:rFonts w:hint="eastAsia" w:ascii="宋体" w:hAnsi="宋体"/>
          <w:szCs w:val="21"/>
          <w:highlight w:val="none"/>
        </w:rPr>
        <w:t>10.2  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4B90E49A">
      <w:pPr>
        <w:spacing w:line="360" w:lineRule="auto"/>
        <w:ind w:left="630" w:hanging="630" w:hangingChars="300"/>
        <w:rPr>
          <w:rFonts w:ascii="宋体" w:hAnsi="宋体"/>
          <w:szCs w:val="21"/>
          <w:highlight w:val="none"/>
        </w:rPr>
      </w:pPr>
      <w:r>
        <w:rPr>
          <w:rFonts w:hint="eastAsia" w:ascii="宋体" w:hAnsi="宋体"/>
          <w:szCs w:val="21"/>
          <w:highlight w:val="none"/>
        </w:rPr>
        <w:t>10.3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合同专用条款规定时间内免费维修或更换有缺陷的货物或部件。</w:t>
      </w:r>
    </w:p>
    <w:p w14:paraId="11C7409B">
      <w:pPr>
        <w:spacing w:line="360" w:lineRule="auto"/>
        <w:ind w:left="630" w:hanging="630" w:hangingChars="300"/>
        <w:rPr>
          <w:rFonts w:ascii="宋体" w:hAnsi="宋体"/>
          <w:szCs w:val="21"/>
          <w:highlight w:val="none"/>
        </w:rPr>
      </w:pPr>
      <w:r>
        <w:rPr>
          <w:rFonts w:hint="eastAsia" w:ascii="宋体" w:hAnsi="宋体"/>
          <w:szCs w:val="21"/>
          <w:highlight w:val="none"/>
        </w:rPr>
        <w:t>10.4  如果卖方在合同专用条款规定时间内没有弥补缺陷，买方可采取必要的补救措施，但由此引发的风险和费用将由卖方承担。</w:t>
      </w:r>
    </w:p>
    <w:p w14:paraId="54E71DAC">
      <w:pPr>
        <w:spacing w:line="360" w:lineRule="auto"/>
        <w:ind w:left="788" w:hanging="787" w:hangingChars="375"/>
        <w:rPr>
          <w:rFonts w:ascii="宋体" w:hAnsi="宋体"/>
          <w:szCs w:val="21"/>
          <w:highlight w:val="none"/>
        </w:rPr>
      </w:pPr>
      <w:r>
        <w:rPr>
          <w:rFonts w:hint="eastAsia" w:ascii="宋体" w:hAnsi="宋体"/>
          <w:szCs w:val="21"/>
          <w:highlight w:val="none"/>
        </w:rPr>
        <w:t>10.5  除“合同专用条款”规定外，合同项下货物的质量保证期为自货物通过最终验收起</w:t>
      </w:r>
      <w:r>
        <w:rPr>
          <w:rFonts w:ascii="宋体" w:hAnsi="宋体"/>
          <w:szCs w:val="21"/>
          <w:highlight w:val="none"/>
        </w:rPr>
        <w:t>12</w:t>
      </w:r>
      <w:r>
        <w:rPr>
          <w:rFonts w:hint="eastAsia" w:ascii="宋体" w:hAnsi="宋体"/>
          <w:szCs w:val="21"/>
          <w:highlight w:val="none"/>
        </w:rPr>
        <w:t>个月。</w:t>
      </w:r>
    </w:p>
    <w:p w14:paraId="46E3E556">
      <w:pPr>
        <w:outlineLvl w:val="2"/>
        <w:rPr>
          <w:rFonts w:ascii="宋体" w:hAnsi="宋体"/>
          <w:szCs w:val="21"/>
          <w:highlight w:val="none"/>
        </w:rPr>
      </w:pPr>
      <w:bookmarkStart w:id="239" w:name="_Ref467378018"/>
      <w:bookmarkStart w:id="240" w:name="_Toc487900360"/>
      <w:bookmarkStart w:id="241" w:name="_Toc11317"/>
      <w:bookmarkStart w:id="242" w:name="_Toc415222507"/>
      <w:bookmarkStart w:id="243" w:name="_Toc7155"/>
      <w:r>
        <w:rPr>
          <w:rFonts w:hint="eastAsia" w:ascii="宋体" w:hAnsi="宋体"/>
          <w:szCs w:val="21"/>
          <w:highlight w:val="none"/>
        </w:rPr>
        <w:t>11．   检验</w:t>
      </w:r>
      <w:bookmarkEnd w:id="239"/>
      <w:bookmarkEnd w:id="240"/>
      <w:r>
        <w:rPr>
          <w:rFonts w:hint="eastAsia" w:ascii="宋体" w:hAnsi="宋体"/>
          <w:szCs w:val="21"/>
          <w:highlight w:val="none"/>
        </w:rPr>
        <w:t>和验收</w:t>
      </w:r>
      <w:bookmarkEnd w:id="241"/>
      <w:bookmarkEnd w:id="242"/>
      <w:bookmarkEnd w:id="243"/>
    </w:p>
    <w:p w14:paraId="55015DB7">
      <w:pPr>
        <w:spacing w:line="360" w:lineRule="auto"/>
        <w:ind w:left="788" w:hanging="787" w:hangingChars="375"/>
        <w:rPr>
          <w:rFonts w:hint="eastAsia" w:ascii="宋体" w:hAnsi="宋体"/>
          <w:szCs w:val="21"/>
          <w:highlight w:val="none"/>
        </w:rPr>
      </w:pPr>
      <w:r>
        <w:rPr>
          <w:rFonts w:hint="eastAsia" w:ascii="宋体" w:hAnsi="宋体"/>
          <w:szCs w:val="21"/>
          <w:highlight w:val="none"/>
        </w:rPr>
        <w:t>11.1   在交货前，卖方应对货物的质量、规格、性能、数量和重量等进行详细而全面的检验，并出具证明货物符合合同规定的文件。该文件将作为申请付款单据的一部分，但有关质量、规格、性能、数量或重量的检验不应视为最终检验。</w:t>
      </w:r>
    </w:p>
    <w:p w14:paraId="5E27F886">
      <w:pPr>
        <w:spacing w:line="360" w:lineRule="auto"/>
        <w:ind w:left="788" w:hanging="787" w:hangingChars="375"/>
        <w:rPr>
          <w:rFonts w:ascii="宋体" w:hAnsi="宋体"/>
          <w:szCs w:val="21"/>
          <w:highlight w:val="none"/>
        </w:rPr>
      </w:pPr>
      <w:r>
        <w:rPr>
          <w:rFonts w:hint="eastAsia" w:ascii="宋体" w:hAnsi="宋体"/>
          <w:szCs w:val="21"/>
          <w:highlight w:val="none"/>
        </w:rPr>
        <w:t>11.2   货物运抵现场后，买方在合同专用条款规定时间内组织验收，依法</w:t>
      </w:r>
      <w:r>
        <w:rPr>
          <w:rFonts w:ascii="宋体" w:hAnsi="宋体"/>
          <w:szCs w:val="21"/>
          <w:highlight w:val="none"/>
        </w:rPr>
        <w:t>邀请相关方参加</w:t>
      </w:r>
      <w:r>
        <w:rPr>
          <w:rFonts w:hint="eastAsia" w:ascii="宋体" w:hAnsi="宋体"/>
          <w:szCs w:val="21"/>
          <w:highlight w:val="none"/>
        </w:rPr>
        <w:t>。</w:t>
      </w:r>
      <w:r>
        <w:rPr>
          <w:rFonts w:ascii="宋体" w:hAnsi="宋体"/>
          <w:szCs w:val="21"/>
          <w:highlight w:val="none"/>
        </w:rPr>
        <w:t>验收</w:t>
      </w:r>
      <w:r>
        <w:rPr>
          <w:rFonts w:hint="eastAsia" w:ascii="宋体" w:hAnsi="宋体"/>
          <w:szCs w:val="21"/>
          <w:highlight w:val="none"/>
        </w:rPr>
        <w:t>将制作验收备忘录，签署验收书。</w:t>
      </w:r>
    </w:p>
    <w:p w14:paraId="6309A38C">
      <w:pPr>
        <w:spacing w:line="360" w:lineRule="auto"/>
        <w:ind w:left="788" w:hanging="787" w:hangingChars="375"/>
        <w:rPr>
          <w:rFonts w:ascii="宋体" w:hAnsi="宋体"/>
          <w:szCs w:val="21"/>
          <w:highlight w:val="none"/>
        </w:rPr>
      </w:pPr>
      <w:r>
        <w:rPr>
          <w:rFonts w:hint="eastAsia" w:ascii="宋体" w:hAnsi="宋体"/>
          <w:szCs w:val="21"/>
          <w:highlight w:val="none"/>
        </w:rPr>
        <w:t>11.3   买方有在货物制造过程中派员监造的权利</w:t>
      </w:r>
      <w:r>
        <w:rPr>
          <w:rFonts w:ascii="宋体" w:hAnsi="宋体"/>
          <w:szCs w:val="21"/>
          <w:highlight w:val="none"/>
        </w:rPr>
        <w:t xml:space="preserve">, </w:t>
      </w:r>
      <w:r>
        <w:rPr>
          <w:rFonts w:hint="eastAsia" w:ascii="宋体" w:hAnsi="宋体"/>
          <w:szCs w:val="21"/>
          <w:highlight w:val="none"/>
        </w:rPr>
        <w:t>卖方有义务为买方监造人员行使该权利提供方便。</w:t>
      </w:r>
    </w:p>
    <w:p w14:paraId="44A8CD59">
      <w:pPr>
        <w:spacing w:line="360" w:lineRule="auto"/>
        <w:ind w:left="788" w:hanging="787" w:hangingChars="375"/>
        <w:rPr>
          <w:rFonts w:hint="eastAsia" w:ascii="宋体" w:hAnsi="宋体"/>
          <w:szCs w:val="21"/>
          <w:highlight w:val="none"/>
        </w:rPr>
      </w:pPr>
      <w:r>
        <w:rPr>
          <w:rFonts w:hint="eastAsia" w:ascii="宋体" w:hAnsi="宋体"/>
          <w:szCs w:val="21"/>
          <w:highlight w:val="none"/>
        </w:rPr>
        <w:t>11.4   制造厂对所供货物进行机械运转试验和性能试验时，卖方必须提前通知买方。</w:t>
      </w:r>
    </w:p>
    <w:p w14:paraId="0E8CA006">
      <w:pPr>
        <w:outlineLvl w:val="2"/>
        <w:rPr>
          <w:rFonts w:ascii="宋体" w:hAnsi="宋体"/>
          <w:szCs w:val="21"/>
          <w:highlight w:val="none"/>
        </w:rPr>
      </w:pPr>
      <w:bookmarkStart w:id="244" w:name="_Toc21509"/>
      <w:bookmarkStart w:id="245" w:name="_Toc415222508"/>
      <w:bookmarkStart w:id="246" w:name="_Toc31728"/>
      <w:bookmarkStart w:id="247" w:name="_Toc487900361"/>
      <w:r>
        <w:rPr>
          <w:rFonts w:hint="eastAsia" w:ascii="宋体" w:hAnsi="宋体"/>
          <w:szCs w:val="21"/>
          <w:highlight w:val="none"/>
        </w:rPr>
        <w:t>12．   索赔</w:t>
      </w:r>
      <w:bookmarkEnd w:id="244"/>
      <w:bookmarkEnd w:id="245"/>
      <w:bookmarkEnd w:id="246"/>
      <w:bookmarkEnd w:id="247"/>
    </w:p>
    <w:p w14:paraId="4967C057">
      <w:pPr>
        <w:spacing w:line="360" w:lineRule="auto"/>
        <w:ind w:left="788" w:hanging="787" w:hangingChars="375"/>
        <w:rPr>
          <w:rFonts w:ascii="宋体" w:hAnsi="宋体"/>
          <w:szCs w:val="21"/>
          <w:highlight w:val="none"/>
        </w:rPr>
      </w:pPr>
      <w:r>
        <w:rPr>
          <w:rFonts w:hint="eastAsia" w:ascii="宋体" w:hAnsi="宋体"/>
          <w:szCs w:val="21"/>
          <w:highlight w:val="none"/>
        </w:rPr>
        <w:t>12.1   如果货物的质量、规格、数量、重量等与合同不符，或在第10.5规定的质量保证期内证实货物存有缺陷，包括潜在的缺陷或使用不符合要求的材料等，买方有权根据有资质的权威质检机构的检验结果向卖方提出索赔（但责任应由保险公司或运输部门承担的除外）。</w:t>
      </w:r>
    </w:p>
    <w:p w14:paraId="76F656B6">
      <w:pPr>
        <w:spacing w:line="360" w:lineRule="auto"/>
        <w:ind w:left="788" w:hanging="787" w:hangingChars="375"/>
        <w:rPr>
          <w:rFonts w:ascii="宋体" w:hAnsi="宋体"/>
          <w:szCs w:val="21"/>
          <w:highlight w:val="none"/>
        </w:rPr>
      </w:pPr>
      <w:bookmarkStart w:id="248" w:name="_Ref467378076"/>
      <w:r>
        <w:rPr>
          <w:rFonts w:hint="eastAsia" w:ascii="宋体" w:hAnsi="宋体"/>
          <w:szCs w:val="21"/>
          <w:highlight w:val="none"/>
        </w:rPr>
        <w:t>12.2   在根据合同第10条和第11条规定的检验期和质量保证期内，如果卖方对买方提出的索赔负有责任，卖方应按照买方同意的下列一种或多种方式解决索赔事宜：</w:t>
      </w:r>
      <w:bookmarkEnd w:id="248"/>
    </w:p>
    <w:p w14:paraId="31B0D3A5">
      <w:pPr>
        <w:spacing w:line="360" w:lineRule="auto"/>
        <w:ind w:left="788" w:hanging="787" w:hangingChars="375"/>
        <w:rPr>
          <w:rFonts w:hint="eastAsia" w:ascii="宋体" w:hAnsi="宋体"/>
          <w:szCs w:val="21"/>
          <w:highlight w:val="none"/>
        </w:rPr>
      </w:pPr>
      <w:r>
        <w:rPr>
          <w:rFonts w:hint="eastAsia" w:ascii="宋体" w:hAnsi="宋体"/>
          <w:szCs w:val="21"/>
          <w:highlight w:val="none"/>
        </w:rPr>
        <w:t>12.2.1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14:paraId="36A4962A">
      <w:pPr>
        <w:spacing w:line="360" w:lineRule="auto"/>
        <w:ind w:left="788" w:hanging="787" w:hangingChars="375"/>
        <w:rPr>
          <w:rFonts w:hint="eastAsia" w:ascii="宋体" w:hAnsi="宋体"/>
          <w:szCs w:val="21"/>
          <w:highlight w:val="none"/>
        </w:rPr>
      </w:pPr>
      <w:r>
        <w:rPr>
          <w:rFonts w:hint="eastAsia" w:ascii="宋体" w:hAnsi="宋体"/>
          <w:szCs w:val="21"/>
          <w:highlight w:val="none"/>
        </w:rPr>
        <w:t>12.2.2  根据货物低劣程度、损坏程度以及买方所遭受损失的数额，经买卖双方商定降低货物的价格，或由有权的部门评估，以降低后的价格或评估价格为准。</w:t>
      </w:r>
    </w:p>
    <w:p w14:paraId="5F0E2186">
      <w:pPr>
        <w:spacing w:line="360" w:lineRule="auto"/>
        <w:ind w:left="788" w:hanging="787" w:hangingChars="375"/>
        <w:rPr>
          <w:rFonts w:ascii="宋体" w:hAnsi="宋体"/>
          <w:szCs w:val="21"/>
          <w:highlight w:val="none"/>
        </w:rPr>
      </w:pPr>
      <w:r>
        <w:rPr>
          <w:rFonts w:hint="eastAsia" w:ascii="宋体" w:hAnsi="宋体"/>
          <w:szCs w:val="21"/>
          <w:highlight w:val="none"/>
        </w:rPr>
        <w:t>12.2.3  用符合规格、质量和性能要求的新零件、部件或货物来更换有缺陷的部分或／和修补缺陷部分，卖方应承担一切费用和风险并负担买方所发生的一切直接费用。同时，卖方应按合同第</w:t>
      </w:r>
      <w:r>
        <w:rPr>
          <w:rFonts w:ascii="宋体" w:hAnsi="宋体"/>
          <w:szCs w:val="21"/>
          <w:highlight w:val="none"/>
        </w:rPr>
        <w:t>10</w:t>
      </w:r>
      <w:r>
        <w:rPr>
          <w:rFonts w:hint="eastAsia" w:ascii="宋体" w:hAnsi="宋体"/>
          <w:szCs w:val="21"/>
          <w:highlight w:val="none"/>
        </w:rPr>
        <w:t>条规定，相应延长修补或更换件的质量保证期。</w:t>
      </w:r>
    </w:p>
    <w:p w14:paraId="2FFAE92A">
      <w:pPr>
        <w:spacing w:line="360" w:lineRule="auto"/>
        <w:ind w:left="788" w:hanging="787" w:hangingChars="375"/>
        <w:rPr>
          <w:rFonts w:ascii="宋体" w:hAnsi="宋体"/>
          <w:szCs w:val="21"/>
          <w:highlight w:val="none"/>
        </w:rPr>
      </w:pPr>
      <w:r>
        <w:rPr>
          <w:rFonts w:hint="eastAsia" w:ascii="宋体" w:hAnsi="宋体"/>
          <w:szCs w:val="21"/>
          <w:highlight w:val="none"/>
        </w:rPr>
        <w:t>12.3    如果在买方发出索赔通知后，卖方在合同专用条款规定时间内未作答复，上述索赔应视为已被卖方接受。买方将按照本合同第12.2条规定解决索赔事宜，买方将从合同款或从卖方开具的履约保证金保函中扣回索赔金额。如果这些金额不足以补偿索赔金额，买方有权向卖方提出不足部分的补偿。</w:t>
      </w:r>
    </w:p>
    <w:p w14:paraId="70752331">
      <w:pPr>
        <w:outlineLvl w:val="2"/>
        <w:rPr>
          <w:rFonts w:ascii="宋体" w:hAnsi="宋体"/>
          <w:szCs w:val="21"/>
          <w:highlight w:val="none"/>
        </w:rPr>
      </w:pPr>
      <w:bookmarkStart w:id="249" w:name="_Toc487900362"/>
      <w:bookmarkStart w:id="250" w:name="_Toc415222509"/>
      <w:bookmarkStart w:id="251" w:name="_Toc31482"/>
      <w:bookmarkStart w:id="252" w:name="_Toc15086"/>
      <w:r>
        <w:rPr>
          <w:rFonts w:hint="eastAsia" w:ascii="宋体" w:hAnsi="宋体"/>
          <w:szCs w:val="21"/>
          <w:highlight w:val="none"/>
        </w:rPr>
        <w:t>13．    延迟交货</w:t>
      </w:r>
      <w:bookmarkEnd w:id="249"/>
      <w:bookmarkEnd w:id="250"/>
      <w:bookmarkEnd w:id="251"/>
      <w:bookmarkEnd w:id="252"/>
    </w:p>
    <w:p w14:paraId="2560150E">
      <w:pPr>
        <w:spacing w:line="360" w:lineRule="auto"/>
        <w:ind w:left="840" w:hanging="840" w:hangingChars="400"/>
        <w:rPr>
          <w:rFonts w:ascii="宋体" w:hAnsi="宋体"/>
          <w:szCs w:val="21"/>
          <w:highlight w:val="none"/>
        </w:rPr>
      </w:pPr>
      <w:r>
        <w:rPr>
          <w:rFonts w:hint="eastAsia" w:ascii="宋体" w:hAnsi="宋体"/>
          <w:szCs w:val="21"/>
          <w:highlight w:val="none"/>
        </w:rPr>
        <w:t>13.1    卖方应按照“货物需求一览表及技术规格”中买方规定的时间表交货和提供服务。</w:t>
      </w:r>
    </w:p>
    <w:p w14:paraId="22CFC361">
      <w:pPr>
        <w:spacing w:line="360" w:lineRule="auto"/>
        <w:ind w:left="788" w:hanging="787" w:hangingChars="375"/>
        <w:rPr>
          <w:rFonts w:ascii="宋体" w:hAnsi="宋体"/>
          <w:szCs w:val="21"/>
          <w:highlight w:val="none"/>
        </w:rPr>
      </w:pPr>
      <w:r>
        <w:rPr>
          <w:rFonts w:hint="eastAsia" w:ascii="宋体" w:hAnsi="宋体"/>
          <w:szCs w:val="21"/>
          <w:highlight w:val="none"/>
        </w:rPr>
        <w:t>13.2    如果卖方无正当理由迟延交货，买方有权提出违约损失赔偿或解除合同。</w:t>
      </w:r>
    </w:p>
    <w:p w14:paraId="0D541779">
      <w:pPr>
        <w:spacing w:line="360" w:lineRule="auto"/>
        <w:ind w:left="840" w:hanging="840" w:hangingChars="400"/>
        <w:rPr>
          <w:rFonts w:ascii="宋体" w:hAnsi="宋体"/>
          <w:szCs w:val="21"/>
          <w:highlight w:val="none"/>
        </w:rPr>
      </w:pPr>
      <w:r>
        <w:rPr>
          <w:rFonts w:hint="eastAsia" w:ascii="宋体" w:hAnsi="宋体"/>
          <w:szCs w:val="21"/>
          <w:highlight w:val="none"/>
        </w:rPr>
        <w:t>13.3    在履行合同过程中，如果卖方遇到不能按时交货和提供服务的情况，应及时以书面形式将不能按时交货的理由、预期延误时间通知买方。买方收到卖方通知后，认为其理由正当的，可酌情延长交货时间。</w:t>
      </w:r>
    </w:p>
    <w:p w14:paraId="0582B33F">
      <w:pPr>
        <w:outlineLvl w:val="2"/>
        <w:rPr>
          <w:rFonts w:ascii="宋体" w:hAnsi="宋体"/>
          <w:szCs w:val="21"/>
          <w:highlight w:val="none"/>
        </w:rPr>
      </w:pPr>
      <w:bookmarkStart w:id="253" w:name="_Toc3725"/>
      <w:bookmarkStart w:id="254" w:name="_Toc19929"/>
      <w:bookmarkStart w:id="255" w:name="_Toc487900363"/>
      <w:bookmarkStart w:id="256" w:name="_Toc415222510"/>
      <w:r>
        <w:rPr>
          <w:rFonts w:hint="eastAsia" w:ascii="宋体" w:hAnsi="宋体"/>
          <w:szCs w:val="21"/>
          <w:highlight w:val="none"/>
        </w:rPr>
        <w:t>14．   违约赔偿</w:t>
      </w:r>
      <w:bookmarkEnd w:id="253"/>
      <w:bookmarkEnd w:id="254"/>
      <w:bookmarkEnd w:id="255"/>
      <w:bookmarkEnd w:id="256"/>
    </w:p>
    <w:p w14:paraId="63244CAE">
      <w:pPr>
        <w:spacing w:line="360" w:lineRule="auto"/>
        <w:ind w:left="628" w:leftChars="-1" w:hanging="630" w:hangingChars="300"/>
        <w:rPr>
          <w:rFonts w:ascii="宋体" w:hAnsi="宋体"/>
          <w:szCs w:val="21"/>
          <w:highlight w:val="none"/>
        </w:rPr>
      </w:pPr>
      <w:r>
        <w:rPr>
          <w:rFonts w:hint="eastAsia" w:ascii="宋体" w:hAnsi="宋体"/>
          <w:szCs w:val="21"/>
          <w:highlight w:val="none"/>
        </w:rPr>
        <w:t>14.1   除合同第15条规定外，如果卖方没有按照合同规定的时间交货和提供服务，买方可要求卖方支付违约金。违约金按每周迟交货物或未提供服务交货价的</w:t>
      </w:r>
      <w:r>
        <w:rPr>
          <w:rFonts w:ascii="宋体" w:hAnsi="宋体"/>
          <w:szCs w:val="21"/>
          <w:highlight w:val="none"/>
        </w:rPr>
        <w:t>0.5%</w:t>
      </w:r>
      <w:r>
        <w:rPr>
          <w:rFonts w:hint="eastAsia" w:ascii="宋体" w:hAnsi="宋体"/>
          <w:szCs w:val="21"/>
          <w:highlight w:val="none"/>
        </w:rPr>
        <w:t>计收。一周按７天计算，不足７天按一周计算。如果达到最高限额，买方有权解除合同。违约金的最高限额为迟交货物或没有提供服务的合同价的</w:t>
      </w:r>
      <w:r>
        <w:rPr>
          <w:rFonts w:ascii="宋体" w:hAnsi="宋体"/>
          <w:szCs w:val="21"/>
          <w:highlight w:val="none"/>
        </w:rPr>
        <w:t>5%</w:t>
      </w:r>
      <w:r>
        <w:rPr>
          <w:rFonts w:hint="eastAsia" w:ascii="宋体" w:hAnsi="宋体"/>
          <w:szCs w:val="21"/>
          <w:highlight w:val="none"/>
        </w:rPr>
        <w:t>。</w:t>
      </w:r>
    </w:p>
    <w:p w14:paraId="536CD531">
      <w:pPr>
        <w:outlineLvl w:val="2"/>
        <w:rPr>
          <w:rFonts w:ascii="宋体" w:hAnsi="宋体"/>
          <w:szCs w:val="21"/>
          <w:highlight w:val="none"/>
        </w:rPr>
      </w:pPr>
      <w:bookmarkStart w:id="257" w:name="_Toc6322"/>
      <w:bookmarkStart w:id="258" w:name="_Toc487900364"/>
      <w:bookmarkStart w:id="259" w:name="_Toc415222511"/>
      <w:bookmarkStart w:id="260" w:name="_Toc22040"/>
      <w:bookmarkStart w:id="261" w:name="_Ref467378121"/>
      <w:r>
        <w:rPr>
          <w:rFonts w:hint="eastAsia" w:ascii="宋体" w:hAnsi="宋体"/>
          <w:szCs w:val="21"/>
          <w:highlight w:val="none"/>
        </w:rPr>
        <w:t>15．   不可抗力</w:t>
      </w:r>
      <w:bookmarkEnd w:id="257"/>
      <w:bookmarkEnd w:id="258"/>
      <w:bookmarkEnd w:id="259"/>
      <w:bookmarkEnd w:id="260"/>
      <w:bookmarkEnd w:id="261"/>
    </w:p>
    <w:p w14:paraId="4EB8AD89">
      <w:pPr>
        <w:spacing w:line="360" w:lineRule="auto"/>
        <w:ind w:left="735" w:hanging="735" w:hangingChars="350"/>
        <w:rPr>
          <w:rFonts w:ascii="宋体" w:hAnsi="宋体"/>
          <w:szCs w:val="21"/>
          <w:highlight w:val="none"/>
        </w:rPr>
      </w:pPr>
      <w:r>
        <w:rPr>
          <w:rFonts w:hint="eastAsia" w:ascii="宋体" w:hAnsi="宋体"/>
          <w:szCs w:val="21"/>
          <w:highlight w:val="none"/>
        </w:rPr>
        <w:t>15.1   如果双方中任何一方遭遇法律规定的不可抗力，致使合同履行受阻时，履行合同的期限应予延长，延长的期限应相当于不可抗力所影响的时间。</w:t>
      </w:r>
    </w:p>
    <w:p w14:paraId="7DF2AF6D">
      <w:pPr>
        <w:spacing w:line="360" w:lineRule="auto"/>
        <w:ind w:left="735" w:hanging="735" w:hangingChars="350"/>
        <w:rPr>
          <w:rFonts w:hint="eastAsia" w:ascii="宋体" w:hAnsi="宋体"/>
          <w:szCs w:val="21"/>
          <w:highlight w:val="none"/>
        </w:rPr>
      </w:pPr>
      <w:r>
        <w:rPr>
          <w:rFonts w:hint="eastAsia" w:ascii="宋体" w:hAnsi="宋体"/>
          <w:szCs w:val="21"/>
          <w:highlight w:val="none"/>
        </w:rPr>
        <w:t>15.2   受事故影响的一方应在不可抗力的事故发生后尽快书面形式通知另一方，并在合同专用条款规定时间内，将有关部门出具的证明文件送达另一方。</w:t>
      </w:r>
    </w:p>
    <w:p w14:paraId="47BBE10A">
      <w:pPr>
        <w:spacing w:line="360" w:lineRule="auto"/>
        <w:ind w:left="735" w:hanging="735" w:hangingChars="350"/>
        <w:rPr>
          <w:rFonts w:ascii="宋体" w:hAnsi="宋体"/>
          <w:szCs w:val="21"/>
          <w:highlight w:val="none"/>
        </w:rPr>
      </w:pPr>
      <w:r>
        <w:rPr>
          <w:rFonts w:hint="eastAsia" w:ascii="宋体" w:hAnsi="宋体"/>
          <w:szCs w:val="21"/>
          <w:highlight w:val="none"/>
        </w:rPr>
        <w:t>15.3   不可抗力使合同的某些内容有变更必要的，</w:t>
      </w:r>
      <w:r>
        <w:rPr>
          <w:rFonts w:ascii="宋体" w:hAnsi="宋体"/>
          <w:szCs w:val="21"/>
          <w:highlight w:val="none"/>
        </w:rPr>
        <w:t xml:space="preserve"> </w:t>
      </w:r>
      <w:r>
        <w:rPr>
          <w:rFonts w:hint="eastAsia" w:ascii="宋体" w:hAnsi="宋体"/>
          <w:szCs w:val="21"/>
          <w:highlight w:val="none"/>
        </w:rPr>
        <w:t>双方应在合同专用条款规定时间内达成进一步履行合同的协议。因不可抗力致使合同不能履行的，合同终止。</w:t>
      </w:r>
    </w:p>
    <w:p w14:paraId="57D8C6FF">
      <w:pPr>
        <w:outlineLvl w:val="2"/>
        <w:rPr>
          <w:rFonts w:ascii="宋体" w:hAnsi="宋体"/>
          <w:szCs w:val="21"/>
          <w:highlight w:val="none"/>
        </w:rPr>
      </w:pPr>
      <w:bookmarkStart w:id="262" w:name="_Toc487900365"/>
      <w:bookmarkStart w:id="263" w:name="_Toc1755"/>
      <w:bookmarkStart w:id="264" w:name="_Toc415222512"/>
      <w:bookmarkStart w:id="265" w:name="_Toc29320"/>
      <w:r>
        <w:rPr>
          <w:rFonts w:hint="eastAsia" w:ascii="宋体" w:hAnsi="宋体"/>
          <w:szCs w:val="21"/>
          <w:highlight w:val="none"/>
        </w:rPr>
        <w:t>16．   税费</w:t>
      </w:r>
      <w:bookmarkEnd w:id="262"/>
      <w:bookmarkEnd w:id="263"/>
      <w:bookmarkEnd w:id="264"/>
      <w:bookmarkEnd w:id="265"/>
    </w:p>
    <w:p w14:paraId="520A857D">
      <w:pPr>
        <w:spacing w:line="360" w:lineRule="auto"/>
        <w:ind w:left="788" w:hanging="787" w:hangingChars="375"/>
        <w:rPr>
          <w:rFonts w:ascii="宋体" w:hAnsi="宋体"/>
          <w:szCs w:val="21"/>
          <w:highlight w:val="none"/>
        </w:rPr>
      </w:pPr>
      <w:r>
        <w:rPr>
          <w:rFonts w:hint="eastAsia" w:ascii="宋体" w:hAnsi="宋体"/>
          <w:szCs w:val="21"/>
          <w:highlight w:val="none"/>
        </w:rPr>
        <w:t>16.1   与本合同有关的一切税费均适用中华人民共和国法律的相关规定。</w:t>
      </w:r>
    </w:p>
    <w:p w14:paraId="768048DC">
      <w:pPr>
        <w:outlineLvl w:val="2"/>
        <w:rPr>
          <w:rFonts w:ascii="宋体" w:hAnsi="宋体"/>
          <w:szCs w:val="21"/>
          <w:highlight w:val="none"/>
        </w:rPr>
      </w:pPr>
      <w:bookmarkStart w:id="266" w:name="_Hlt487900425"/>
      <w:bookmarkEnd w:id="266"/>
      <w:bookmarkStart w:id="267" w:name="_Toc487900366"/>
      <w:bookmarkStart w:id="268" w:name="_Toc21788"/>
      <w:bookmarkStart w:id="269" w:name="_Toc17669"/>
      <w:bookmarkStart w:id="270" w:name="_Toc415222513"/>
      <w:r>
        <w:rPr>
          <w:rFonts w:hint="eastAsia" w:ascii="宋体" w:hAnsi="宋体"/>
          <w:szCs w:val="21"/>
          <w:highlight w:val="none"/>
        </w:rPr>
        <w:t xml:space="preserve">17．   </w:t>
      </w:r>
      <w:bookmarkEnd w:id="267"/>
      <w:r>
        <w:rPr>
          <w:rFonts w:hint="eastAsia" w:ascii="宋体" w:hAnsi="宋体"/>
          <w:szCs w:val="21"/>
          <w:highlight w:val="none"/>
        </w:rPr>
        <w:t>合同争议的解决</w:t>
      </w:r>
      <w:bookmarkEnd w:id="268"/>
      <w:bookmarkEnd w:id="269"/>
      <w:bookmarkEnd w:id="270"/>
    </w:p>
    <w:p w14:paraId="2AE6E8A1">
      <w:pPr>
        <w:spacing w:line="360" w:lineRule="auto"/>
        <w:ind w:left="735" w:hanging="735" w:hangingChars="350"/>
        <w:rPr>
          <w:rFonts w:ascii="宋体" w:hAnsi="宋体"/>
          <w:szCs w:val="21"/>
          <w:highlight w:val="none"/>
        </w:rPr>
      </w:pPr>
      <w:r>
        <w:rPr>
          <w:rFonts w:hint="eastAsia" w:ascii="宋体" w:hAnsi="宋体"/>
          <w:szCs w:val="21"/>
          <w:highlight w:val="none"/>
        </w:rPr>
        <w:t>17.1   因合同履行中发生的争议，合同当事人双方可通过协商解决。协商不成的，可提请扬州仲裁委员会仲裁或向人民法院提起诉讼。</w:t>
      </w:r>
    </w:p>
    <w:p w14:paraId="57BD8773">
      <w:pPr>
        <w:spacing w:line="360" w:lineRule="auto"/>
        <w:ind w:left="735" w:hanging="735" w:hangingChars="350"/>
        <w:rPr>
          <w:rFonts w:ascii="宋体" w:hAnsi="宋体"/>
          <w:szCs w:val="21"/>
          <w:highlight w:val="none"/>
        </w:rPr>
      </w:pPr>
      <w:r>
        <w:rPr>
          <w:rFonts w:hint="eastAsia" w:ascii="宋体" w:hAnsi="宋体"/>
          <w:szCs w:val="21"/>
          <w:highlight w:val="none"/>
        </w:rPr>
        <w:t>17.2   仲裁裁决应为最终裁决，当事人一方在规定时间内不履行仲裁机构裁决的，另一方可以申请人民法院强制执行。</w:t>
      </w:r>
    </w:p>
    <w:p w14:paraId="17530942">
      <w:pPr>
        <w:spacing w:line="360" w:lineRule="auto"/>
        <w:ind w:left="788" w:hanging="787" w:hangingChars="375"/>
        <w:rPr>
          <w:rFonts w:hint="eastAsia" w:ascii="宋体" w:hAnsi="宋体"/>
          <w:szCs w:val="21"/>
          <w:highlight w:val="none"/>
        </w:rPr>
      </w:pPr>
      <w:r>
        <w:rPr>
          <w:rFonts w:hint="eastAsia" w:ascii="宋体" w:hAnsi="宋体"/>
          <w:szCs w:val="21"/>
          <w:highlight w:val="none"/>
        </w:rPr>
        <w:t>17.3   仲裁费用和诉讼费用除仲裁机构另有裁决外，应由败诉方负担。</w:t>
      </w:r>
    </w:p>
    <w:p w14:paraId="72490B6B">
      <w:pPr>
        <w:outlineLvl w:val="2"/>
        <w:rPr>
          <w:rFonts w:ascii="宋体" w:hAnsi="宋体"/>
          <w:szCs w:val="21"/>
          <w:highlight w:val="none"/>
        </w:rPr>
      </w:pPr>
      <w:bookmarkStart w:id="271" w:name="_Toc415222514"/>
      <w:bookmarkStart w:id="272" w:name="_Toc487900367"/>
      <w:bookmarkStart w:id="273" w:name="_Toc9543"/>
      <w:bookmarkStart w:id="274" w:name="_Toc16231"/>
      <w:r>
        <w:rPr>
          <w:rFonts w:hint="eastAsia" w:ascii="宋体" w:hAnsi="宋体"/>
          <w:szCs w:val="21"/>
          <w:highlight w:val="none"/>
        </w:rPr>
        <w:t>18．   违约解除合同</w:t>
      </w:r>
      <w:bookmarkEnd w:id="271"/>
      <w:bookmarkEnd w:id="272"/>
      <w:bookmarkEnd w:id="273"/>
      <w:bookmarkEnd w:id="274"/>
    </w:p>
    <w:p w14:paraId="1727D270">
      <w:pPr>
        <w:spacing w:line="360" w:lineRule="auto"/>
        <w:ind w:left="735" w:hanging="735" w:hangingChars="350"/>
        <w:rPr>
          <w:rFonts w:ascii="宋体" w:hAnsi="宋体"/>
          <w:szCs w:val="21"/>
          <w:highlight w:val="none"/>
        </w:rPr>
      </w:pPr>
      <w:bookmarkStart w:id="275" w:name="_Ref467378234"/>
      <w:r>
        <w:rPr>
          <w:rFonts w:hint="eastAsia" w:ascii="宋体" w:hAnsi="宋体"/>
          <w:szCs w:val="21"/>
          <w:highlight w:val="none"/>
        </w:rPr>
        <w:t>18.1   在卖方违约或出现下列情形的情况下，买方可向卖方发出书面通知，部分或全部终止合同，同时保留向卖方追诉的权利。</w:t>
      </w:r>
      <w:bookmarkEnd w:id="275"/>
    </w:p>
    <w:p w14:paraId="490D80FE">
      <w:pPr>
        <w:spacing w:line="360" w:lineRule="auto"/>
        <w:ind w:left="788" w:hanging="787" w:hangingChars="375"/>
        <w:rPr>
          <w:rFonts w:ascii="宋体" w:hAnsi="宋体"/>
          <w:szCs w:val="21"/>
          <w:highlight w:val="none"/>
        </w:rPr>
      </w:pPr>
      <w:r>
        <w:rPr>
          <w:rFonts w:hint="eastAsia" w:ascii="宋体" w:hAnsi="宋体"/>
          <w:szCs w:val="21"/>
          <w:highlight w:val="none"/>
        </w:rPr>
        <w:t>18.1.1  卖方未能在合同规定的限期或买方同意延长的限期内，提供全部或部分货物,按合同第18.1的规定可以解除合同的；</w:t>
      </w:r>
      <w:r>
        <w:rPr>
          <w:rFonts w:ascii="宋体" w:hAnsi="宋体"/>
          <w:szCs w:val="21"/>
          <w:highlight w:val="none"/>
        </w:rPr>
        <w:t xml:space="preserve"> </w:t>
      </w:r>
    </w:p>
    <w:p w14:paraId="6A666AC5">
      <w:pPr>
        <w:spacing w:line="360" w:lineRule="auto"/>
        <w:ind w:left="788" w:hanging="787" w:hangingChars="375"/>
        <w:rPr>
          <w:rFonts w:ascii="宋体" w:hAnsi="宋体"/>
          <w:szCs w:val="21"/>
          <w:highlight w:val="none"/>
        </w:rPr>
      </w:pPr>
      <w:r>
        <w:rPr>
          <w:rFonts w:hint="eastAsia" w:ascii="宋体" w:hAnsi="宋体"/>
          <w:szCs w:val="21"/>
          <w:highlight w:val="none"/>
        </w:rPr>
        <w:t>18.1.2  卖方未能履行合同规定的其它主要义务的；</w:t>
      </w:r>
    </w:p>
    <w:p w14:paraId="5D17044B">
      <w:pPr>
        <w:spacing w:line="360" w:lineRule="auto"/>
        <w:ind w:left="788" w:hanging="787" w:hangingChars="375"/>
        <w:rPr>
          <w:rFonts w:ascii="宋体" w:hAnsi="宋体"/>
          <w:szCs w:val="21"/>
          <w:highlight w:val="none"/>
        </w:rPr>
      </w:pPr>
      <w:r>
        <w:rPr>
          <w:rFonts w:hint="eastAsia" w:ascii="宋体" w:hAnsi="宋体"/>
          <w:szCs w:val="21"/>
          <w:highlight w:val="none"/>
        </w:rPr>
        <w:t>18.1.3  在本合同履行过程中有腐败和欺诈行为的。</w:t>
      </w:r>
    </w:p>
    <w:p w14:paraId="6B13147D">
      <w:pPr>
        <w:spacing w:line="360" w:lineRule="auto"/>
        <w:ind w:left="788" w:hanging="787" w:hangingChars="375"/>
        <w:rPr>
          <w:rFonts w:ascii="宋体" w:hAnsi="宋体"/>
          <w:szCs w:val="21"/>
          <w:highlight w:val="none"/>
        </w:rPr>
      </w:pPr>
      <w:r>
        <w:rPr>
          <w:rFonts w:hint="eastAsia" w:ascii="宋体" w:hAnsi="宋体"/>
          <w:szCs w:val="21"/>
          <w:highlight w:val="none"/>
        </w:rPr>
        <w:t xml:space="preserve">18.1.3.1 </w:t>
      </w:r>
      <w:r>
        <w:rPr>
          <w:rFonts w:ascii="宋体" w:hAnsi="宋体"/>
          <w:szCs w:val="21"/>
          <w:highlight w:val="none"/>
        </w:rPr>
        <w:t>“</w:t>
      </w:r>
      <w:r>
        <w:rPr>
          <w:rFonts w:hint="eastAsia" w:ascii="宋体" w:hAnsi="宋体"/>
          <w:szCs w:val="21"/>
          <w:highlight w:val="none"/>
        </w:rPr>
        <w:t>腐败行为”和“欺诈行为”定义如下</w:t>
      </w:r>
      <w:r>
        <w:rPr>
          <w:rFonts w:ascii="宋体" w:hAnsi="宋体"/>
          <w:szCs w:val="21"/>
          <w:highlight w:val="none"/>
        </w:rPr>
        <w:t>:</w:t>
      </w:r>
    </w:p>
    <w:p w14:paraId="2B39C976">
      <w:pPr>
        <w:spacing w:line="360" w:lineRule="auto"/>
        <w:ind w:left="1208" w:hanging="1207" w:hangingChars="575"/>
        <w:rPr>
          <w:rFonts w:ascii="宋体" w:hAnsi="宋体"/>
          <w:szCs w:val="21"/>
          <w:highlight w:val="none"/>
        </w:rPr>
      </w:pPr>
      <w:r>
        <w:rPr>
          <w:rFonts w:hint="eastAsia" w:ascii="宋体" w:hAnsi="宋体"/>
          <w:szCs w:val="21"/>
          <w:highlight w:val="none"/>
        </w:rPr>
        <w:t>18.1.3.1.1</w:t>
      </w:r>
      <w:r>
        <w:rPr>
          <w:rFonts w:ascii="宋体" w:hAnsi="宋体"/>
          <w:szCs w:val="21"/>
          <w:highlight w:val="none"/>
        </w:rPr>
        <w:t>“</w:t>
      </w:r>
      <w:r>
        <w:rPr>
          <w:rFonts w:hint="eastAsia" w:ascii="宋体" w:hAnsi="宋体"/>
          <w:szCs w:val="21"/>
          <w:highlight w:val="none"/>
        </w:rPr>
        <w:t>腐败行为”是指提供</w:t>
      </w:r>
      <w:r>
        <w:rPr>
          <w:rFonts w:ascii="宋体" w:hAnsi="宋体"/>
          <w:szCs w:val="21"/>
          <w:highlight w:val="none"/>
        </w:rPr>
        <w:t>/</w:t>
      </w:r>
      <w:r>
        <w:rPr>
          <w:rFonts w:hint="eastAsia" w:ascii="宋体" w:hAnsi="宋体"/>
          <w:szCs w:val="21"/>
          <w:highlight w:val="none"/>
        </w:rPr>
        <w:t>给予</w:t>
      </w:r>
      <w:r>
        <w:rPr>
          <w:rFonts w:ascii="宋体" w:hAnsi="宋体"/>
          <w:szCs w:val="21"/>
          <w:highlight w:val="none"/>
        </w:rPr>
        <w:t>/</w:t>
      </w:r>
      <w:r>
        <w:rPr>
          <w:rFonts w:hint="eastAsia" w:ascii="宋体" w:hAnsi="宋体"/>
          <w:szCs w:val="21"/>
          <w:highlight w:val="none"/>
        </w:rPr>
        <w:t>接受或索取任何有价值的东西来影响买方在合同签订、履行过程中的行为。</w:t>
      </w:r>
    </w:p>
    <w:p w14:paraId="19DC5CE2">
      <w:pPr>
        <w:spacing w:line="360" w:lineRule="auto"/>
        <w:ind w:left="1208" w:hanging="1207" w:hangingChars="575"/>
        <w:rPr>
          <w:rFonts w:ascii="宋体" w:hAnsi="宋体"/>
          <w:szCs w:val="21"/>
          <w:highlight w:val="none"/>
        </w:rPr>
      </w:pPr>
      <w:r>
        <w:rPr>
          <w:rFonts w:hint="eastAsia" w:ascii="宋体" w:hAnsi="宋体"/>
          <w:szCs w:val="21"/>
          <w:highlight w:val="none"/>
        </w:rPr>
        <w:t>18.1.3.1.2</w:t>
      </w:r>
      <w:r>
        <w:rPr>
          <w:rFonts w:ascii="宋体" w:hAnsi="宋体"/>
          <w:szCs w:val="21"/>
          <w:highlight w:val="none"/>
        </w:rPr>
        <w:t>“</w:t>
      </w:r>
      <w:r>
        <w:rPr>
          <w:rFonts w:hint="eastAsia" w:ascii="宋体" w:hAnsi="宋体"/>
          <w:szCs w:val="21"/>
          <w:highlight w:val="none"/>
        </w:rPr>
        <w:t>欺诈行为”是指为了影响合同签订、履行过程，以谎报事实的方法，损害买方的利益的行为。</w:t>
      </w:r>
    </w:p>
    <w:p w14:paraId="22BCE591">
      <w:pPr>
        <w:spacing w:line="360" w:lineRule="auto"/>
        <w:ind w:left="788" w:hanging="787" w:hangingChars="375"/>
        <w:rPr>
          <w:rFonts w:ascii="宋体" w:hAnsi="宋体"/>
          <w:szCs w:val="21"/>
          <w:highlight w:val="none"/>
        </w:rPr>
      </w:pPr>
      <w:r>
        <w:rPr>
          <w:rFonts w:hint="eastAsia" w:ascii="宋体" w:hAnsi="宋体"/>
          <w:szCs w:val="21"/>
          <w:highlight w:val="none"/>
        </w:rPr>
        <w:t>18.2    在买方根据上述第18.1条规定，全部或部分解除合同之后，应当遵循诚实信用原则，全部或部分购买与未交付的货物类似的货物或服务，卖方应承担买方购买类似货物或服务而产生的额外支出。部分解除合同的，卖方应继续履行合同中未解除的部分。</w:t>
      </w:r>
    </w:p>
    <w:p w14:paraId="283831F8">
      <w:pPr>
        <w:outlineLvl w:val="2"/>
        <w:rPr>
          <w:rFonts w:ascii="宋体" w:hAnsi="宋体"/>
          <w:szCs w:val="21"/>
          <w:highlight w:val="none"/>
        </w:rPr>
      </w:pPr>
      <w:bookmarkStart w:id="276" w:name="_Toc23904"/>
      <w:bookmarkStart w:id="277" w:name="_Toc487900368"/>
      <w:bookmarkStart w:id="278" w:name="_Toc415222515"/>
      <w:bookmarkStart w:id="279" w:name="_Toc22065"/>
      <w:r>
        <w:rPr>
          <w:rFonts w:hint="eastAsia" w:ascii="宋体" w:hAnsi="宋体"/>
          <w:szCs w:val="21"/>
          <w:highlight w:val="none"/>
        </w:rPr>
        <w:t>19．   破产终止合同</w:t>
      </w:r>
      <w:bookmarkEnd w:id="276"/>
      <w:bookmarkEnd w:id="277"/>
      <w:bookmarkEnd w:id="278"/>
      <w:bookmarkEnd w:id="279"/>
    </w:p>
    <w:p w14:paraId="40C3E223">
      <w:pPr>
        <w:spacing w:line="360" w:lineRule="auto"/>
        <w:ind w:left="788" w:hanging="787" w:hangingChars="375"/>
        <w:rPr>
          <w:rFonts w:ascii="宋体" w:hAnsi="宋体"/>
          <w:szCs w:val="21"/>
          <w:highlight w:val="none"/>
        </w:rPr>
      </w:pPr>
      <w:r>
        <w:rPr>
          <w:rFonts w:hint="eastAsia" w:ascii="宋体" w:hAnsi="宋体"/>
          <w:szCs w:val="21"/>
          <w:highlight w:val="none"/>
        </w:rPr>
        <w:t>19.1   如果卖方破产导致合同无法履行时，买方可以书面形式通知卖方，单方终止合同而不给卖方补偿。但买方必须以书面形式告知同级采购监督管理部门。该合同的终止将不损害或不影响买方已经采取或将要采取的任何行动或补救措施的权利。</w:t>
      </w:r>
    </w:p>
    <w:p w14:paraId="1E638FA1">
      <w:pPr>
        <w:outlineLvl w:val="2"/>
        <w:rPr>
          <w:rFonts w:ascii="宋体" w:hAnsi="宋体"/>
          <w:bCs/>
          <w:szCs w:val="21"/>
          <w:highlight w:val="none"/>
        </w:rPr>
      </w:pPr>
      <w:bookmarkStart w:id="280" w:name="_Toc10385"/>
      <w:bookmarkStart w:id="281" w:name="_Toc29725"/>
      <w:bookmarkStart w:id="282" w:name="_Toc415222516"/>
      <w:bookmarkStart w:id="283" w:name="_Toc487900369"/>
      <w:r>
        <w:rPr>
          <w:rFonts w:hint="eastAsia" w:ascii="宋体" w:hAnsi="宋体"/>
          <w:bCs/>
          <w:szCs w:val="21"/>
          <w:highlight w:val="none"/>
        </w:rPr>
        <w:t>20</w:t>
      </w:r>
      <w:r>
        <w:rPr>
          <w:rFonts w:hint="eastAsia" w:ascii="宋体" w:hAnsi="宋体"/>
          <w:szCs w:val="21"/>
          <w:highlight w:val="none"/>
        </w:rPr>
        <w:t>．</w:t>
      </w:r>
      <w:r>
        <w:rPr>
          <w:rFonts w:hint="eastAsia" w:ascii="宋体" w:hAnsi="宋体"/>
          <w:bCs/>
          <w:szCs w:val="21"/>
          <w:highlight w:val="none"/>
        </w:rPr>
        <w:t xml:space="preserve">   转让和分包</w:t>
      </w:r>
      <w:bookmarkEnd w:id="280"/>
      <w:bookmarkEnd w:id="281"/>
      <w:bookmarkEnd w:id="282"/>
      <w:bookmarkEnd w:id="283"/>
    </w:p>
    <w:p w14:paraId="26271947">
      <w:pPr>
        <w:spacing w:line="360" w:lineRule="auto"/>
        <w:ind w:left="788" w:hanging="787" w:hangingChars="375"/>
        <w:rPr>
          <w:rFonts w:hint="eastAsia" w:ascii="宋体" w:hAnsi="宋体"/>
          <w:szCs w:val="21"/>
          <w:highlight w:val="none"/>
        </w:rPr>
      </w:pPr>
      <w:r>
        <w:rPr>
          <w:rFonts w:hint="eastAsia" w:ascii="宋体" w:hAnsi="宋体"/>
          <w:szCs w:val="21"/>
          <w:highlight w:val="none"/>
        </w:rPr>
        <w:t>20.1   采购合同不能整体转让。</w:t>
      </w:r>
    </w:p>
    <w:p w14:paraId="70486751">
      <w:pPr>
        <w:spacing w:line="360" w:lineRule="auto"/>
        <w:ind w:left="735" w:hanging="735" w:hangingChars="350"/>
        <w:rPr>
          <w:rFonts w:ascii="宋体" w:hAnsi="宋体"/>
          <w:szCs w:val="21"/>
          <w:highlight w:val="none"/>
        </w:rPr>
      </w:pPr>
      <w:r>
        <w:rPr>
          <w:rFonts w:hint="eastAsia" w:ascii="宋体" w:hAnsi="宋体"/>
          <w:szCs w:val="21"/>
          <w:highlight w:val="none"/>
        </w:rPr>
        <w:t>20.2   经买方同意，卖方可以将合同项下非主体、非关键性工作分包给他人完成。但必须在投标文件中载明。接受分包的人应当具备相应的资格条件，并不得再次分包。分包后不能解除卖方履行本合同的责任和义务，接受分包的人与卖方共同对买方连带承担合同的责任和义务。</w:t>
      </w:r>
    </w:p>
    <w:p w14:paraId="618B1507">
      <w:pPr>
        <w:outlineLvl w:val="2"/>
        <w:rPr>
          <w:rFonts w:ascii="宋体" w:hAnsi="宋体"/>
          <w:szCs w:val="21"/>
          <w:highlight w:val="none"/>
        </w:rPr>
      </w:pPr>
      <w:bookmarkStart w:id="284" w:name="_Toc2142"/>
      <w:bookmarkStart w:id="285" w:name="_Toc487900370"/>
      <w:bookmarkStart w:id="286" w:name="_Toc13194"/>
      <w:bookmarkStart w:id="287" w:name="_Toc415222517"/>
      <w:r>
        <w:rPr>
          <w:rFonts w:hint="eastAsia" w:ascii="宋体" w:hAnsi="宋体"/>
          <w:szCs w:val="21"/>
          <w:highlight w:val="none"/>
        </w:rPr>
        <w:t>21．   合同修改</w:t>
      </w:r>
      <w:bookmarkEnd w:id="284"/>
      <w:bookmarkEnd w:id="285"/>
      <w:bookmarkEnd w:id="286"/>
      <w:bookmarkEnd w:id="287"/>
    </w:p>
    <w:p w14:paraId="1D087DDC">
      <w:pPr>
        <w:spacing w:line="360" w:lineRule="auto"/>
        <w:ind w:left="788" w:hanging="787" w:hangingChars="375"/>
        <w:rPr>
          <w:rFonts w:hint="eastAsia" w:ascii="宋体" w:hAnsi="宋体"/>
          <w:szCs w:val="21"/>
          <w:highlight w:val="none"/>
        </w:rPr>
      </w:pPr>
      <w:r>
        <w:rPr>
          <w:rFonts w:hint="eastAsia" w:ascii="宋体" w:hAnsi="宋体"/>
          <w:szCs w:val="21"/>
          <w:highlight w:val="none"/>
        </w:rPr>
        <w:t>21.1   买方和卖方都不得擅自变更本合同，但合同继续履行将损害国家和社会公共利益的除外。如必须对合同条款进行改动时，当事人双方须共同签署书面文件，作为合同的补充，并报同级采购监督管理部门备案。</w:t>
      </w:r>
    </w:p>
    <w:p w14:paraId="0005F139">
      <w:pPr>
        <w:outlineLvl w:val="2"/>
        <w:rPr>
          <w:rFonts w:ascii="宋体" w:hAnsi="宋体"/>
          <w:szCs w:val="21"/>
          <w:highlight w:val="none"/>
        </w:rPr>
      </w:pPr>
      <w:bookmarkStart w:id="288" w:name="_Toc415222518"/>
      <w:bookmarkStart w:id="289" w:name="_Toc487900371"/>
      <w:bookmarkStart w:id="290" w:name="_Toc14345"/>
      <w:bookmarkStart w:id="291" w:name="_Toc737"/>
      <w:r>
        <w:rPr>
          <w:rFonts w:hint="eastAsia" w:ascii="宋体" w:hAnsi="宋体"/>
          <w:szCs w:val="21"/>
          <w:highlight w:val="none"/>
        </w:rPr>
        <w:t>22．   通知</w:t>
      </w:r>
      <w:bookmarkEnd w:id="288"/>
      <w:bookmarkEnd w:id="289"/>
      <w:bookmarkEnd w:id="290"/>
      <w:bookmarkEnd w:id="291"/>
    </w:p>
    <w:p w14:paraId="59EFB9EE">
      <w:pPr>
        <w:spacing w:line="360" w:lineRule="auto"/>
        <w:ind w:left="788" w:hanging="787" w:hangingChars="375"/>
        <w:rPr>
          <w:rFonts w:ascii="宋体" w:hAnsi="宋体"/>
          <w:szCs w:val="21"/>
          <w:highlight w:val="none"/>
        </w:rPr>
      </w:pPr>
      <w:r>
        <w:rPr>
          <w:rFonts w:hint="eastAsia" w:ascii="宋体" w:hAnsi="宋体"/>
          <w:szCs w:val="21"/>
          <w:highlight w:val="none"/>
        </w:rPr>
        <w:t>22.1   本合同任何一方给另一方的通知，都应以书面形式发送，而另一方也应以书面形式确认并发送到对方明确的地址。</w:t>
      </w:r>
    </w:p>
    <w:p w14:paraId="5F157E16">
      <w:pPr>
        <w:outlineLvl w:val="2"/>
        <w:rPr>
          <w:rFonts w:ascii="宋体" w:hAnsi="宋体"/>
          <w:szCs w:val="21"/>
          <w:highlight w:val="none"/>
        </w:rPr>
      </w:pPr>
      <w:bookmarkStart w:id="292" w:name="_Toc487900372"/>
      <w:bookmarkStart w:id="293" w:name="_Toc415222519"/>
      <w:bookmarkStart w:id="294" w:name="_Toc30523"/>
      <w:bookmarkStart w:id="295" w:name="_Toc27508"/>
      <w:r>
        <w:rPr>
          <w:rFonts w:hint="eastAsia" w:ascii="宋体" w:hAnsi="宋体"/>
          <w:szCs w:val="21"/>
          <w:highlight w:val="none"/>
        </w:rPr>
        <w:t>23．   计量单位</w:t>
      </w:r>
      <w:bookmarkEnd w:id="292"/>
      <w:bookmarkEnd w:id="293"/>
      <w:bookmarkEnd w:id="294"/>
      <w:bookmarkEnd w:id="295"/>
    </w:p>
    <w:p w14:paraId="133F89D5">
      <w:pPr>
        <w:spacing w:line="360" w:lineRule="auto"/>
        <w:ind w:left="788" w:hanging="787" w:hangingChars="375"/>
        <w:rPr>
          <w:rFonts w:ascii="宋体" w:hAnsi="宋体"/>
          <w:szCs w:val="21"/>
          <w:highlight w:val="none"/>
        </w:rPr>
      </w:pPr>
      <w:r>
        <w:rPr>
          <w:rFonts w:hint="eastAsia" w:ascii="宋体" w:hAnsi="宋体"/>
          <w:szCs w:val="21"/>
          <w:highlight w:val="none"/>
        </w:rPr>
        <w:t>23.1   除技术规范中另有规定外</w:t>
      </w:r>
      <w:r>
        <w:rPr>
          <w:rFonts w:ascii="宋体" w:hAnsi="宋体"/>
          <w:szCs w:val="21"/>
          <w:highlight w:val="none"/>
        </w:rPr>
        <w:t>,</w:t>
      </w:r>
      <w:r>
        <w:rPr>
          <w:rFonts w:hint="eastAsia" w:ascii="宋体" w:hAnsi="宋体"/>
          <w:szCs w:val="21"/>
          <w:highlight w:val="none"/>
        </w:rPr>
        <w:t>计量单位均使用国家法定计量单位。</w:t>
      </w:r>
    </w:p>
    <w:p w14:paraId="657CCEAB">
      <w:pPr>
        <w:outlineLvl w:val="2"/>
        <w:rPr>
          <w:rFonts w:ascii="宋体" w:hAnsi="宋体"/>
          <w:szCs w:val="21"/>
          <w:highlight w:val="none"/>
        </w:rPr>
      </w:pPr>
      <w:bookmarkStart w:id="296" w:name="_Toc23747"/>
      <w:bookmarkStart w:id="297" w:name="_Toc28567"/>
      <w:bookmarkStart w:id="298" w:name="_Toc487900373"/>
      <w:bookmarkStart w:id="299" w:name="_Toc415222520"/>
      <w:r>
        <w:rPr>
          <w:rFonts w:hint="eastAsia" w:ascii="宋体" w:hAnsi="宋体"/>
          <w:szCs w:val="21"/>
          <w:highlight w:val="none"/>
        </w:rPr>
        <w:t>24．   适用法律</w:t>
      </w:r>
      <w:bookmarkEnd w:id="296"/>
      <w:bookmarkEnd w:id="297"/>
      <w:bookmarkEnd w:id="298"/>
      <w:bookmarkEnd w:id="299"/>
    </w:p>
    <w:p w14:paraId="2F570777">
      <w:pPr>
        <w:spacing w:line="360" w:lineRule="auto"/>
        <w:ind w:left="788" w:hanging="787" w:hangingChars="375"/>
        <w:rPr>
          <w:rFonts w:ascii="宋体" w:hAnsi="宋体"/>
          <w:szCs w:val="21"/>
          <w:highlight w:val="none"/>
        </w:rPr>
      </w:pPr>
      <w:r>
        <w:rPr>
          <w:rFonts w:hint="eastAsia" w:ascii="宋体" w:hAnsi="宋体"/>
          <w:szCs w:val="21"/>
          <w:highlight w:val="none"/>
        </w:rPr>
        <w:t>24.1   本合同应按照中华人民共和国的法律进行解释。</w:t>
      </w:r>
    </w:p>
    <w:p w14:paraId="68AAB285">
      <w:pPr>
        <w:outlineLvl w:val="2"/>
        <w:rPr>
          <w:rFonts w:ascii="宋体" w:hAnsi="宋体"/>
          <w:szCs w:val="21"/>
          <w:highlight w:val="none"/>
        </w:rPr>
      </w:pPr>
      <w:bookmarkStart w:id="300" w:name="_Toc5896"/>
      <w:bookmarkStart w:id="301" w:name="_Toc26432"/>
      <w:bookmarkStart w:id="302" w:name="_Toc415222521"/>
      <w:bookmarkStart w:id="303" w:name="_Toc487900374"/>
      <w:r>
        <w:rPr>
          <w:rFonts w:ascii="宋体" w:hAnsi="宋体"/>
          <w:szCs w:val="21"/>
          <w:highlight w:val="none"/>
        </w:rPr>
        <w:t>2</w:t>
      </w:r>
      <w:r>
        <w:rPr>
          <w:rFonts w:hint="eastAsia" w:ascii="宋体" w:hAnsi="宋体"/>
          <w:szCs w:val="21"/>
          <w:highlight w:val="none"/>
        </w:rPr>
        <w:t>5．   履约保证金</w:t>
      </w:r>
      <w:bookmarkEnd w:id="300"/>
      <w:bookmarkEnd w:id="301"/>
      <w:bookmarkEnd w:id="302"/>
    </w:p>
    <w:p w14:paraId="4CB78B81">
      <w:pPr>
        <w:spacing w:line="360" w:lineRule="auto"/>
        <w:ind w:left="788" w:hanging="787" w:hangingChars="375"/>
        <w:rPr>
          <w:rFonts w:hint="eastAsia" w:ascii="宋体" w:hAnsi="宋体"/>
          <w:szCs w:val="21"/>
          <w:highlight w:val="none"/>
        </w:rPr>
      </w:pPr>
      <w:r>
        <w:rPr>
          <w:rFonts w:ascii="宋体" w:hAnsi="宋体"/>
          <w:szCs w:val="21"/>
          <w:highlight w:val="none"/>
        </w:rPr>
        <w:t>2</w:t>
      </w:r>
      <w:r>
        <w:rPr>
          <w:rFonts w:hint="eastAsia" w:ascii="宋体" w:hAnsi="宋体"/>
          <w:szCs w:val="21"/>
          <w:highlight w:val="none"/>
        </w:rPr>
        <w:t>5</w:t>
      </w:r>
      <w:r>
        <w:rPr>
          <w:rFonts w:ascii="宋体" w:hAnsi="宋体"/>
          <w:szCs w:val="21"/>
          <w:highlight w:val="none"/>
        </w:rPr>
        <w:t xml:space="preserve">.1 </w:t>
      </w:r>
      <w:r>
        <w:rPr>
          <w:rFonts w:hint="eastAsia" w:ascii="宋体" w:hAnsi="宋体"/>
          <w:szCs w:val="21"/>
          <w:highlight w:val="none"/>
        </w:rPr>
        <w:t xml:space="preserve">  卖方应按合同专用条款规定缴纳履约保证金。</w:t>
      </w:r>
    </w:p>
    <w:p w14:paraId="21432542">
      <w:pPr>
        <w:spacing w:line="360" w:lineRule="auto"/>
        <w:ind w:left="788" w:hanging="787" w:hangingChars="375"/>
        <w:rPr>
          <w:rFonts w:hint="eastAsia" w:ascii="宋体" w:hAnsi="宋体"/>
          <w:szCs w:val="21"/>
          <w:highlight w:val="none"/>
        </w:rPr>
      </w:pPr>
      <w:r>
        <w:rPr>
          <w:rFonts w:hint="eastAsia" w:ascii="宋体" w:hAnsi="宋体"/>
          <w:szCs w:val="21"/>
          <w:highlight w:val="none"/>
        </w:rPr>
        <w:t>25.2   履约保证金用于补偿买方因卖方不能履行其合同义务而蒙受的损失。</w:t>
      </w:r>
    </w:p>
    <w:p w14:paraId="068A4BC2">
      <w:pPr>
        <w:spacing w:line="360" w:lineRule="auto"/>
        <w:ind w:left="788" w:hanging="787" w:hangingChars="375"/>
        <w:rPr>
          <w:rFonts w:hint="eastAsia" w:ascii="宋体" w:hAnsi="宋体"/>
          <w:szCs w:val="21"/>
          <w:highlight w:val="none"/>
        </w:rPr>
      </w:pPr>
      <w:r>
        <w:rPr>
          <w:rFonts w:hint="eastAsia" w:ascii="宋体" w:hAnsi="宋体"/>
          <w:szCs w:val="21"/>
          <w:highlight w:val="none"/>
        </w:rPr>
        <w:t>25.3   履约保证金应使用本合同货币，按下述方式之一提交：</w:t>
      </w:r>
    </w:p>
    <w:p w14:paraId="268DEDA0">
      <w:pPr>
        <w:spacing w:line="360" w:lineRule="auto"/>
        <w:ind w:left="899" w:leftChars="428"/>
        <w:rPr>
          <w:rFonts w:ascii="宋体" w:hAnsi="宋体"/>
          <w:szCs w:val="21"/>
          <w:highlight w:val="none"/>
        </w:rPr>
      </w:pPr>
      <w:r>
        <w:rPr>
          <w:rFonts w:hint="eastAsia" w:ascii="宋体" w:hAnsi="宋体"/>
          <w:szCs w:val="21"/>
          <w:highlight w:val="none"/>
        </w:rPr>
        <w:t>A.买方可接受的在中华人民共和国注册和营业的银行，按招标文件提供的格式（附件8），或其他买方可接受的格式。</w:t>
      </w:r>
    </w:p>
    <w:p w14:paraId="3DACEA85">
      <w:pPr>
        <w:spacing w:line="360" w:lineRule="auto"/>
        <w:ind w:left="890" w:leftChars="399" w:hanging="52" w:hangingChars="25"/>
        <w:rPr>
          <w:rFonts w:hint="eastAsia" w:ascii="宋体" w:hAnsi="宋体"/>
          <w:szCs w:val="21"/>
          <w:highlight w:val="none"/>
        </w:rPr>
      </w:pPr>
      <w:r>
        <w:rPr>
          <w:rFonts w:hint="eastAsia" w:ascii="宋体" w:hAnsi="宋体"/>
          <w:szCs w:val="21"/>
          <w:highlight w:val="none"/>
        </w:rPr>
        <w:t>B. 支票、汇票。</w:t>
      </w:r>
    </w:p>
    <w:p w14:paraId="668504BE">
      <w:pPr>
        <w:spacing w:line="360" w:lineRule="auto"/>
        <w:ind w:left="890" w:leftChars="399" w:hanging="52" w:hangingChars="25"/>
        <w:rPr>
          <w:rFonts w:ascii="宋体" w:hAnsi="宋体"/>
          <w:szCs w:val="21"/>
          <w:highlight w:val="none"/>
        </w:rPr>
      </w:pPr>
      <w:r>
        <w:rPr>
          <w:rFonts w:hint="eastAsia" w:ascii="宋体" w:hAnsi="宋体"/>
          <w:szCs w:val="21"/>
          <w:highlight w:val="none"/>
        </w:rPr>
        <w:t>C. 利用担保试点范围内的项目，中标投标人可以按照规定，向招标人提供合格的履约担保函。</w:t>
      </w:r>
    </w:p>
    <w:p w14:paraId="74C36CC5">
      <w:pPr>
        <w:spacing w:line="360" w:lineRule="auto"/>
        <w:ind w:left="788" w:hanging="787" w:hangingChars="375"/>
        <w:rPr>
          <w:rFonts w:hint="eastAsia" w:ascii="宋体" w:hAnsi="宋体"/>
          <w:szCs w:val="21"/>
          <w:highlight w:val="none"/>
        </w:rPr>
      </w:pPr>
      <w:r>
        <w:rPr>
          <w:rFonts w:hint="eastAsia" w:ascii="宋体" w:hAnsi="宋体"/>
          <w:szCs w:val="21"/>
          <w:highlight w:val="none"/>
        </w:rPr>
        <w:t>25.4</w:t>
      </w:r>
      <w:r>
        <w:rPr>
          <w:rFonts w:hint="eastAsia" w:ascii="宋体" w:hAnsi="宋体"/>
          <w:szCs w:val="21"/>
          <w:highlight w:val="none"/>
        </w:rPr>
        <w:tab/>
      </w:r>
      <w:r>
        <w:rPr>
          <w:rFonts w:hint="eastAsia" w:ascii="宋体" w:hAnsi="宋体"/>
          <w:szCs w:val="21"/>
          <w:highlight w:val="none"/>
        </w:rPr>
        <w:t>履约保证金在法定的货物质量保证期期满前应完全有效。</w:t>
      </w:r>
    </w:p>
    <w:p w14:paraId="385D9C57">
      <w:pPr>
        <w:spacing w:line="360" w:lineRule="auto"/>
        <w:ind w:left="788" w:hanging="787" w:hangingChars="375"/>
        <w:rPr>
          <w:rFonts w:hint="eastAsia" w:ascii="宋体" w:hAnsi="宋体"/>
          <w:szCs w:val="21"/>
          <w:highlight w:val="none"/>
        </w:rPr>
      </w:pPr>
      <w:r>
        <w:rPr>
          <w:rFonts w:hint="eastAsia" w:ascii="宋体" w:hAnsi="宋体"/>
          <w:szCs w:val="21"/>
          <w:highlight w:val="none"/>
        </w:rPr>
        <w:t>25.5   如果卖方未能按合同规定履行其义务，买方有权从履约保证金中取得补偿。质量保证期结束后三十(30)天内，买方将把履约保证金退还卖方。履约担保函不予退还。</w:t>
      </w:r>
    </w:p>
    <w:p w14:paraId="5CF6AF3C">
      <w:pPr>
        <w:outlineLvl w:val="2"/>
        <w:rPr>
          <w:rFonts w:hint="eastAsia" w:ascii="宋体" w:hAnsi="宋体"/>
          <w:szCs w:val="21"/>
          <w:highlight w:val="none"/>
        </w:rPr>
      </w:pPr>
      <w:bookmarkStart w:id="304" w:name="_Toc26939"/>
      <w:bookmarkStart w:id="305" w:name="_Toc31958"/>
      <w:bookmarkStart w:id="306" w:name="_Toc415222522"/>
      <w:r>
        <w:rPr>
          <w:rFonts w:hint="eastAsia" w:ascii="宋体" w:hAnsi="宋体"/>
          <w:szCs w:val="21"/>
          <w:highlight w:val="none"/>
        </w:rPr>
        <w:t>26．   合同生效</w:t>
      </w:r>
      <w:bookmarkEnd w:id="303"/>
      <w:r>
        <w:rPr>
          <w:rFonts w:hint="eastAsia" w:ascii="宋体" w:hAnsi="宋体"/>
          <w:szCs w:val="21"/>
          <w:highlight w:val="none"/>
        </w:rPr>
        <w:t>和其它</w:t>
      </w:r>
      <w:bookmarkEnd w:id="304"/>
      <w:bookmarkEnd w:id="305"/>
      <w:bookmarkEnd w:id="306"/>
    </w:p>
    <w:p w14:paraId="433B3879">
      <w:pPr>
        <w:spacing w:line="360" w:lineRule="auto"/>
        <w:ind w:left="735" w:hanging="735" w:hangingChars="350"/>
        <w:rPr>
          <w:rFonts w:hint="eastAsia" w:ascii="宋体" w:hAnsi="宋体"/>
          <w:szCs w:val="21"/>
          <w:highlight w:val="none"/>
        </w:rPr>
      </w:pPr>
      <w:bookmarkStart w:id="307" w:name="_Toc219175623"/>
      <w:bookmarkStart w:id="308" w:name="_Toc218935339"/>
      <w:bookmarkStart w:id="309" w:name="_Toc216513786"/>
      <w:r>
        <w:rPr>
          <w:rFonts w:hint="eastAsia" w:ascii="宋体" w:hAnsi="宋体"/>
          <w:szCs w:val="21"/>
          <w:highlight w:val="none"/>
        </w:rPr>
        <w:t>26.1   采购项目的采购合同内容的确定应以招标文件和投标文件为基础，不得违背其实质性内容。合同将在双方签字盖章并由卖方递交履约保证金后开始生效。</w:t>
      </w:r>
      <w:bookmarkEnd w:id="307"/>
      <w:bookmarkEnd w:id="308"/>
      <w:bookmarkEnd w:id="309"/>
    </w:p>
    <w:p w14:paraId="00901AB9">
      <w:pPr>
        <w:spacing w:line="360" w:lineRule="auto"/>
        <w:ind w:left="735" w:hanging="735" w:hangingChars="350"/>
        <w:rPr>
          <w:rFonts w:hint="eastAsia" w:ascii="宋体" w:hAnsi="宋体"/>
          <w:szCs w:val="21"/>
          <w:highlight w:val="none"/>
        </w:rPr>
      </w:pPr>
      <w:r>
        <w:rPr>
          <w:rFonts w:hint="eastAsia" w:ascii="宋体" w:hAnsi="宋体"/>
          <w:szCs w:val="21"/>
          <w:highlight w:val="none"/>
        </w:rPr>
        <w:t>26.2   本合同份数按合同专用条款规定。</w:t>
      </w:r>
    </w:p>
    <w:p w14:paraId="6651C007">
      <w:pPr>
        <w:pStyle w:val="4"/>
        <w:rPr>
          <w:rFonts w:hint="eastAsia" w:ascii="宋体" w:hAnsi="宋体" w:eastAsia="宋体"/>
          <w:sz w:val="21"/>
          <w:szCs w:val="21"/>
          <w:highlight w:val="none"/>
        </w:rPr>
      </w:pPr>
      <w:r>
        <w:rPr>
          <w:rFonts w:ascii="宋体" w:hAnsi="宋体" w:eastAsia="宋体"/>
          <w:sz w:val="21"/>
          <w:szCs w:val="21"/>
          <w:highlight w:val="none"/>
        </w:rPr>
        <w:br w:type="page"/>
      </w:r>
      <w:bookmarkStart w:id="310" w:name="_Toc109736066"/>
      <w:bookmarkStart w:id="311" w:name="_Toc4088"/>
      <w:r>
        <w:rPr>
          <w:rFonts w:hint="eastAsia" w:ascii="宋体" w:hAnsi="宋体" w:eastAsia="宋体"/>
          <w:sz w:val="21"/>
          <w:szCs w:val="21"/>
          <w:highlight w:val="none"/>
        </w:rPr>
        <w:t>二、</w:t>
      </w:r>
      <w:r>
        <w:rPr>
          <w:rFonts w:hint="eastAsia" w:ascii="宋体" w:hAnsi="宋体" w:eastAsia="宋体" w:cs="宋体"/>
          <w:sz w:val="21"/>
          <w:szCs w:val="21"/>
          <w:highlight w:val="none"/>
        </w:rPr>
        <w:t>合同格式</w:t>
      </w:r>
      <w:r>
        <w:rPr>
          <w:rFonts w:hint="eastAsia" w:ascii="宋体" w:hAnsi="宋体" w:eastAsia="宋体" w:cs="宋体"/>
          <w:kern w:val="44"/>
          <w:sz w:val="21"/>
          <w:szCs w:val="21"/>
          <w:highlight w:val="none"/>
        </w:rPr>
        <w:t>（货物类）</w:t>
      </w:r>
      <w:bookmarkEnd w:id="310"/>
      <w:bookmarkEnd w:id="311"/>
    </w:p>
    <w:p w14:paraId="2499E6A3">
      <w:pPr>
        <w:pStyle w:val="2"/>
        <w:spacing w:line="360" w:lineRule="auto"/>
        <w:ind w:left="540" w:leftChars="257"/>
        <w:rPr>
          <w:rFonts w:hint="eastAsia" w:ascii="宋体" w:hAnsi="宋体" w:cs="宋体"/>
          <w:szCs w:val="21"/>
          <w:highlight w:val="none"/>
        </w:rPr>
      </w:pPr>
    </w:p>
    <w:p w14:paraId="45BE4B41">
      <w:pPr>
        <w:pStyle w:val="2"/>
        <w:spacing w:line="360" w:lineRule="auto"/>
        <w:ind w:left="540" w:leftChars="257"/>
        <w:rPr>
          <w:rFonts w:hint="eastAsia" w:ascii="宋体" w:hAnsi="宋体" w:cs="宋体"/>
          <w:szCs w:val="21"/>
          <w:highlight w:val="none"/>
        </w:rPr>
      </w:pPr>
    </w:p>
    <w:p w14:paraId="02CEC726">
      <w:pPr>
        <w:spacing w:line="360" w:lineRule="auto"/>
        <w:ind w:right="420"/>
        <w:rPr>
          <w:rFonts w:hint="eastAsia" w:ascii="宋体" w:hAnsi="宋体" w:cs="宋体"/>
          <w:szCs w:val="21"/>
          <w:highlight w:val="none"/>
        </w:rPr>
      </w:pPr>
      <w:bookmarkStart w:id="312" w:name="_Toc216513789"/>
    </w:p>
    <w:p w14:paraId="49890041">
      <w:pPr>
        <w:spacing w:line="360" w:lineRule="auto"/>
        <w:ind w:right="420" w:firstLine="525" w:firstLineChars="250"/>
        <w:rPr>
          <w:rFonts w:hint="eastAsia" w:ascii="宋体" w:hAnsi="宋体" w:cs="宋体"/>
          <w:szCs w:val="21"/>
          <w:highlight w:val="none"/>
        </w:rPr>
      </w:pPr>
      <w:r>
        <w:rPr>
          <w:rFonts w:hint="eastAsia" w:ascii="宋体" w:hAnsi="宋体" w:cs="宋体"/>
          <w:szCs w:val="21"/>
          <w:highlight w:val="none"/>
        </w:rPr>
        <w:t>合同编号：</w:t>
      </w:r>
      <w:bookmarkEnd w:id="312"/>
      <w:r>
        <w:rPr>
          <w:rFonts w:hint="eastAsia" w:ascii="宋体" w:hAnsi="宋体" w:cs="宋体"/>
          <w:szCs w:val="21"/>
          <w:highlight w:val="none"/>
          <w:u w:val="single"/>
        </w:rPr>
        <w:t xml:space="preserve">                                   </w:t>
      </w:r>
    </w:p>
    <w:p w14:paraId="2A7A512E">
      <w:pPr>
        <w:spacing w:line="360" w:lineRule="auto"/>
        <w:ind w:left="1080" w:leftChars="257" w:hanging="540"/>
        <w:rPr>
          <w:rFonts w:hint="eastAsia" w:ascii="宋体" w:hAnsi="宋体" w:cs="宋体"/>
          <w:szCs w:val="21"/>
          <w:highlight w:val="none"/>
        </w:rPr>
      </w:pPr>
    </w:p>
    <w:p w14:paraId="36E57A6B">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项目名称：</w:t>
      </w:r>
      <w:r>
        <w:rPr>
          <w:rFonts w:hint="eastAsia" w:ascii="宋体" w:hAnsi="宋体" w:cs="宋体"/>
          <w:szCs w:val="21"/>
          <w:highlight w:val="none"/>
          <w:u w:val="single"/>
        </w:rPr>
        <w:t xml:space="preserve">                                    </w:t>
      </w:r>
    </w:p>
    <w:p w14:paraId="609412BD">
      <w:pPr>
        <w:spacing w:line="360" w:lineRule="auto"/>
        <w:ind w:left="1080" w:leftChars="257" w:hanging="540"/>
        <w:rPr>
          <w:rFonts w:hint="eastAsia" w:ascii="宋体" w:hAnsi="宋体" w:cs="宋体"/>
          <w:szCs w:val="21"/>
          <w:highlight w:val="none"/>
        </w:rPr>
      </w:pPr>
    </w:p>
    <w:p w14:paraId="3FF01EFF">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货物名称：</w:t>
      </w:r>
      <w:r>
        <w:rPr>
          <w:rFonts w:hint="eastAsia" w:ascii="宋体" w:hAnsi="宋体" w:cs="宋体"/>
          <w:szCs w:val="21"/>
          <w:highlight w:val="none"/>
          <w:u w:val="single"/>
        </w:rPr>
        <w:t xml:space="preserve">                                    </w:t>
      </w:r>
    </w:p>
    <w:p w14:paraId="3A198C92">
      <w:pPr>
        <w:spacing w:line="360" w:lineRule="auto"/>
        <w:ind w:left="1080" w:leftChars="257" w:hanging="540"/>
        <w:rPr>
          <w:rFonts w:hint="eastAsia" w:ascii="宋体" w:hAnsi="宋体" w:cs="宋体"/>
          <w:szCs w:val="21"/>
          <w:highlight w:val="none"/>
        </w:rPr>
      </w:pPr>
    </w:p>
    <w:p w14:paraId="4F11B53C">
      <w:pPr>
        <w:spacing w:line="360" w:lineRule="auto"/>
        <w:ind w:left="1080" w:leftChars="257" w:hanging="540"/>
        <w:rPr>
          <w:rFonts w:hint="eastAsia" w:ascii="宋体" w:hAnsi="宋体" w:cs="宋体"/>
          <w:szCs w:val="21"/>
          <w:highlight w:val="none"/>
        </w:rPr>
      </w:pPr>
    </w:p>
    <w:p w14:paraId="29F2BB09">
      <w:pPr>
        <w:pStyle w:val="36"/>
        <w:spacing w:line="360" w:lineRule="auto"/>
        <w:ind w:left="1080" w:leftChars="257" w:hanging="540"/>
        <w:rPr>
          <w:rFonts w:hint="eastAsia" w:ascii="宋体" w:hAnsi="宋体" w:eastAsia="宋体" w:cs="宋体"/>
          <w:highlight w:val="none"/>
        </w:rPr>
      </w:pPr>
    </w:p>
    <w:p w14:paraId="714356C0">
      <w:pPr>
        <w:pStyle w:val="36"/>
        <w:spacing w:line="360" w:lineRule="auto"/>
        <w:ind w:left="1080" w:leftChars="257" w:hanging="540"/>
        <w:rPr>
          <w:rFonts w:hint="eastAsia" w:ascii="宋体" w:hAnsi="宋体" w:eastAsia="宋体" w:cs="宋体"/>
          <w:highlight w:val="none"/>
        </w:rPr>
      </w:pPr>
    </w:p>
    <w:p w14:paraId="12C9463D">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买　　方：</w:t>
      </w:r>
      <w:r>
        <w:rPr>
          <w:rFonts w:hint="eastAsia" w:ascii="宋体" w:hAnsi="宋体" w:cs="宋体"/>
          <w:szCs w:val="21"/>
          <w:highlight w:val="none"/>
          <w:u w:val="single"/>
        </w:rPr>
        <w:t xml:space="preserve">                                    </w:t>
      </w:r>
    </w:p>
    <w:p w14:paraId="1C719C40">
      <w:pPr>
        <w:spacing w:line="360" w:lineRule="auto"/>
        <w:ind w:left="1080" w:leftChars="257" w:hanging="540"/>
        <w:rPr>
          <w:rFonts w:hint="eastAsia" w:ascii="宋体" w:hAnsi="宋体" w:cs="宋体"/>
          <w:szCs w:val="21"/>
          <w:highlight w:val="none"/>
        </w:rPr>
      </w:pPr>
    </w:p>
    <w:p w14:paraId="14A32ED6">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卖　　方：</w:t>
      </w:r>
      <w:r>
        <w:rPr>
          <w:rFonts w:hint="eastAsia" w:ascii="宋体" w:hAnsi="宋体" w:cs="宋体"/>
          <w:szCs w:val="21"/>
          <w:highlight w:val="none"/>
          <w:u w:val="single"/>
        </w:rPr>
        <w:t xml:space="preserve">                                    </w:t>
      </w:r>
    </w:p>
    <w:p w14:paraId="25A2F4EA">
      <w:pPr>
        <w:spacing w:line="360" w:lineRule="auto"/>
        <w:ind w:left="1080" w:leftChars="257" w:hanging="540"/>
        <w:rPr>
          <w:rFonts w:hint="eastAsia" w:ascii="宋体" w:hAnsi="宋体" w:cs="宋体"/>
          <w:szCs w:val="21"/>
          <w:highlight w:val="none"/>
        </w:rPr>
      </w:pPr>
    </w:p>
    <w:p w14:paraId="7A8A19EA">
      <w:pPr>
        <w:spacing w:line="360" w:lineRule="auto"/>
        <w:ind w:left="1080" w:leftChars="257" w:hanging="540"/>
        <w:jc w:val="center"/>
        <w:rPr>
          <w:rFonts w:hint="eastAsia" w:ascii="宋体" w:hAnsi="宋体" w:cs="宋体"/>
          <w:szCs w:val="21"/>
          <w:highlight w:val="none"/>
        </w:rPr>
      </w:pPr>
    </w:p>
    <w:p w14:paraId="3A18F71E">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签署日期：</w:t>
      </w:r>
      <w:r>
        <w:rPr>
          <w:rFonts w:hint="eastAsia" w:ascii="宋体" w:hAnsi="宋体" w:cs="宋体"/>
          <w:szCs w:val="21"/>
          <w:highlight w:val="none"/>
          <w:u w:val="single"/>
        </w:rPr>
        <w:t>　　　　　　　　　　　　　　　　　　　</w:t>
      </w:r>
    </w:p>
    <w:p w14:paraId="0FC6E5D0">
      <w:pPr>
        <w:spacing w:line="360" w:lineRule="auto"/>
        <w:jc w:val="center"/>
        <w:outlineLvl w:val="2"/>
        <w:rPr>
          <w:rFonts w:hint="eastAsia" w:ascii="宋体" w:hAnsi="宋体" w:cs="宋体"/>
          <w:b/>
          <w:sz w:val="24"/>
          <w:highlight w:val="none"/>
        </w:rPr>
      </w:pPr>
      <w:r>
        <w:rPr>
          <w:rFonts w:hint="eastAsia" w:ascii="宋体" w:hAnsi="宋体" w:cs="宋体"/>
          <w:szCs w:val="21"/>
          <w:highlight w:val="none"/>
          <w:u w:val="single"/>
        </w:rPr>
        <w:br w:type="page"/>
      </w:r>
      <w:bookmarkStart w:id="313" w:name="_Toc220229326"/>
      <w:bookmarkStart w:id="314" w:name="_Toc220229431"/>
      <w:bookmarkStart w:id="315" w:name="_Toc15903"/>
      <w:bookmarkStart w:id="316" w:name="_Toc219175636"/>
      <w:bookmarkStart w:id="317" w:name="_Toc218935352"/>
      <w:bookmarkStart w:id="318" w:name="_Toc27454"/>
      <w:r>
        <w:rPr>
          <w:rFonts w:hint="eastAsia" w:ascii="宋体" w:hAnsi="宋体" w:cs="宋体"/>
          <w:b/>
          <w:sz w:val="24"/>
          <w:highlight w:val="none"/>
        </w:rPr>
        <w:t>合　　　同　　　书</w:t>
      </w:r>
      <w:bookmarkEnd w:id="313"/>
      <w:bookmarkEnd w:id="314"/>
      <w:bookmarkEnd w:id="315"/>
      <w:bookmarkEnd w:id="316"/>
      <w:bookmarkEnd w:id="317"/>
      <w:bookmarkEnd w:id="318"/>
    </w:p>
    <w:p w14:paraId="3FBE78D8">
      <w:pPr>
        <w:spacing w:line="360" w:lineRule="auto"/>
        <w:ind w:left="1080" w:leftChars="257" w:hanging="540"/>
        <w:rPr>
          <w:rFonts w:hint="eastAsia" w:ascii="宋体" w:hAnsi="宋体" w:cs="宋体"/>
          <w:szCs w:val="21"/>
          <w:highlight w:val="none"/>
        </w:rPr>
      </w:pPr>
    </w:p>
    <w:p w14:paraId="61345FD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买方</w:t>
      </w:r>
      <w:r>
        <w:rPr>
          <w:rFonts w:hint="eastAsia" w:ascii="宋体" w:hAnsi="宋体" w:cs="宋体"/>
          <w:szCs w:val="21"/>
          <w:highlight w:val="none"/>
          <w:u w:val="single"/>
        </w:rPr>
        <w:t xml:space="preserve">   （名称）    </w:t>
      </w:r>
      <w:r>
        <w:rPr>
          <w:rFonts w:hint="eastAsia" w:ascii="宋体" w:hAnsi="宋体" w:cs="宋体"/>
          <w:szCs w:val="21"/>
          <w:highlight w:val="none"/>
        </w:rPr>
        <w:t>的</w:t>
      </w:r>
      <w:r>
        <w:rPr>
          <w:rFonts w:hint="eastAsia" w:ascii="宋体" w:hAnsi="宋体" w:cs="宋体"/>
          <w:szCs w:val="21"/>
          <w:highlight w:val="none"/>
          <w:u w:val="single"/>
        </w:rPr>
        <w:t xml:space="preserve">  (项目名称)   </w:t>
      </w:r>
      <w:r>
        <w:rPr>
          <w:rFonts w:hint="eastAsia" w:ascii="宋体" w:hAnsi="宋体" w:cs="宋体"/>
          <w:szCs w:val="21"/>
          <w:highlight w:val="none"/>
        </w:rPr>
        <w:t>中所需</w:t>
      </w:r>
      <w:r>
        <w:rPr>
          <w:rFonts w:hint="eastAsia" w:ascii="宋体" w:hAnsi="宋体" w:cs="宋体"/>
          <w:szCs w:val="21"/>
          <w:highlight w:val="none"/>
          <w:u w:val="single"/>
        </w:rPr>
        <w:t xml:space="preserve">  (货物名称) </w:t>
      </w:r>
      <w:r>
        <w:rPr>
          <w:rFonts w:hint="eastAsia" w:ascii="宋体" w:hAnsi="宋体" w:cs="宋体"/>
          <w:szCs w:val="21"/>
          <w:highlight w:val="none"/>
        </w:rPr>
        <w:t>经国药集团扬州威克生物工程有限公司以</w:t>
      </w:r>
      <w:r>
        <w:rPr>
          <w:rFonts w:hint="eastAsia" w:ascii="宋体" w:hAnsi="宋体" w:cs="宋体"/>
          <w:szCs w:val="21"/>
          <w:highlight w:val="none"/>
          <w:u w:val="single"/>
        </w:rPr>
        <w:t xml:space="preserve"> （招标编号）  </w:t>
      </w:r>
      <w:r>
        <w:rPr>
          <w:rFonts w:hint="eastAsia" w:ascii="宋体" w:hAnsi="宋体" w:cs="宋体"/>
          <w:szCs w:val="21"/>
          <w:highlight w:val="none"/>
        </w:rPr>
        <w:t>招标文件在国内公开招标。经评定，卖方</w:t>
      </w:r>
      <w:r>
        <w:rPr>
          <w:rFonts w:hint="eastAsia" w:ascii="宋体" w:hAnsi="宋体" w:cs="宋体"/>
          <w:szCs w:val="21"/>
          <w:highlight w:val="none"/>
          <w:u w:val="single"/>
        </w:rPr>
        <w:t xml:space="preserve">           </w:t>
      </w:r>
      <w:r>
        <w:rPr>
          <w:rFonts w:hint="eastAsia" w:ascii="宋体" w:hAnsi="宋体" w:cs="宋体"/>
          <w:szCs w:val="21"/>
          <w:highlight w:val="none"/>
        </w:rPr>
        <w:t>为中标投标人。买、卖双方同意按照下面的条款和条件，签署本合同。</w:t>
      </w:r>
    </w:p>
    <w:p w14:paraId="0AE74C66">
      <w:pPr>
        <w:spacing w:line="360" w:lineRule="auto"/>
        <w:ind w:left="1080" w:leftChars="257" w:hanging="540"/>
        <w:outlineLvl w:val="2"/>
        <w:rPr>
          <w:rFonts w:hint="eastAsia" w:ascii="宋体" w:hAnsi="宋体" w:cs="宋体"/>
          <w:b/>
          <w:szCs w:val="21"/>
          <w:highlight w:val="none"/>
        </w:rPr>
      </w:pPr>
      <w:bookmarkStart w:id="319" w:name="_Toc7540"/>
      <w:bookmarkStart w:id="320" w:name="_Toc19863"/>
      <w:r>
        <w:rPr>
          <w:rFonts w:hint="eastAsia" w:ascii="宋体" w:hAnsi="宋体" w:cs="宋体"/>
          <w:b/>
          <w:szCs w:val="21"/>
          <w:highlight w:val="none"/>
        </w:rPr>
        <w:t>1、合同文件</w:t>
      </w:r>
      <w:bookmarkEnd w:id="319"/>
      <w:bookmarkEnd w:id="320"/>
    </w:p>
    <w:p w14:paraId="084C11E2">
      <w:pPr>
        <w:spacing w:line="360" w:lineRule="auto"/>
        <w:ind w:firstLine="472" w:firstLineChars="225"/>
        <w:rPr>
          <w:rFonts w:hint="eastAsia" w:ascii="宋体" w:hAnsi="宋体" w:cs="宋体"/>
          <w:szCs w:val="21"/>
          <w:highlight w:val="none"/>
        </w:rPr>
      </w:pPr>
      <w:r>
        <w:rPr>
          <w:rFonts w:hint="eastAsia" w:ascii="宋体" w:hAnsi="宋体" w:cs="宋体"/>
          <w:szCs w:val="21"/>
          <w:highlight w:val="none"/>
        </w:rPr>
        <w:t>下列文件构成本合同的组成部分，应该认为是一个整体，彼此相互解释，相互补充。为便于解释，组成合同的多个文件的优先支配地位的次序如下：</w:t>
      </w:r>
    </w:p>
    <w:p w14:paraId="23E9B4BC">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a.</w:t>
      </w:r>
      <w:r>
        <w:rPr>
          <w:rFonts w:hint="eastAsia" w:ascii="宋体" w:hAnsi="宋体" w:cs="宋体"/>
          <w:szCs w:val="21"/>
          <w:highlight w:val="none"/>
        </w:rPr>
        <w:tab/>
      </w:r>
      <w:r>
        <w:rPr>
          <w:rFonts w:hint="eastAsia" w:ascii="宋体" w:hAnsi="宋体" w:cs="宋体"/>
          <w:szCs w:val="21"/>
          <w:highlight w:val="none"/>
        </w:rPr>
        <w:t>本合同书　</w:t>
      </w:r>
    </w:p>
    <w:p w14:paraId="54441229">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b.</w:t>
      </w:r>
      <w:r>
        <w:rPr>
          <w:rFonts w:hint="eastAsia" w:ascii="宋体" w:hAnsi="宋体" w:cs="宋体"/>
          <w:szCs w:val="21"/>
          <w:highlight w:val="none"/>
        </w:rPr>
        <w:tab/>
      </w:r>
      <w:r>
        <w:rPr>
          <w:rFonts w:hint="eastAsia" w:ascii="宋体" w:hAnsi="宋体" w:cs="宋体"/>
          <w:szCs w:val="21"/>
          <w:highlight w:val="none"/>
        </w:rPr>
        <w:t>中标通知书</w:t>
      </w:r>
    </w:p>
    <w:p w14:paraId="29BA89D1">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c.</w:t>
      </w:r>
      <w:r>
        <w:rPr>
          <w:rFonts w:hint="eastAsia" w:ascii="宋体" w:hAnsi="宋体" w:cs="宋体"/>
          <w:szCs w:val="21"/>
          <w:highlight w:val="none"/>
        </w:rPr>
        <w:tab/>
      </w:r>
      <w:r>
        <w:rPr>
          <w:rFonts w:hint="eastAsia" w:ascii="宋体" w:hAnsi="宋体" w:cs="宋体"/>
          <w:szCs w:val="21"/>
          <w:highlight w:val="none"/>
        </w:rPr>
        <w:t>合同专用条款</w:t>
      </w:r>
    </w:p>
    <w:p w14:paraId="036A9711">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d.   合同通用条款</w:t>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p>
    <w:p w14:paraId="65B727EA">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e.</w:t>
      </w:r>
      <w:r>
        <w:rPr>
          <w:rFonts w:hint="eastAsia" w:ascii="宋体" w:hAnsi="宋体" w:cs="宋体"/>
          <w:szCs w:val="21"/>
          <w:highlight w:val="none"/>
        </w:rPr>
        <w:tab/>
      </w:r>
      <w:r>
        <w:rPr>
          <w:rFonts w:hint="eastAsia" w:ascii="宋体" w:hAnsi="宋体" w:cs="宋体"/>
          <w:szCs w:val="21"/>
          <w:highlight w:val="none"/>
        </w:rPr>
        <w:t>投标文件</w:t>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(含澄清文件)</w:t>
      </w:r>
    </w:p>
    <w:p w14:paraId="3B050DBA">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f.</w:t>
      </w:r>
      <w:r>
        <w:rPr>
          <w:rFonts w:hint="eastAsia" w:ascii="宋体" w:hAnsi="宋体" w:cs="宋体"/>
          <w:szCs w:val="21"/>
          <w:highlight w:val="none"/>
        </w:rPr>
        <w:tab/>
      </w:r>
      <w:r>
        <w:rPr>
          <w:rFonts w:hint="eastAsia" w:ascii="宋体" w:hAnsi="宋体" w:cs="宋体"/>
          <w:szCs w:val="21"/>
          <w:highlight w:val="none"/>
        </w:rPr>
        <w:t>招标文件</w:t>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(含招标文件补充通知)</w:t>
      </w:r>
    </w:p>
    <w:p w14:paraId="6AD222DC">
      <w:pPr>
        <w:spacing w:line="360" w:lineRule="auto"/>
        <w:ind w:left="1080" w:leftChars="257" w:hanging="540"/>
        <w:rPr>
          <w:rFonts w:hint="eastAsia" w:ascii="宋体" w:hAnsi="宋体" w:cs="宋体"/>
          <w:szCs w:val="21"/>
          <w:highlight w:val="none"/>
        </w:rPr>
      </w:pPr>
    </w:p>
    <w:p w14:paraId="08F61BCC">
      <w:pPr>
        <w:spacing w:line="360" w:lineRule="auto"/>
        <w:ind w:left="1080" w:leftChars="257" w:hanging="540"/>
        <w:outlineLvl w:val="2"/>
        <w:rPr>
          <w:rFonts w:hint="eastAsia" w:ascii="宋体" w:hAnsi="宋体" w:cs="宋体"/>
          <w:b/>
          <w:szCs w:val="21"/>
          <w:highlight w:val="none"/>
        </w:rPr>
      </w:pPr>
      <w:bookmarkStart w:id="321" w:name="_Toc25119"/>
      <w:bookmarkStart w:id="322" w:name="_Toc8396"/>
      <w:r>
        <w:rPr>
          <w:rFonts w:hint="eastAsia" w:ascii="宋体" w:hAnsi="宋体" w:cs="宋体"/>
          <w:b/>
          <w:szCs w:val="21"/>
          <w:highlight w:val="none"/>
        </w:rPr>
        <w:t>2、货物和数量</w:t>
      </w:r>
      <w:bookmarkEnd w:id="321"/>
      <w:bookmarkEnd w:id="322"/>
    </w:p>
    <w:p w14:paraId="1BE1C423">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本合同货物：</w:t>
      </w:r>
      <w:r>
        <w:rPr>
          <w:rFonts w:hint="eastAsia" w:ascii="宋体" w:hAnsi="宋体" w:cs="宋体"/>
          <w:szCs w:val="21"/>
          <w:highlight w:val="none"/>
          <w:u w:val="single"/>
        </w:rPr>
        <w:t>　　　　　　　　　　　　</w:t>
      </w:r>
    </w:p>
    <w:p w14:paraId="544A43FE">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数量：</w:t>
      </w:r>
      <w:r>
        <w:rPr>
          <w:rFonts w:hint="eastAsia" w:ascii="宋体" w:hAnsi="宋体" w:cs="宋体"/>
          <w:szCs w:val="21"/>
          <w:highlight w:val="none"/>
          <w:u w:val="single"/>
        </w:rPr>
        <w:t>　　</w:t>
      </w:r>
      <w:r>
        <w:rPr>
          <w:rFonts w:hint="eastAsia" w:ascii="宋体" w:hAnsi="宋体" w:cs="宋体"/>
          <w:szCs w:val="21"/>
          <w:highlight w:val="none"/>
          <w:u w:val="single"/>
          <w:lang w:val="en-US" w:eastAsia="zh-CN"/>
        </w:rPr>
        <w:t>按单次订单</w:t>
      </w:r>
      <w:r>
        <w:rPr>
          <w:rFonts w:hint="eastAsia" w:ascii="宋体" w:hAnsi="宋体" w:cs="宋体"/>
          <w:szCs w:val="21"/>
          <w:highlight w:val="none"/>
          <w:u w:val="single"/>
        </w:rPr>
        <w:t>　　　　　　　　　　　　　</w:t>
      </w:r>
    </w:p>
    <w:p w14:paraId="2E937CCD">
      <w:pPr>
        <w:spacing w:line="360" w:lineRule="auto"/>
        <w:ind w:left="1080" w:leftChars="257" w:hanging="540"/>
        <w:outlineLvl w:val="2"/>
        <w:rPr>
          <w:rFonts w:hint="eastAsia" w:ascii="宋体" w:hAnsi="宋体" w:eastAsia="宋体" w:cs="宋体"/>
          <w:b/>
          <w:szCs w:val="21"/>
          <w:highlight w:val="none"/>
          <w:lang w:eastAsia="zh-CN"/>
        </w:rPr>
      </w:pPr>
      <w:bookmarkStart w:id="323" w:name="_Toc22189"/>
      <w:bookmarkStart w:id="324" w:name="_Toc13500"/>
      <w:r>
        <w:rPr>
          <w:rFonts w:hint="eastAsia" w:ascii="宋体" w:hAnsi="宋体" w:cs="宋体"/>
          <w:b/>
          <w:szCs w:val="21"/>
          <w:highlight w:val="none"/>
        </w:rPr>
        <w:t>3、合同</w:t>
      </w:r>
      <w:bookmarkEnd w:id="323"/>
      <w:bookmarkEnd w:id="324"/>
      <w:r>
        <w:rPr>
          <w:rFonts w:hint="eastAsia" w:ascii="宋体" w:hAnsi="宋体" w:cs="宋体"/>
          <w:b/>
          <w:szCs w:val="21"/>
          <w:highlight w:val="none"/>
          <w:lang w:val="en-US" w:eastAsia="zh-CN"/>
        </w:rPr>
        <w:t>价格</w:t>
      </w:r>
    </w:p>
    <w:p w14:paraId="099E9A4D">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本合同</w:t>
      </w:r>
      <w:r>
        <w:rPr>
          <w:rFonts w:hint="eastAsia" w:ascii="宋体" w:hAnsi="宋体" w:cs="宋体"/>
          <w:szCs w:val="21"/>
          <w:highlight w:val="none"/>
          <w:lang w:val="en-US" w:eastAsia="zh-CN"/>
        </w:rPr>
        <w:t>单价</w:t>
      </w:r>
      <w:r>
        <w:rPr>
          <w:rFonts w:hint="eastAsia" w:ascii="宋体" w:hAnsi="宋体" w:cs="宋体"/>
          <w:szCs w:val="21"/>
          <w:highlight w:val="none"/>
        </w:rPr>
        <w:t>为</w:t>
      </w:r>
      <w:r>
        <w:rPr>
          <w:rFonts w:hint="eastAsia" w:ascii="宋体" w:hAnsi="宋体" w:cs="宋体"/>
          <w:szCs w:val="21"/>
          <w:highlight w:val="none"/>
          <w:u w:val="single"/>
        </w:rPr>
        <w:t xml:space="preserve">    　　   </w:t>
      </w:r>
      <w:r>
        <w:rPr>
          <w:rFonts w:hint="eastAsia" w:ascii="宋体" w:hAnsi="宋体" w:cs="宋体"/>
          <w:szCs w:val="21"/>
          <w:highlight w:val="none"/>
        </w:rPr>
        <w:t>元人民币</w:t>
      </w:r>
      <w:r>
        <w:rPr>
          <w:rFonts w:hint="eastAsia" w:ascii="宋体" w:hAnsi="宋体" w:cs="宋体"/>
          <w:szCs w:val="21"/>
          <w:highlight w:val="none"/>
          <w:lang w:val="en-US" w:eastAsia="zh-CN"/>
        </w:rPr>
        <w:t>/枚</w:t>
      </w:r>
      <w:r>
        <w:rPr>
          <w:rFonts w:hint="eastAsia" w:ascii="宋体" w:hAnsi="宋体" w:cs="宋体"/>
          <w:szCs w:val="21"/>
          <w:highlight w:val="none"/>
        </w:rPr>
        <w:t>。</w:t>
      </w:r>
    </w:p>
    <w:p w14:paraId="262B0760">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分项价格：</w:t>
      </w:r>
      <w:r>
        <w:rPr>
          <w:rFonts w:hint="eastAsia" w:ascii="宋体" w:hAnsi="宋体" w:cs="宋体"/>
          <w:szCs w:val="21"/>
          <w:highlight w:val="none"/>
          <w:u w:val="single"/>
        </w:rPr>
        <w:t>　　　　　　　　　　　　</w:t>
      </w:r>
    </w:p>
    <w:p w14:paraId="0860ED58">
      <w:pPr>
        <w:spacing w:line="360" w:lineRule="auto"/>
        <w:ind w:left="1080" w:leftChars="257" w:hanging="540"/>
        <w:outlineLvl w:val="2"/>
        <w:rPr>
          <w:rFonts w:hint="eastAsia" w:ascii="宋体" w:hAnsi="宋体" w:cs="宋体"/>
          <w:b/>
          <w:szCs w:val="21"/>
          <w:highlight w:val="none"/>
        </w:rPr>
      </w:pPr>
      <w:bookmarkStart w:id="325" w:name="_Toc888"/>
      <w:bookmarkStart w:id="326" w:name="_Toc18819"/>
      <w:r>
        <w:rPr>
          <w:rFonts w:hint="eastAsia" w:ascii="宋体" w:hAnsi="宋体" w:cs="宋体"/>
          <w:b/>
          <w:szCs w:val="21"/>
          <w:highlight w:val="none"/>
        </w:rPr>
        <w:t>4、付款方式</w:t>
      </w:r>
      <w:bookmarkEnd w:id="325"/>
      <w:bookmarkEnd w:id="326"/>
    </w:p>
    <w:p w14:paraId="1FF2E471">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本合同的付款方式为：</w:t>
      </w:r>
      <w:r>
        <w:rPr>
          <w:rFonts w:hint="eastAsia" w:ascii="宋体" w:hAnsi="宋体" w:cs="宋体"/>
          <w:szCs w:val="21"/>
          <w:highlight w:val="none"/>
          <w:u w:val="single"/>
        </w:rPr>
        <w:t>　　　　　　　　　　　　　</w:t>
      </w:r>
    </w:p>
    <w:p w14:paraId="2FB6B211">
      <w:pPr>
        <w:spacing w:line="360" w:lineRule="auto"/>
        <w:ind w:left="1080" w:leftChars="257" w:hanging="540"/>
        <w:outlineLvl w:val="2"/>
        <w:rPr>
          <w:rFonts w:hint="eastAsia" w:ascii="宋体" w:hAnsi="宋体" w:cs="宋体"/>
          <w:b/>
          <w:szCs w:val="21"/>
          <w:highlight w:val="none"/>
        </w:rPr>
      </w:pPr>
      <w:bookmarkStart w:id="327" w:name="_Toc30466"/>
      <w:bookmarkStart w:id="328" w:name="_Toc7674"/>
      <w:r>
        <w:rPr>
          <w:rFonts w:hint="eastAsia" w:ascii="宋体" w:hAnsi="宋体" w:cs="宋体"/>
          <w:b/>
          <w:szCs w:val="21"/>
          <w:highlight w:val="none"/>
        </w:rPr>
        <w:t>5、本合同货物的交货时间及交货地点</w:t>
      </w:r>
      <w:bookmarkEnd w:id="327"/>
      <w:bookmarkEnd w:id="328"/>
    </w:p>
    <w:p w14:paraId="09E262C4">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交货时间：</w:t>
      </w:r>
      <w:r>
        <w:rPr>
          <w:rFonts w:hint="eastAsia" w:ascii="宋体" w:hAnsi="宋体" w:cs="宋体"/>
          <w:szCs w:val="21"/>
          <w:highlight w:val="none"/>
          <w:u w:val="single"/>
        </w:rPr>
        <w:t>　　　　　　　　　　　　　　　　</w:t>
      </w:r>
    </w:p>
    <w:p w14:paraId="6CA2BE6B">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交货地点：</w:t>
      </w:r>
      <w:r>
        <w:rPr>
          <w:rFonts w:hint="eastAsia" w:ascii="宋体" w:hAnsi="宋体" w:cs="宋体"/>
          <w:szCs w:val="21"/>
          <w:highlight w:val="none"/>
          <w:u w:val="single"/>
        </w:rPr>
        <w:t>　　　　　　　　　　　　　　　　</w:t>
      </w:r>
    </w:p>
    <w:p w14:paraId="6DA27D0B">
      <w:pPr>
        <w:spacing w:line="360" w:lineRule="auto"/>
        <w:ind w:left="1080" w:leftChars="257" w:hanging="540"/>
        <w:rPr>
          <w:rFonts w:hint="eastAsia" w:ascii="宋体" w:hAnsi="宋体" w:cs="宋体"/>
          <w:b/>
          <w:szCs w:val="21"/>
          <w:highlight w:val="none"/>
        </w:rPr>
      </w:pPr>
      <w:r>
        <w:rPr>
          <w:rFonts w:hint="eastAsia" w:ascii="宋体" w:hAnsi="宋体" w:cs="宋体"/>
          <w:b/>
          <w:szCs w:val="21"/>
          <w:highlight w:val="none"/>
        </w:rPr>
        <w:t>6合同的生效。</w:t>
      </w:r>
    </w:p>
    <w:p w14:paraId="2BDC69F3">
      <w:pPr>
        <w:spacing w:line="360" w:lineRule="auto"/>
        <w:ind w:firstLine="540"/>
        <w:rPr>
          <w:rFonts w:hint="eastAsia" w:ascii="宋体" w:hAnsi="宋体" w:cs="宋体"/>
          <w:szCs w:val="21"/>
          <w:highlight w:val="none"/>
        </w:rPr>
      </w:pPr>
      <w:r>
        <w:rPr>
          <w:rFonts w:hint="eastAsia" w:ascii="宋体" w:hAnsi="宋体" w:cs="宋体"/>
          <w:szCs w:val="21"/>
          <w:highlight w:val="none"/>
        </w:rPr>
        <w:t>本合同经双方全权代表签署、加盖单位印章并由卖方递交履约保证金后生效。</w:t>
      </w:r>
    </w:p>
    <w:p w14:paraId="595C0843">
      <w:pPr>
        <w:spacing w:line="360" w:lineRule="auto"/>
        <w:ind w:left="1080" w:leftChars="257" w:hanging="540"/>
        <w:rPr>
          <w:rFonts w:hint="eastAsia" w:ascii="宋体" w:hAnsi="宋体" w:cs="宋体"/>
          <w:szCs w:val="21"/>
          <w:highlight w:val="none"/>
        </w:rPr>
      </w:pPr>
    </w:p>
    <w:p w14:paraId="7F81CE3C">
      <w:pPr>
        <w:spacing w:line="360" w:lineRule="auto"/>
        <w:ind w:left="975" w:leftChars="207" w:hanging="540"/>
        <w:rPr>
          <w:rFonts w:hint="eastAsia" w:ascii="宋体" w:hAnsi="宋体" w:cs="宋体"/>
          <w:szCs w:val="21"/>
          <w:highlight w:val="none"/>
          <w:u w:val="single"/>
        </w:rPr>
      </w:pPr>
      <w:r>
        <w:rPr>
          <w:rFonts w:hint="eastAsia" w:ascii="宋体" w:hAnsi="宋体" w:cs="宋体"/>
          <w:szCs w:val="21"/>
          <w:highlight w:val="none"/>
        </w:rPr>
        <w:t>　买  　方：</w:t>
      </w:r>
      <w:r>
        <w:rPr>
          <w:rFonts w:hint="eastAsia" w:ascii="宋体" w:hAnsi="宋体" w:cs="宋体"/>
          <w:szCs w:val="21"/>
          <w:highlight w:val="none"/>
          <w:u w:val="single"/>
        </w:rPr>
        <w:t xml:space="preserve">                 </w:t>
      </w:r>
      <w:r>
        <w:rPr>
          <w:rFonts w:hint="eastAsia" w:ascii="宋体" w:hAnsi="宋体" w:cs="宋体"/>
          <w:szCs w:val="21"/>
          <w:highlight w:val="none"/>
        </w:rPr>
        <w:t xml:space="preserve">      卖　  方：</w:t>
      </w:r>
      <w:r>
        <w:rPr>
          <w:rFonts w:hint="eastAsia" w:ascii="宋体" w:hAnsi="宋体" w:cs="宋体"/>
          <w:szCs w:val="21"/>
          <w:highlight w:val="none"/>
          <w:u w:val="single"/>
        </w:rPr>
        <w:t xml:space="preserve">                  </w:t>
      </w:r>
    </w:p>
    <w:p w14:paraId="7D3BB112">
      <w:pPr>
        <w:spacing w:line="360" w:lineRule="auto"/>
        <w:ind w:left="1026" w:leftChars="314" w:hanging="367" w:hangingChars="175"/>
        <w:rPr>
          <w:rFonts w:hint="eastAsia" w:ascii="宋体" w:hAnsi="宋体" w:cs="宋体"/>
          <w:szCs w:val="21"/>
          <w:highlight w:val="none"/>
        </w:rPr>
      </w:pPr>
      <w:r>
        <w:rPr>
          <w:rFonts w:hint="eastAsia" w:ascii="宋体" w:hAnsi="宋体" w:cs="宋体"/>
          <w:szCs w:val="21"/>
          <w:highlight w:val="none"/>
        </w:rPr>
        <w:t>名　  称：(印章)</w:t>
      </w:r>
      <w:r>
        <w:rPr>
          <w:rFonts w:hint="eastAsia" w:ascii="宋体" w:hAnsi="宋体" w:cs="宋体"/>
          <w:szCs w:val="21"/>
          <w:highlight w:val="none"/>
          <w:u w:val="single"/>
        </w:rPr>
        <w:t>　　　  　</w:t>
      </w:r>
      <w:r>
        <w:rPr>
          <w:rFonts w:hint="eastAsia" w:ascii="宋体" w:hAnsi="宋体" w:cs="宋体"/>
          <w:szCs w:val="21"/>
          <w:highlight w:val="none"/>
        </w:rPr>
        <w:t>　     名　  称：(印章)</w:t>
      </w:r>
      <w:r>
        <w:rPr>
          <w:rFonts w:hint="eastAsia" w:ascii="宋体" w:hAnsi="宋体" w:cs="宋体"/>
          <w:szCs w:val="21"/>
          <w:highlight w:val="none"/>
          <w:u w:val="single"/>
        </w:rPr>
        <w:t xml:space="preserve">            </w:t>
      </w:r>
    </w:p>
    <w:p w14:paraId="089BFA8E">
      <w:pPr>
        <w:spacing w:line="360" w:lineRule="auto"/>
        <w:ind w:left="1026" w:leftChars="314" w:hanging="367" w:hangingChars="175"/>
        <w:rPr>
          <w:rFonts w:hint="eastAsia" w:ascii="宋体" w:hAnsi="宋体" w:cs="宋体"/>
          <w:szCs w:val="21"/>
          <w:highlight w:val="none"/>
          <w:u w:val="single"/>
        </w:rPr>
      </w:pPr>
      <w:r>
        <w:rPr>
          <w:rFonts w:hint="eastAsia" w:ascii="宋体" w:hAnsi="宋体" w:cs="宋体"/>
          <w:szCs w:val="21"/>
          <w:highlight w:val="none"/>
        </w:rPr>
        <w:t>日    期：</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　　   日    期：</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509111F1">
      <w:pPr>
        <w:spacing w:line="360" w:lineRule="auto"/>
        <w:ind w:firstLine="210" w:firstLineChars="100"/>
        <w:rPr>
          <w:rFonts w:hint="eastAsia" w:ascii="宋体" w:hAnsi="宋体" w:cs="宋体"/>
          <w:szCs w:val="21"/>
          <w:highlight w:val="none"/>
          <w:u w:val="single"/>
        </w:rPr>
      </w:pPr>
      <w:r>
        <w:rPr>
          <w:rFonts w:hint="eastAsia" w:ascii="宋体" w:hAnsi="宋体" w:cs="宋体"/>
          <w:szCs w:val="21"/>
          <w:highlight w:val="none"/>
        </w:rPr>
        <w:t>　　授权代表(签字)：</w:t>
      </w:r>
      <w:r>
        <w:rPr>
          <w:rFonts w:hint="eastAsia" w:ascii="宋体" w:hAnsi="宋体" w:cs="宋体"/>
          <w:szCs w:val="21"/>
          <w:highlight w:val="none"/>
          <w:u w:val="single"/>
        </w:rPr>
        <w:t xml:space="preserve">          </w:t>
      </w:r>
      <w:r>
        <w:rPr>
          <w:rFonts w:hint="eastAsia" w:ascii="宋体" w:hAnsi="宋体" w:cs="宋体"/>
          <w:szCs w:val="21"/>
          <w:highlight w:val="none"/>
        </w:rPr>
        <w:tab/>
      </w:r>
      <w:r>
        <w:rPr>
          <w:rFonts w:hint="eastAsia" w:ascii="宋体" w:hAnsi="宋体" w:cs="宋体"/>
          <w:szCs w:val="21"/>
          <w:highlight w:val="none"/>
        </w:rPr>
        <w:t xml:space="preserve">   授权代表(签字)：</w:t>
      </w:r>
      <w:r>
        <w:rPr>
          <w:rFonts w:hint="eastAsia" w:ascii="宋体" w:hAnsi="宋体" w:cs="宋体"/>
          <w:szCs w:val="21"/>
          <w:highlight w:val="none"/>
          <w:u w:val="single"/>
        </w:rPr>
        <w:t xml:space="preserve">            </w:t>
      </w:r>
    </w:p>
    <w:p w14:paraId="1F0FE0A5">
      <w:pPr>
        <w:spacing w:line="360" w:lineRule="auto"/>
        <w:ind w:left="569" w:leftChars="96" w:hanging="367" w:hangingChars="175"/>
        <w:rPr>
          <w:rFonts w:hint="eastAsia" w:ascii="宋体" w:hAnsi="宋体" w:cs="宋体"/>
          <w:szCs w:val="21"/>
          <w:highlight w:val="none"/>
          <w:u w:val="single"/>
        </w:rPr>
      </w:pPr>
      <w:r>
        <w:rPr>
          <w:rFonts w:hint="eastAsia" w:ascii="宋体" w:hAnsi="宋体" w:cs="宋体"/>
          <w:szCs w:val="21"/>
          <w:highlight w:val="none"/>
        </w:rPr>
        <w:t>　　地　　址：</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地　　址：</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3DDFC2FD">
      <w:pPr>
        <w:spacing w:line="360" w:lineRule="auto"/>
        <w:ind w:left="608" w:leftChars="115" w:hanging="367" w:hangingChars="175"/>
        <w:rPr>
          <w:rFonts w:hint="eastAsia" w:ascii="宋体" w:hAnsi="宋体" w:cs="宋体"/>
          <w:szCs w:val="21"/>
          <w:highlight w:val="none"/>
          <w:u w:val="single"/>
        </w:rPr>
      </w:pPr>
      <w:r>
        <w:rPr>
          <w:rFonts w:hint="eastAsia" w:ascii="宋体" w:hAnsi="宋体" w:cs="宋体"/>
          <w:szCs w:val="21"/>
          <w:highlight w:val="none"/>
        </w:rPr>
        <w:t>　　邮政编码：</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邮政编码：</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29736543">
      <w:pPr>
        <w:spacing w:line="360" w:lineRule="auto"/>
        <w:ind w:left="630" w:leftChars="125" w:hanging="367" w:hangingChars="175"/>
        <w:rPr>
          <w:rFonts w:hint="eastAsia" w:ascii="宋体" w:hAnsi="宋体" w:cs="宋体"/>
          <w:szCs w:val="21"/>
          <w:highlight w:val="none"/>
          <w:u w:val="single"/>
        </w:rPr>
      </w:pPr>
      <w:r>
        <w:rPr>
          <w:rFonts w:hint="eastAsia" w:ascii="宋体" w:hAnsi="宋体" w:cs="宋体"/>
          <w:szCs w:val="21"/>
          <w:highlight w:val="none"/>
        </w:rPr>
        <w:t>　  电　　话：</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电　　话：</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267DF093">
      <w:pPr>
        <w:spacing w:line="360" w:lineRule="auto"/>
        <w:ind w:firstLine="630" w:firstLineChars="300"/>
        <w:rPr>
          <w:rFonts w:hint="eastAsia" w:ascii="宋体" w:hAnsi="宋体" w:cs="宋体"/>
          <w:szCs w:val="21"/>
          <w:highlight w:val="none"/>
          <w:u w:val="single"/>
        </w:rPr>
      </w:pPr>
      <w:r>
        <w:rPr>
          <w:rFonts w:hint="eastAsia" w:ascii="宋体" w:hAnsi="宋体" w:cs="宋体"/>
          <w:szCs w:val="21"/>
          <w:highlight w:val="none"/>
        </w:rPr>
        <w:t>开户银行：</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开户银行：</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7307667B">
      <w:pPr>
        <w:spacing w:line="360" w:lineRule="auto"/>
        <w:ind w:firstLine="630" w:firstLineChars="300"/>
        <w:rPr>
          <w:rFonts w:hint="eastAsia" w:ascii="宋体" w:hAnsi="宋体" w:cs="宋体"/>
          <w:szCs w:val="21"/>
          <w:highlight w:val="none"/>
          <w:u w:val="single"/>
        </w:rPr>
      </w:pPr>
      <w:r>
        <w:rPr>
          <w:rFonts w:hint="eastAsia" w:ascii="宋体" w:hAnsi="宋体" w:cs="宋体"/>
          <w:szCs w:val="21"/>
          <w:highlight w:val="none"/>
        </w:rPr>
        <w:t>帐　　号：</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帐　　号：</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43892786">
      <w:pPr>
        <w:spacing w:line="360" w:lineRule="auto"/>
        <w:rPr>
          <w:rFonts w:hint="eastAsia" w:ascii="宋体" w:hAnsi="宋体" w:cs="宋体"/>
          <w:szCs w:val="21"/>
          <w:highlight w:val="none"/>
          <w:u w:val="single"/>
        </w:rPr>
      </w:pPr>
    </w:p>
    <w:p w14:paraId="76B8C349">
      <w:pPr>
        <w:spacing w:line="360" w:lineRule="auto"/>
        <w:rPr>
          <w:rFonts w:hint="eastAsia" w:ascii="宋体" w:hAnsi="宋体" w:cs="宋体"/>
          <w:szCs w:val="21"/>
          <w:highlight w:val="none"/>
          <w:u w:val="single"/>
        </w:rPr>
      </w:pPr>
    </w:p>
    <w:p w14:paraId="3377CBC1">
      <w:pPr>
        <w:spacing w:line="360" w:lineRule="auto"/>
        <w:rPr>
          <w:rFonts w:hint="eastAsia" w:ascii="宋体" w:hAnsi="宋体" w:cs="宋体"/>
          <w:szCs w:val="21"/>
          <w:highlight w:val="none"/>
          <w:u w:val="single"/>
        </w:rPr>
      </w:pPr>
    </w:p>
    <w:p w14:paraId="75BA65F6">
      <w:pPr>
        <w:spacing w:line="360" w:lineRule="auto"/>
        <w:rPr>
          <w:rFonts w:hint="eastAsia" w:ascii="宋体" w:hAnsi="宋体" w:cs="宋体"/>
          <w:szCs w:val="21"/>
          <w:highlight w:val="none"/>
          <w:u w:val="single"/>
        </w:rPr>
      </w:pPr>
    </w:p>
    <w:p w14:paraId="4B5C7032">
      <w:pPr>
        <w:spacing w:line="360" w:lineRule="auto"/>
        <w:rPr>
          <w:rFonts w:hint="eastAsia" w:ascii="宋体" w:hAnsi="宋体" w:cs="宋体"/>
          <w:szCs w:val="21"/>
          <w:highlight w:val="none"/>
          <w:u w:val="single"/>
        </w:rPr>
      </w:pPr>
    </w:p>
    <w:p w14:paraId="00D882CA">
      <w:pPr>
        <w:spacing w:line="360" w:lineRule="auto"/>
        <w:rPr>
          <w:rFonts w:hint="eastAsia" w:ascii="宋体" w:hAnsi="宋体" w:cs="宋体"/>
          <w:szCs w:val="21"/>
          <w:highlight w:val="none"/>
          <w:u w:val="single"/>
        </w:rPr>
      </w:pPr>
    </w:p>
    <w:p w14:paraId="580A62D8">
      <w:pPr>
        <w:spacing w:line="360" w:lineRule="auto"/>
        <w:rPr>
          <w:rFonts w:hint="eastAsia" w:ascii="宋体" w:hAnsi="宋体" w:cs="宋体"/>
          <w:szCs w:val="21"/>
          <w:highlight w:val="none"/>
          <w:u w:val="single"/>
        </w:rPr>
      </w:pPr>
    </w:p>
    <w:p w14:paraId="742006F7">
      <w:pPr>
        <w:spacing w:line="360" w:lineRule="auto"/>
        <w:rPr>
          <w:rFonts w:hint="eastAsia" w:ascii="宋体" w:hAnsi="宋体" w:cs="宋体"/>
          <w:szCs w:val="21"/>
          <w:highlight w:val="none"/>
          <w:u w:val="single"/>
        </w:rPr>
      </w:pPr>
    </w:p>
    <w:p w14:paraId="6F10EB83">
      <w:pPr>
        <w:spacing w:line="360" w:lineRule="auto"/>
        <w:rPr>
          <w:rFonts w:hint="eastAsia" w:ascii="宋体" w:hAnsi="宋体" w:cs="宋体"/>
          <w:szCs w:val="21"/>
          <w:highlight w:val="none"/>
          <w:u w:val="single"/>
        </w:rPr>
      </w:pPr>
    </w:p>
    <w:p w14:paraId="7AD8C356">
      <w:pPr>
        <w:spacing w:line="360" w:lineRule="auto"/>
        <w:rPr>
          <w:rFonts w:hint="eastAsia" w:ascii="宋体" w:hAnsi="宋体" w:cs="宋体"/>
          <w:szCs w:val="21"/>
          <w:highlight w:val="none"/>
          <w:u w:val="single"/>
        </w:rPr>
      </w:pPr>
    </w:p>
    <w:p w14:paraId="26A26B46">
      <w:pPr>
        <w:spacing w:line="360" w:lineRule="auto"/>
        <w:rPr>
          <w:rFonts w:hint="eastAsia" w:ascii="宋体" w:hAnsi="宋体" w:cs="宋体"/>
          <w:szCs w:val="21"/>
          <w:highlight w:val="none"/>
          <w:u w:val="single"/>
        </w:rPr>
      </w:pPr>
    </w:p>
    <w:p w14:paraId="4679DA0D">
      <w:pPr>
        <w:spacing w:line="360" w:lineRule="auto"/>
        <w:rPr>
          <w:rFonts w:hint="eastAsia" w:ascii="宋体" w:hAnsi="宋体" w:cs="宋体"/>
          <w:szCs w:val="21"/>
          <w:highlight w:val="none"/>
          <w:u w:val="single"/>
        </w:rPr>
      </w:pPr>
    </w:p>
    <w:p w14:paraId="22BC309C">
      <w:pPr>
        <w:spacing w:line="360" w:lineRule="auto"/>
        <w:rPr>
          <w:rFonts w:hint="eastAsia" w:ascii="宋体" w:hAnsi="宋体" w:cs="宋体"/>
          <w:szCs w:val="21"/>
          <w:highlight w:val="none"/>
          <w:u w:val="single"/>
        </w:rPr>
      </w:pPr>
    </w:p>
    <w:p w14:paraId="399D2722">
      <w:pPr>
        <w:spacing w:line="360" w:lineRule="auto"/>
        <w:rPr>
          <w:rFonts w:hint="eastAsia" w:ascii="宋体" w:hAnsi="宋体" w:cs="宋体"/>
          <w:szCs w:val="21"/>
          <w:highlight w:val="none"/>
          <w:u w:val="single"/>
        </w:rPr>
      </w:pPr>
    </w:p>
    <w:p w14:paraId="56BC606C">
      <w:pPr>
        <w:spacing w:line="360" w:lineRule="auto"/>
        <w:rPr>
          <w:rFonts w:hint="eastAsia" w:ascii="宋体" w:hAnsi="宋体" w:cs="宋体"/>
          <w:szCs w:val="21"/>
          <w:highlight w:val="none"/>
          <w:u w:val="single"/>
        </w:rPr>
      </w:pPr>
    </w:p>
    <w:p w14:paraId="6A16549C">
      <w:pPr>
        <w:spacing w:line="360" w:lineRule="auto"/>
        <w:rPr>
          <w:rFonts w:hint="eastAsia" w:ascii="宋体" w:hAnsi="宋体" w:cs="宋体"/>
          <w:szCs w:val="21"/>
          <w:highlight w:val="none"/>
          <w:u w:val="single"/>
        </w:rPr>
      </w:pPr>
    </w:p>
    <w:p w14:paraId="5DCF33F2">
      <w:pPr>
        <w:spacing w:line="360" w:lineRule="auto"/>
        <w:rPr>
          <w:rFonts w:hint="eastAsia" w:ascii="宋体" w:hAnsi="宋体" w:cs="宋体"/>
          <w:szCs w:val="21"/>
          <w:highlight w:val="none"/>
          <w:u w:val="single"/>
        </w:rPr>
      </w:pPr>
    </w:p>
    <w:p w14:paraId="331CDE04">
      <w:pPr>
        <w:spacing w:line="360" w:lineRule="auto"/>
        <w:rPr>
          <w:rFonts w:hint="eastAsia" w:ascii="宋体" w:hAnsi="宋体"/>
          <w:b/>
          <w:szCs w:val="21"/>
          <w:highlight w:val="none"/>
        </w:rPr>
      </w:pPr>
    </w:p>
    <w:p w14:paraId="336B8B2F">
      <w:pPr>
        <w:spacing w:line="360" w:lineRule="auto"/>
        <w:rPr>
          <w:rFonts w:hint="eastAsia" w:ascii="宋体" w:hAnsi="宋体"/>
          <w:b/>
          <w:szCs w:val="21"/>
          <w:highlight w:val="none"/>
        </w:rPr>
      </w:pPr>
    </w:p>
    <w:p w14:paraId="7225470B">
      <w:pPr>
        <w:spacing w:line="360" w:lineRule="auto"/>
        <w:rPr>
          <w:rFonts w:hint="eastAsia" w:ascii="宋体" w:hAnsi="宋体"/>
          <w:b/>
          <w:szCs w:val="21"/>
          <w:highlight w:val="none"/>
        </w:rPr>
      </w:pPr>
    </w:p>
    <w:p w14:paraId="19DF0EEE">
      <w:pPr>
        <w:spacing w:line="360" w:lineRule="auto"/>
        <w:rPr>
          <w:rFonts w:hint="eastAsia" w:ascii="宋体" w:hAnsi="宋体"/>
          <w:b/>
          <w:szCs w:val="21"/>
          <w:highlight w:val="none"/>
        </w:rPr>
      </w:pPr>
    </w:p>
    <w:p w14:paraId="6CAACC1B">
      <w:pPr>
        <w:spacing w:line="360" w:lineRule="auto"/>
        <w:rPr>
          <w:rFonts w:hint="eastAsia" w:ascii="宋体" w:hAnsi="宋体"/>
          <w:b/>
          <w:szCs w:val="21"/>
          <w:highlight w:val="none"/>
        </w:rPr>
      </w:pPr>
    </w:p>
    <w:p w14:paraId="7F01B50C">
      <w:pPr>
        <w:spacing w:line="360" w:lineRule="auto"/>
        <w:rPr>
          <w:rFonts w:hint="eastAsia" w:ascii="宋体" w:hAnsi="宋体"/>
          <w:b/>
          <w:szCs w:val="21"/>
          <w:highlight w:val="none"/>
        </w:rPr>
      </w:pPr>
    </w:p>
    <w:p w14:paraId="6FC10312">
      <w:pPr>
        <w:spacing w:line="360" w:lineRule="auto"/>
        <w:rPr>
          <w:rFonts w:hint="eastAsia" w:ascii="宋体" w:hAnsi="宋体"/>
          <w:b/>
          <w:szCs w:val="21"/>
          <w:highlight w:val="none"/>
        </w:rPr>
      </w:pPr>
    </w:p>
    <w:p w14:paraId="471AA024">
      <w:pPr>
        <w:spacing w:line="360" w:lineRule="auto"/>
        <w:rPr>
          <w:rFonts w:hint="eastAsia" w:ascii="宋体" w:hAnsi="宋体"/>
          <w:b/>
          <w:szCs w:val="21"/>
          <w:highlight w:val="none"/>
        </w:rPr>
      </w:pPr>
    </w:p>
    <w:p w14:paraId="52620249">
      <w:pPr>
        <w:spacing w:line="360" w:lineRule="auto"/>
        <w:rPr>
          <w:rFonts w:hint="eastAsia" w:ascii="宋体" w:hAnsi="宋体"/>
          <w:b/>
          <w:szCs w:val="21"/>
          <w:highlight w:val="none"/>
        </w:rPr>
      </w:pPr>
    </w:p>
    <w:p w14:paraId="1A3E39F7">
      <w:pPr>
        <w:spacing w:line="360" w:lineRule="auto"/>
        <w:rPr>
          <w:rFonts w:hint="eastAsia" w:ascii="宋体" w:hAnsi="宋体"/>
          <w:b/>
          <w:szCs w:val="21"/>
          <w:highlight w:val="none"/>
        </w:rPr>
      </w:pPr>
    </w:p>
    <w:p w14:paraId="4C51606D">
      <w:pPr>
        <w:spacing w:line="360" w:lineRule="auto"/>
        <w:rPr>
          <w:rFonts w:hint="eastAsia" w:ascii="宋体" w:hAnsi="宋体"/>
          <w:b/>
          <w:szCs w:val="21"/>
          <w:highlight w:val="none"/>
        </w:rPr>
      </w:pPr>
    </w:p>
    <w:p w14:paraId="2834C7E8">
      <w:pPr>
        <w:spacing w:line="360" w:lineRule="auto"/>
        <w:ind w:firstLine="422" w:firstLineChars="200"/>
        <w:rPr>
          <w:rFonts w:hint="eastAsia" w:ascii="宋体" w:hAnsi="宋体"/>
          <w:b/>
          <w:szCs w:val="21"/>
          <w:highlight w:val="none"/>
        </w:rPr>
      </w:pPr>
    </w:p>
    <w:p w14:paraId="48608ED2">
      <w:pPr>
        <w:jc w:val="center"/>
        <w:rPr>
          <w:rFonts w:hint="eastAsia" w:ascii="宋体" w:hAnsi="宋体"/>
          <w:b/>
          <w:szCs w:val="21"/>
          <w:highlight w:val="none"/>
        </w:rPr>
      </w:pPr>
    </w:p>
    <w:p w14:paraId="7EB4A5B0">
      <w:pPr>
        <w:pStyle w:val="4"/>
        <w:rPr>
          <w:rFonts w:hint="eastAsia" w:ascii="宋体" w:hAnsi="宋体" w:eastAsia="宋体" w:cs="仿宋"/>
          <w:bCs w:val="0"/>
          <w:color w:val="FF0000"/>
          <w:sz w:val="24"/>
          <w:szCs w:val="24"/>
          <w:highlight w:val="none"/>
        </w:rPr>
      </w:pPr>
      <w:bookmarkStart w:id="329" w:name="_Toc109736067"/>
      <w:bookmarkStart w:id="330" w:name="_Toc21041"/>
      <w:r>
        <w:rPr>
          <w:rFonts w:hint="eastAsia" w:ascii="宋体" w:hAnsi="宋体" w:eastAsia="宋体" w:cs="仿宋"/>
          <w:bCs w:val="0"/>
          <w:color w:val="FF0000"/>
          <w:sz w:val="24"/>
          <w:szCs w:val="24"/>
          <w:highlight w:val="none"/>
        </w:rPr>
        <w:t>三、合同特殊条款</w:t>
      </w:r>
      <w:bookmarkEnd w:id="329"/>
      <w:bookmarkEnd w:id="330"/>
    </w:p>
    <w:p w14:paraId="4BB4BB0C">
      <w:pPr>
        <w:spacing w:before="120" w:line="360" w:lineRule="exact"/>
        <w:ind w:firstLine="454"/>
        <w:rPr>
          <w:rFonts w:ascii="宋体" w:hAnsi="宋体"/>
          <w:szCs w:val="21"/>
          <w:highlight w:val="none"/>
        </w:rPr>
      </w:pPr>
      <w:r>
        <w:rPr>
          <w:rFonts w:hint="eastAsia" w:ascii="宋体" w:hAnsi="宋体"/>
          <w:szCs w:val="21"/>
          <w:highlight w:val="none"/>
        </w:rPr>
        <w:t>合同特殊条款是合同一般条款的补充和修改。如果两者之间有抵触,应以特殊条款为准。合同特殊条款的序号将与合同一般条款序号相对应。</w:t>
      </w:r>
    </w:p>
    <w:p w14:paraId="4F152539">
      <w:pPr>
        <w:numPr>
          <w:ilvl w:val="0"/>
          <w:numId w:val="14"/>
        </w:numPr>
        <w:spacing w:before="120" w:line="360" w:lineRule="exact"/>
        <w:rPr>
          <w:rFonts w:ascii="宋体" w:hAnsi="宋体"/>
          <w:szCs w:val="21"/>
          <w:highlight w:val="none"/>
        </w:rPr>
      </w:pPr>
      <w:r>
        <w:rPr>
          <w:rFonts w:hint="eastAsia" w:ascii="宋体" w:hAnsi="宋体"/>
          <w:szCs w:val="21"/>
          <w:highlight w:val="none"/>
        </w:rPr>
        <w:t>定义</w:t>
      </w:r>
    </w:p>
    <w:p w14:paraId="1657BA1F">
      <w:pPr>
        <w:spacing w:before="120" w:line="360" w:lineRule="exact"/>
        <w:rPr>
          <w:rFonts w:ascii="宋体" w:hAnsi="宋体"/>
          <w:szCs w:val="21"/>
          <w:highlight w:val="none"/>
          <w:u w:val="single"/>
        </w:rPr>
      </w:pPr>
      <w:r>
        <w:rPr>
          <w:rFonts w:hint="eastAsia" w:ascii="宋体" w:hAnsi="宋体"/>
          <w:szCs w:val="21"/>
          <w:highlight w:val="none"/>
        </w:rPr>
        <w:t>1.5 买方：本合同买方系指：</w:t>
      </w:r>
      <w:r>
        <w:rPr>
          <w:rFonts w:ascii="宋体" w:hAnsi="宋体"/>
          <w:szCs w:val="21"/>
          <w:highlight w:val="none"/>
          <w:u w:val="single"/>
        </w:rPr>
        <w:t>国药集团扬州威克生物工程有限公司</w:t>
      </w:r>
    </w:p>
    <w:p w14:paraId="7A789DFF">
      <w:pPr>
        <w:spacing w:before="120" w:line="360" w:lineRule="exact"/>
        <w:rPr>
          <w:rFonts w:ascii="宋体" w:hAnsi="宋体"/>
          <w:szCs w:val="21"/>
          <w:highlight w:val="none"/>
          <w:u w:val="single"/>
        </w:rPr>
      </w:pPr>
      <w:r>
        <w:rPr>
          <w:rFonts w:hint="eastAsia" w:ascii="宋体" w:hAnsi="宋体"/>
          <w:szCs w:val="21"/>
          <w:highlight w:val="none"/>
        </w:rPr>
        <w:t>1.6 卖方：本合同卖方系指：</w:t>
      </w:r>
      <w:r>
        <w:rPr>
          <w:rFonts w:hint="eastAsia" w:ascii="宋体" w:hAnsi="宋体"/>
          <w:szCs w:val="21"/>
          <w:highlight w:val="none"/>
          <w:u w:val="single"/>
        </w:rPr>
        <w:t xml:space="preserve">  中标人     </w:t>
      </w:r>
    </w:p>
    <w:p w14:paraId="78E5049B">
      <w:pPr>
        <w:spacing w:before="120" w:line="360" w:lineRule="exact"/>
        <w:rPr>
          <w:rFonts w:hint="default" w:ascii="宋体" w:hAnsi="宋体" w:eastAsia="宋体"/>
          <w:szCs w:val="21"/>
          <w:highlight w:val="none"/>
          <w:lang w:val="en-US" w:eastAsia="zh-CN"/>
        </w:rPr>
      </w:pPr>
      <w:r>
        <w:rPr>
          <w:rFonts w:hint="eastAsia" w:ascii="宋体" w:hAnsi="宋体"/>
          <w:szCs w:val="21"/>
          <w:highlight w:val="none"/>
        </w:rPr>
        <w:t>1.7 现场：本合同项下的货物安装和运行地点位于：招标人指定安装场所</w:t>
      </w:r>
      <w:r>
        <w:rPr>
          <w:rFonts w:hint="eastAsia" w:ascii="宋体" w:hAnsi="宋体"/>
          <w:szCs w:val="21"/>
          <w:highlight w:val="none"/>
          <w:lang w:eastAsia="zh-CN"/>
        </w:rPr>
        <w:t>，</w:t>
      </w:r>
      <w:r>
        <w:rPr>
          <w:rFonts w:hint="eastAsia" w:ascii="宋体" w:hAnsi="宋体"/>
          <w:szCs w:val="21"/>
          <w:highlight w:val="none"/>
          <w:lang w:val="en-US" w:eastAsia="zh-CN"/>
        </w:rPr>
        <w:t>投标人负责货物运输、卸货及培训。</w:t>
      </w:r>
    </w:p>
    <w:p w14:paraId="13C9B4DF">
      <w:pPr>
        <w:spacing w:line="360" w:lineRule="exact"/>
        <w:rPr>
          <w:rFonts w:ascii="宋体" w:hAnsi="宋体"/>
          <w:szCs w:val="21"/>
          <w:highlight w:val="none"/>
        </w:rPr>
      </w:pPr>
      <w:r>
        <w:rPr>
          <w:rFonts w:hint="eastAsia" w:ascii="宋体" w:hAnsi="宋体"/>
          <w:szCs w:val="21"/>
          <w:highlight w:val="none"/>
        </w:rPr>
        <w:t>6、交货方式：</w:t>
      </w:r>
    </w:p>
    <w:p w14:paraId="07207B19">
      <w:pPr>
        <w:spacing w:line="360" w:lineRule="exact"/>
        <w:rPr>
          <w:rFonts w:hint="eastAsia" w:ascii="宋体" w:hAnsi="宋体"/>
          <w:color w:val="FF0000"/>
          <w:szCs w:val="21"/>
          <w:highlight w:val="none"/>
        </w:rPr>
      </w:pPr>
      <w:r>
        <w:rPr>
          <w:rFonts w:hint="eastAsia" w:ascii="宋体" w:hAnsi="宋体"/>
          <w:szCs w:val="21"/>
          <w:highlight w:val="none"/>
        </w:rPr>
        <w:t>6.1　本合同项下的货物交货方式为：适用合同条款6.1.1 现场交货；</w:t>
      </w:r>
      <w:r>
        <w:rPr>
          <w:rFonts w:hint="eastAsia" w:ascii="宋体" w:hAnsi="宋体" w:cs="宋体"/>
          <w:color w:val="FF0000"/>
          <w:lang w:val="en-US"/>
        </w:rPr>
        <w:t>产品运输过程中需要采用低温冷藏车运输，产品外观无破损。</w:t>
      </w:r>
    </w:p>
    <w:p w14:paraId="3E1304A1">
      <w:pPr>
        <w:spacing w:before="120" w:line="360" w:lineRule="exact"/>
        <w:rPr>
          <w:rFonts w:ascii="宋体" w:hAnsi="宋体"/>
          <w:szCs w:val="21"/>
          <w:highlight w:val="none"/>
        </w:rPr>
      </w:pPr>
      <w:r>
        <w:rPr>
          <w:rFonts w:hint="eastAsia" w:ascii="宋体" w:hAnsi="宋体"/>
          <w:szCs w:val="21"/>
          <w:highlight w:val="none"/>
        </w:rPr>
        <w:t>6.2  卖方应在货物发出</w:t>
      </w:r>
      <w:r>
        <w:rPr>
          <w:rFonts w:hint="eastAsia" w:ascii="宋体" w:hAnsi="宋体"/>
          <w:szCs w:val="21"/>
          <w:highlight w:val="none"/>
          <w:u w:val="single"/>
          <w:lang w:val="en-US" w:eastAsia="zh-CN"/>
        </w:rPr>
        <w:t>5</w:t>
      </w:r>
      <w:r>
        <w:rPr>
          <w:rFonts w:hint="eastAsia" w:ascii="宋体" w:hAnsi="宋体"/>
          <w:szCs w:val="21"/>
          <w:highlight w:val="none"/>
        </w:rPr>
        <w:t>天前以电报或传真形式将合同号、货物名称、数量、包装箱件数、总毛重、总体积(立方米)和备妥交货日期通知买方。</w:t>
      </w:r>
    </w:p>
    <w:p w14:paraId="177E20C5">
      <w:pPr>
        <w:spacing w:before="120" w:line="360" w:lineRule="exact"/>
        <w:rPr>
          <w:rFonts w:hint="default" w:ascii="宋体" w:hAnsi="宋体" w:eastAsia="宋体"/>
          <w:color w:val="FF0000"/>
          <w:szCs w:val="21"/>
          <w:highlight w:val="none"/>
          <w:lang w:val="en-US" w:eastAsia="zh-CN"/>
        </w:rPr>
      </w:pPr>
      <w:r>
        <w:rPr>
          <w:rFonts w:hint="eastAsia" w:ascii="宋体" w:hAnsi="宋体"/>
          <w:szCs w:val="21"/>
          <w:highlight w:val="none"/>
        </w:rPr>
        <w:t xml:space="preserve">8、付款条件： </w:t>
      </w:r>
      <w:r>
        <w:rPr>
          <w:rFonts w:hint="eastAsia" w:ascii="宋体" w:hAnsi="宋体"/>
          <w:color w:val="FF0000"/>
          <w:szCs w:val="21"/>
          <w:highlight w:val="none"/>
          <w:lang w:val="en-US" w:eastAsia="zh-CN"/>
        </w:rPr>
        <w:t>货到验收合格后开票，6个月后付款，可接受至少50%银行承兑汇票。</w:t>
      </w:r>
    </w:p>
    <w:p w14:paraId="3C09BC0A">
      <w:pPr>
        <w:spacing w:before="120" w:line="360" w:lineRule="exact"/>
        <w:rPr>
          <w:rFonts w:ascii="宋体" w:hAnsi="宋体"/>
          <w:szCs w:val="21"/>
          <w:highlight w:val="none"/>
        </w:rPr>
      </w:pPr>
      <w:r>
        <w:rPr>
          <w:rFonts w:hint="eastAsia" w:ascii="宋体" w:hAnsi="宋体"/>
          <w:szCs w:val="21"/>
          <w:highlight w:val="none"/>
        </w:rPr>
        <w:t>9、技术资料：适用合同一般条款第9条以及第八章技术条款中的规定；</w:t>
      </w:r>
    </w:p>
    <w:p w14:paraId="347CF558">
      <w:pPr>
        <w:spacing w:before="120" w:line="360" w:lineRule="exact"/>
        <w:rPr>
          <w:rFonts w:hint="default" w:ascii="宋体" w:hAnsi="宋体"/>
          <w:szCs w:val="21"/>
          <w:highlight w:val="none"/>
          <w:lang w:val="en-US" w:eastAsia="zh-CN"/>
        </w:rPr>
      </w:pPr>
      <w:r>
        <w:rPr>
          <w:rFonts w:hint="eastAsia" w:ascii="宋体" w:hAnsi="宋体"/>
          <w:szCs w:val="21"/>
          <w:highlight w:val="none"/>
        </w:rPr>
        <w:t>10、质量保证： 卖方</w:t>
      </w:r>
      <w:r>
        <w:rPr>
          <w:rFonts w:hint="eastAsia" w:ascii="宋体" w:hAnsi="宋体"/>
          <w:szCs w:val="21"/>
          <w:highlight w:val="none"/>
          <w:lang w:val="en-US" w:eastAsia="zh-CN"/>
        </w:rPr>
        <w:t>承诺货物符合买方技术要求。</w:t>
      </w:r>
    </w:p>
    <w:p w14:paraId="1B434647">
      <w:pPr>
        <w:spacing w:before="120" w:line="360" w:lineRule="exact"/>
        <w:rPr>
          <w:rFonts w:hint="default" w:ascii="宋体" w:hAnsi="宋体" w:eastAsia="宋体"/>
          <w:szCs w:val="21"/>
          <w:highlight w:val="none"/>
          <w:lang w:val="en-US" w:eastAsia="zh-CN"/>
        </w:rPr>
      </w:pPr>
      <w:r>
        <w:rPr>
          <w:rFonts w:hint="eastAsia" w:ascii="宋体" w:hAnsi="宋体"/>
          <w:szCs w:val="21"/>
          <w:highlight w:val="none"/>
        </w:rPr>
        <w:t>12、索赔：</w:t>
      </w:r>
      <w:r>
        <w:rPr>
          <w:rFonts w:hint="eastAsia" w:ascii="宋体" w:hAnsi="宋体"/>
          <w:szCs w:val="21"/>
          <w:highlight w:val="none"/>
          <w:lang w:val="en-US" w:eastAsia="zh-CN"/>
        </w:rPr>
        <w:t>如因质量问题造成损失，买方将向卖方索赔。</w:t>
      </w:r>
    </w:p>
    <w:p w14:paraId="04C34733">
      <w:pPr>
        <w:spacing w:before="120" w:line="360" w:lineRule="exact"/>
        <w:rPr>
          <w:rFonts w:ascii="宋体" w:hAnsi="宋体"/>
          <w:szCs w:val="21"/>
          <w:highlight w:val="none"/>
        </w:rPr>
      </w:pPr>
      <w:r>
        <w:rPr>
          <w:rFonts w:hint="eastAsia" w:ascii="宋体" w:hAnsi="宋体"/>
          <w:szCs w:val="21"/>
          <w:highlight w:val="none"/>
        </w:rPr>
        <w:t>12.3索赔通知期限：30天；</w:t>
      </w:r>
    </w:p>
    <w:p w14:paraId="5E76FCB6">
      <w:pPr>
        <w:spacing w:before="120" w:line="360" w:lineRule="exact"/>
        <w:rPr>
          <w:rFonts w:ascii="宋体" w:hAnsi="宋体"/>
          <w:szCs w:val="21"/>
          <w:highlight w:val="none"/>
        </w:rPr>
      </w:pPr>
      <w:r>
        <w:rPr>
          <w:rFonts w:hint="eastAsia" w:ascii="宋体" w:hAnsi="宋体"/>
          <w:szCs w:val="21"/>
          <w:highlight w:val="none"/>
        </w:rPr>
        <w:t>15、不可抗力：</w:t>
      </w:r>
    </w:p>
    <w:p w14:paraId="15B7F4AC">
      <w:pPr>
        <w:spacing w:before="120" w:line="360" w:lineRule="exact"/>
        <w:rPr>
          <w:rFonts w:ascii="宋体" w:hAnsi="宋体"/>
          <w:szCs w:val="21"/>
          <w:highlight w:val="none"/>
        </w:rPr>
      </w:pPr>
      <w:r>
        <w:rPr>
          <w:rFonts w:hint="eastAsia" w:ascii="宋体" w:hAnsi="宋体"/>
          <w:szCs w:val="21"/>
          <w:highlight w:val="none"/>
        </w:rPr>
        <w:t>15.2不可抗力通知送达时间：事故发生后</w:t>
      </w:r>
      <w:r>
        <w:rPr>
          <w:rFonts w:hint="eastAsia" w:ascii="宋体" w:hAnsi="宋体"/>
          <w:szCs w:val="21"/>
          <w:highlight w:val="none"/>
          <w:u w:val="single"/>
        </w:rPr>
        <w:t>14</w:t>
      </w:r>
      <w:r>
        <w:rPr>
          <w:rFonts w:hint="eastAsia" w:ascii="宋体" w:hAnsi="宋体"/>
          <w:szCs w:val="21"/>
          <w:highlight w:val="none"/>
        </w:rPr>
        <w:t>天内；</w:t>
      </w:r>
    </w:p>
    <w:p w14:paraId="4F270911">
      <w:pPr>
        <w:spacing w:before="120" w:line="360" w:lineRule="exact"/>
        <w:ind w:firstLine="2625" w:firstLineChars="1250"/>
        <w:rPr>
          <w:rFonts w:hint="eastAsia" w:ascii="宋体" w:hAnsi="宋体"/>
          <w:szCs w:val="21"/>
          <w:highlight w:val="none"/>
        </w:rPr>
      </w:pPr>
    </w:p>
    <w:p w14:paraId="085D1A16">
      <w:pPr>
        <w:spacing w:line="360" w:lineRule="exact"/>
        <w:ind w:firstLine="420" w:firstLineChars="200"/>
        <w:rPr>
          <w:rFonts w:hint="eastAsia" w:ascii="宋体" w:hAnsi="宋体"/>
          <w:szCs w:val="21"/>
          <w:highlight w:val="none"/>
        </w:rPr>
      </w:pPr>
    </w:p>
    <w:p w14:paraId="04CB63AA">
      <w:pPr>
        <w:spacing w:line="360" w:lineRule="exact"/>
        <w:ind w:firstLine="420" w:firstLineChars="200"/>
        <w:rPr>
          <w:rFonts w:hint="eastAsia" w:ascii="宋体" w:hAnsi="宋体"/>
          <w:szCs w:val="21"/>
          <w:highlight w:val="none"/>
        </w:rPr>
      </w:pPr>
    </w:p>
    <w:p w14:paraId="04BDAAAE">
      <w:pPr>
        <w:spacing w:line="360" w:lineRule="exact"/>
        <w:ind w:firstLine="420" w:firstLineChars="200"/>
        <w:rPr>
          <w:rFonts w:hint="eastAsia" w:ascii="宋体" w:hAnsi="宋体"/>
          <w:szCs w:val="21"/>
          <w:highlight w:val="none"/>
        </w:rPr>
      </w:pPr>
    </w:p>
    <w:p w14:paraId="443D0B6B">
      <w:pPr>
        <w:spacing w:line="360" w:lineRule="auto"/>
        <w:ind w:firstLine="420" w:firstLineChars="200"/>
        <w:rPr>
          <w:rFonts w:hint="eastAsia" w:ascii="宋体" w:hAnsi="宋体"/>
          <w:szCs w:val="21"/>
          <w:highlight w:val="none"/>
        </w:rPr>
      </w:pPr>
    </w:p>
    <w:p w14:paraId="0A5A88B4">
      <w:pPr>
        <w:spacing w:line="360" w:lineRule="auto"/>
        <w:ind w:firstLine="420" w:firstLineChars="200"/>
        <w:rPr>
          <w:rFonts w:hint="eastAsia" w:ascii="宋体" w:hAnsi="宋体"/>
          <w:szCs w:val="21"/>
          <w:highlight w:val="none"/>
        </w:rPr>
      </w:pPr>
    </w:p>
    <w:p w14:paraId="28A32FD5">
      <w:pPr>
        <w:spacing w:line="360" w:lineRule="auto"/>
        <w:ind w:firstLine="420" w:firstLineChars="200"/>
        <w:rPr>
          <w:rFonts w:hint="eastAsia" w:ascii="宋体" w:hAnsi="宋体"/>
          <w:szCs w:val="21"/>
          <w:highlight w:val="none"/>
        </w:rPr>
      </w:pPr>
    </w:p>
    <w:p w14:paraId="4D178DD8">
      <w:pPr>
        <w:spacing w:line="360" w:lineRule="auto"/>
        <w:ind w:firstLine="422" w:firstLineChars="200"/>
        <w:rPr>
          <w:rFonts w:hint="eastAsia" w:ascii="宋体" w:hAnsi="宋体"/>
          <w:b/>
          <w:szCs w:val="21"/>
          <w:highlight w:val="none"/>
        </w:rPr>
      </w:pPr>
    </w:p>
    <w:p w14:paraId="3F9287BB">
      <w:pPr>
        <w:pStyle w:val="3"/>
        <w:spacing w:before="0" w:after="0" w:line="360" w:lineRule="auto"/>
        <w:jc w:val="center"/>
        <w:outlineLvl w:val="9"/>
        <w:rPr>
          <w:rFonts w:hint="eastAsia" w:ascii="宋体" w:hAnsi="宋体"/>
          <w:sz w:val="28"/>
          <w:szCs w:val="28"/>
          <w:highlight w:val="none"/>
        </w:rPr>
        <w:sectPr>
          <w:footerReference r:id="rId9" w:type="first"/>
          <w:footerReference r:id="rId8" w:type="default"/>
          <w:pgSz w:w="11907" w:h="16840"/>
          <w:pgMar w:top="1440" w:right="1588" w:bottom="1440" w:left="1588" w:header="851" w:footer="851" w:gutter="0"/>
          <w:pgNumType w:start="1"/>
          <w:cols w:space="720" w:num="1"/>
          <w:titlePg/>
          <w:docGrid w:linePitch="462" w:charSpace="0"/>
        </w:sectPr>
      </w:pPr>
      <w:bookmarkStart w:id="331" w:name="_Toc109736068"/>
      <w:bookmarkStart w:id="332" w:name="_Toc415222523"/>
    </w:p>
    <w:p w14:paraId="4923E849">
      <w:pPr>
        <w:pStyle w:val="3"/>
        <w:spacing w:before="0" w:after="0" w:line="360" w:lineRule="auto"/>
        <w:jc w:val="center"/>
        <w:rPr>
          <w:rFonts w:hint="eastAsia" w:ascii="宋体" w:hAnsi="宋体"/>
          <w:sz w:val="28"/>
          <w:szCs w:val="28"/>
          <w:highlight w:val="none"/>
        </w:rPr>
      </w:pPr>
      <w:bookmarkStart w:id="333" w:name="_Toc29842"/>
      <w:r>
        <w:rPr>
          <w:rFonts w:hint="eastAsia" w:ascii="宋体" w:hAnsi="宋体"/>
          <w:sz w:val="28"/>
          <w:szCs w:val="28"/>
          <w:highlight w:val="none"/>
        </w:rPr>
        <w:t>第四章 附件—投标文件格式</w:t>
      </w:r>
      <w:bookmarkEnd w:id="331"/>
      <w:bookmarkEnd w:id="332"/>
      <w:bookmarkEnd w:id="333"/>
    </w:p>
    <w:p w14:paraId="16AA8E8A">
      <w:pPr>
        <w:tabs>
          <w:tab w:val="left" w:pos="5580"/>
        </w:tabs>
        <w:spacing w:line="360" w:lineRule="auto"/>
        <w:ind w:left="1080" w:leftChars="257" w:hanging="540"/>
        <w:rPr>
          <w:rFonts w:hint="eastAsia" w:ascii="宋体" w:hAnsi="宋体"/>
          <w:szCs w:val="21"/>
          <w:highlight w:val="none"/>
        </w:rPr>
      </w:pPr>
    </w:p>
    <w:p w14:paraId="356CD086">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附件1——投标书（格式）</w:t>
      </w:r>
    </w:p>
    <w:p w14:paraId="586265BF">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附件2——开标一览表（格式）</w:t>
      </w:r>
    </w:p>
    <w:p w14:paraId="3324B00B">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3</w:t>
      </w:r>
      <w:r>
        <w:rPr>
          <w:rFonts w:hint="eastAsia" w:ascii="宋体" w:hAnsi="宋体"/>
          <w:szCs w:val="21"/>
          <w:highlight w:val="none"/>
        </w:rPr>
        <w:t>——商务条款偏离表（格式）</w:t>
      </w:r>
    </w:p>
    <w:p w14:paraId="68868DAE">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4</w:t>
      </w:r>
      <w:r>
        <w:rPr>
          <w:rFonts w:hint="eastAsia" w:ascii="宋体" w:hAnsi="宋体"/>
          <w:szCs w:val="21"/>
          <w:highlight w:val="none"/>
        </w:rPr>
        <w:t>——技术规格偏离表（格式）</w:t>
      </w:r>
    </w:p>
    <w:p w14:paraId="265F2442">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5</w:t>
      </w:r>
      <w:r>
        <w:rPr>
          <w:rFonts w:hint="eastAsia" w:ascii="宋体" w:hAnsi="宋体"/>
          <w:szCs w:val="21"/>
          <w:highlight w:val="none"/>
        </w:rPr>
        <w:t>——资格、资信证明文件</w:t>
      </w:r>
    </w:p>
    <w:p w14:paraId="5E792C4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包括但不限于：</w:t>
      </w:r>
    </w:p>
    <w:p w14:paraId="66B54C2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-1</w:t>
      </w:r>
      <w:r>
        <w:rPr>
          <w:rFonts w:hint="eastAsia" w:ascii="宋体" w:hAnsi="宋体"/>
          <w:szCs w:val="21"/>
          <w:highlight w:val="none"/>
          <w:lang w:val="en-US" w:eastAsia="zh-CN"/>
        </w:rPr>
        <w:t xml:space="preserve"> 供应商资格证明材料</w:t>
      </w:r>
      <w:r>
        <w:rPr>
          <w:rFonts w:hint="eastAsia" w:ascii="宋体" w:hAnsi="宋体"/>
          <w:szCs w:val="21"/>
          <w:highlight w:val="none"/>
        </w:rPr>
        <w:t>（</w:t>
      </w:r>
      <w:r>
        <w:rPr>
          <w:rFonts w:hint="eastAsia" w:ascii="宋体" w:hAnsi="宋体"/>
          <w:szCs w:val="21"/>
          <w:highlight w:val="none"/>
          <w:lang w:val="en-US" w:eastAsia="zh-CN"/>
        </w:rPr>
        <w:t>证书</w:t>
      </w:r>
      <w:r>
        <w:rPr>
          <w:rFonts w:hint="eastAsia" w:ascii="宋体" w:hAnsi="宋体"/>
          <w:szCs w:val="21"/>
          <w:highlight w:val="none"/>
        </w:rPr>
        <w:t>须加盖本单位公章）</w:t>
      </w:r>
    </w:p>
    <w:p w14:paraId="11907B97">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30EC0D9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431A9C4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-4会计师事务所出具投标人的上一年度财务审计报告复印件</w:t>
      </w:r>
    </w:p>
    <w:p w14:paraId="5DABF8B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2CD7568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3567A589">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2EE41AB1">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38AC032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6</w:t>
      </w:r>
      <w:r>
        <w:rPr>
          <w:rFonts w:hint="eastAsia" w:ascii="宋体" w:hAnsi="宋体"/>
          <w:szCs w:val="21"/>
          <w:highlight w:val="none"/>
        </w:rPr>
        <w:t>——反商业贿赂承诺书（格式）</w:t>
      </w:r>
    </w:p>
    <w:p w14:paraId="44A5EFA1">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7</w:t>
      </w:r>
      <w:r>
        <w:rPr>
          <w:rFonts w:hint="eastAsia" w:ascii="宋体" w:hAnsi="宋体"/>
          <w:szCs w:val="21"/>
          <w:highlight w:val="none"/>
        </w:rPr>
        <w:t>——详细的实施方案</w:t>
      </w:r>
    </w:p>
    <w:p w14:paraId="060A465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8</w:t>
      </w:r>
      <w:r>
        <w:rPr>
          <w:rFonts w:hint="eastAsia" w:ascii="宋体" w:hAnsi="宋体"/>
          <w:szCs w:val="21"/>
          <w:highlight w:val="none"/>
        </w:rPr>
        <w:t>——售后服务方案及承诺</w:t>
      </w:r>
    </w:p>
    <w:p w14:paraId="0DEE91B7">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9</w:t>
      </w:r>
      <w:r>
        <w:rPr>
          <w:rFonts w:hint="eastAsia" w:ascii="宋体" w:hAnsi="宋体"/>
          <w:szCs w:val="21"/>
          <w:highlight w:val="none"/>
        </w:rPr>
        <w:t>——投标人认为需要提供的其它材料</w:t>
      </w:r>
    </w:p>
    <w:p w14:paraId="7F96AC8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10</w:t>
      </w:r>
      <w:r>
        <w:rPr>
          <w:rFonts w:hint="eastAsia" w:ascii="宋体" w:hAnsi="宋体"/>
          <w:szCs w:val="21"/>
          <w:highlight w:val="none"/>
        </w:rPr>
        <w:t>--其他投标相关承诺书</w:t>
      </w:r>
    </w:p>
    <w:p w14:paraId="26950ABC">
      <w:pPr>
        <w:pStyle w:val="25"/>
        <w:tabs>
          <w:tab w:val="left" w:pos="567"/>
          <w:tab w:val="left" w:pos="5580"/>
        </w:tabs>
        <w:spacing w:line="400" w:lineRule="exact"/>
        <w:ind w:left="269" w:leftChars="128"/>
        <w:rPr>
          <w:rFonts w:hint="eastAsia" w:hAnsi="宋体"/>
          <w:szCs w:val="21"/>
          <w:highlight w:val="none"/>
        </w:rPr>
      </w:pPr>
      <w:r>
        <w:rPr>
          <w:rFonts w:hAnsi="宋体"/>
          <w:szCs w:val="21"/>
          <w:highlight w:val="none"/>
        </w:rPr>
        <w:br w:type="page"/>
      </w:r>
    </w:p>
    <w:p w14:paraId="3EF1E3B0">
      <w:pPr>
        <w:pStyle w:val="4"/>
        <w:tabs>
          <w:tab w:val="left" w:pos="5580"/>
        </w:tabs>
        <w:spacing w:before="0" w:line="360" w:lineRule="auto"/>
        <w:jc w:val="center"/>
        <w:rPr>
          <w:rFonts w:ascii="宋体" w:hAnsi="宋体" w:eastAsia="宋体"/>
          <w:sz w:val="21"/>
          <w:szCs w:val="21"/>
          <w:highlight w:val="none"/>
        </w:rPr>
      </w:pPr>
      <w:bookmarkStart w:id="334" w:name="_Hlt520356241"/>
      <w:bookmarkEnd w:id="334"/>
      <w:bookmarkStart w:id="335" w:name="_Toc480942349"/>
      <w:bookmarkStart w:id="336" w:name="_Ref467988698"/>
      <w:bookmarkStart w:id="337" w:name="_Toc520356217"/>
      <w:bookmarkStart w:id="338" w:name="_Toc216582813"/>
      <w:bookmarkStart w:id="339" w:name="_Toc109736069"/>
      <w:bookmarkStart w:id="340" w:name="_Toc415222524"/>
      <w:bookmarkStart w:id="341" w:name="_Toc5329"/>
      <w:r>
        <w:rPr>
          <w:rFonts w:hint="eastAsia" w:ascii="宋体" w:hAnsi="宋体" w:eastAsia="宋体"/>
          <w:sz w:val="21"/>
          <w:szCs w:val="21"/>
          <w:highlight w:val="none"/>
        </w:rPr>
        <w:t>附件1</w:t>
      </w:r>
      <w:bookmarkStart w:id="342" w:name="_Hlt520355504"/>
      <w:bookmarkEnd w:id="342"/>
      <w:r>
        <w:rPr>
          <w:rFonts w:hint="eastAsia" w:ascii="宋体" w:hAnsi="宋体" w:eastAsia="宋体"/>
          <w:sz w:val="21"/>
          <w:szCs w:val="21"/>
          <w:highlight w:val="none"/>
        </w:rPr>
        <w:t>　投标</w:t>
      </w:r>
      <w:bookmarkEnd w:id="335"/>
      <w:bookmarkEnd w:id="336"/>
      <w:r>
        <w:rPr>
          <w:rFonts w:hint="eastAsia" w:ascii="宋体" w:hAnsi="宋体" w:eastAsia="宋体"/>
          <w:sz w:val="21"/>
          <w:szCs w:val="21"/>
          <w:highlight w:val="none"/>
        </w:rPr>
        <w:t>书</w:t>
      </w:r>
      <w:bookmarkEnd w:id="337"/>
      <w:r>
        <w:rPr>
          <w:rFonts w:hint="eastAsia" w:ascii="宋体" w:hAnsi="宋体" w:eastAsia="宋体"/>
          <w:sz w:val="21"/>
          <w:szCs w:val="21"/>
          <w:highlight w:val="none"/>
        </w:rPr>
        <w:t>（格式）</w:t>
      </w:r>
      <w:bookmarkEnd w:id="338"/>
      <w:bookmarkEnd w:id="339"/>
      <w:bookmarkEnd w:id="340"/>
      <w:bookmarkEnd w:id="341"/>
    </w:p>
    <w:p w14:paraId="19412E24">
      <w:pPr>
        <w:tabs>
          <w:tab w:val="left" w:pos="5580"/>
        </w:tabs>
        <w:spacing w:line="360" w:lineRule="auto"/>
        <w:ind w:left="1080" w:hanging="1080"/>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国药集团扬州威克生物工程有限公司</w:t>
      </w:r>
    </w:p>
    <w:p w14:paraId="303112B3">
      <w:pPr>
        <w:pStyle w:val="25"/>
        <w:tabs>
          <w:tab w:val="left" w:pos="5580"/>
        </w:tabs>
        <w:spacing w:line="360" w:lineRule="auto"/>
        <w:ind w:left="1080" w:leftChars="257" w:hanging="540"/>
        <w:rPr>
          <w:rFonts w:hint="eastAsia" w:hAnsi="宋体"/>
          <w:szCs w:val="21"/>
          <w:highlight w:val="none"/>
        </w:rPr>
      </w:pPr>
    </w:p>
    <w:p w14:paraId="21B1DA3A">
      <w:pPr>
        <w:pStyle w:val="25"/>
        <w:tabs>
          <w:tab w:val="left" w:pos="5580"/>
        </w:tabs>
        <w:spacing w:line="360" w:lineRule="auto"/>
        <w:ind w:left="2" w:leftChars="1" w:firstLine="420" w:firstLineChars="200"/>
        <w:rPr>
          <w:rFonts w:hint="eastAsia" w:hAnsi="宋体"/>
          <w:szCs w:val="21"/>
          <w:highlight w:val="none"/>
        </w:rPr>
      </w:pPr>
      <w:r>
        <w:rPr>
          <w:rFonts w:hint="eastAsia" w:hAnsi="宋体"/>
          <w:szCs w:val="21"/>
          <w:highlight w:val="none"/>
        </w:rPr>
        <w:t>根据贵方为(</w:t>
      </w:r>
      <w:r>
        <w:rPr>
          <w:rFonts w:hint="eastAsia" w:hAnsi="宋体"/>
          <w:i/>
          <w:szCs w:val="21"/>
          <w:highlight w:val="none"/>
          <w:u w:val="single"/>
        </w:rPr>
        <w:t>项目名称</w:t>
      </w:r>
      <w:r>
        <w:rPr>
          <w:rFonts w:hint="eastAsia" w:hAnsi="宋体"/>
          <w:szCs w:val="21"/>
          <w:highlight w:val="none"/>
        </w:rPr>
        <w:t>)项目招标采购货物及服务的投标邀请(</w:t>
      </w:r>
      <w:r>
        <w:rPr>
          <w:rFonts w:hint="eastAsia" w:hAnsi="宋体"/>
          <w:i/>
          <w:szCs w:val="21"/>
          <w:highlight w:val="none"/>
          <w:u w:val="single"/>
        </w:rPr>
        <w:t>招标编号</w:t>
      </w:r>
      <w:r>
        <w:rPr>
          <w:rFonts w:hint="eastAsia" w:hAnsi="宋体"/>
          <w:szCs w:val="21"/>
          <w:highlight w:val="none"/>
        </w:rPr>
        <w:t>),签字代表(</w:t>
      </w:r>
      <w:r>
        <w:rPr>
          <w:rFonts w:hint="eastAsia" w:hAnsi="宋体"/>
          <w:i/>
          <w:szCs w:val="21"/>
          <w:highlight w:val="none"/>
          <w:u w:val="single"/>
        </w:rPr>
        <w:t>姓名、职务</w:t>
      </w:r>
      <w:r>
        <w:rPr>
          <w:rFonts w:hint="eastAsia" w:hAnsi="宋体"/>
          <w:szCs w:val="21"/>
          <w:highlight w:val="none"/>
        </w:rPr>
        <w:t>)经正式授权并代表投标人（</w:t>
      </w:r>
      <w:r>
        <w:rPr>
          <w:rFonts w:hint="eastAsia" w:hAnsi="宋体"/>
          <w:i/>
          <w:szCs w:val="21"/>
          <w:highlight w:val="none"/>
          <w:u w:val="single"/>
        </w:rPr>
        <w:t>投标人名称、地址</w:t>
      </w:r>
      <w:r>
        <w:rPr>
          <w:rFonts w:hint="eastAsia" w:hAnsi="宋体"/>
          <w:szCs w:val="21"/>
          <w:highlight w:val="none"/>
        </w:rPr>
        <w:t>）提交下述文件正本</w:t>
      </w:r>
      <w:r>
        <w:rPr>
          <w:rFonts w:hint="eastAsia" w:hAnsi="宋体"/>
          <w:szCs w:val="21"/>
          <w:highlight w:val="none"/>
          <w:u w:val="single"/>
        </w:rPr>
        <w:t xml:space="preserve">   </w:t>
      </w:r>
      <w:r>
        <w:rPr>
          <w:rFonts w:hint="eastAsia" w:hAnsi="宋体"/>
          <w:szCs w:val="21"/>
          <w:highlight w:val="none"/>
        </w:rPr>
        <w:t>份、副本</w:t>
      </w:r>
      <w:r>
        <w:rPr>
          <w:rFonts w:hint="eastAsia" w:hAnsi="宋体"/>
          <w:szCs w:val="21"/>
          <w:highlight w:val="none"/>
          <w:u w:val="single"/>
        </w:rPr>
        <w:t xml:space="preserve">     </w:t>
      </w:r>
      <w:r>
        <w:rPr>
          <w:rFonts w:hint="eastAsia" w:hAnsi="宋体"/>
          <w:szCs w:val="21"/>
          <w:highlight w:val="none"/>
        </w:rPr>
        <w:t>份及电子文档</w:t>
      </w:r>
      <w:r>
        <w:rPr>
          <w:rFonts w:hint="eastAsia" w:hAnsi="宋体"/>
          <w:szCs w:val="21"/>
          <w:highlight w:val="none"/>
          <w:u w:val="single"/>
        </w:rPr>
        <w:t xml:space="preserve">     </w:t>
      </w:r>
      <w:r>
        <w:rPr>
          <w:rFonts w:hint="eastAsia" w:hAnsi="宋体"/>
          <w:szCs w:val="21"/>
          <w:highlight w:val="none"/>
        </w:rPr>
        <w:t>份：</w:t>
      </w:r>
    </w:p>
    <w:p w14:paraId="7C701914">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（1）开标一览表</w:t>
      </w:r>
    </w:p>
    <w:p w14:paraId="663E67CF">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2</w:t>
      </w:r>
      <w:r>
        <w:rPr>
          <w:rFonts w:hint="eastAsia" w:hAnsi="宋体"/>
          <w:szCs w:val="21"/>
          <w:highlight w:val="none"/>
        </w:rPr>
        <w:t>）技术规格偏离表</w:t>
      </w:r>
    </w:p>
    <w:p w14:paraId="354A6B7B">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3</w:t>
      </w:r>
      <w:r>
        <w:rPr>
          <w:rFonts w:hint="eastAsia" w:hAnsi="宋体"/>
          <w:szCs w:val="21"/>
          <w:highlight w:val="none"/>
        </w:rPr>
        <w:t>）商务条款偏离表</w:t>
      </w:r>
    </w:p>
    <w:p w14:paraId="6D257F85">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4</w:t>
      </w:r>
      <w:r>
        <w:rPr>
          <w:rFonts w:hint="eastAsia" w:hAnsi="宋体"/>
          <w:szCs w:val="21"/>
          <w:highlight w:val="none"/>
        </w:rPr>
        <w:t>）资格证明文件</w:t>
      </w:r>
    </w:p>
    <w:p w14:paraId="364F3E78">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5</w:t>
      </w:r>
      <w:r>
        <w:rPr>
          <w:rFonts w:hint="eastAsia" w:hAnsi="宋体"/>
          <w:szCs w:val="21"/>
          <w:highlight w:val="none"/>
        </w:rPr>
        <w:t>）遵守国家有关法律、法规和规章，按招标文件中投标人须知和技术规格要求提供的有关文件</w:t>
      </w:r>
    </w:p>
    <w:p w14:paraId="14C17120">
      <w:pPr>
        <w:pStyle w:val="25"/>
        <w:tabs>
          <w:tab w:val="left" w:pos="900"/>
          <w:tab w:val="left" w:pos="55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6</w:t>
      </w:r>
      <w:r>
        <w:rPr>
          <w:rFonts w:hint="eastAsia" w:hAnsi="宋体"/>
          <w:szCs w:val="21"/>
          <w:highlight w:val="none"/>
        </w:rPr>
        <w:t>）以</w:t>
      </w:r>
      <w:r>
        <w:rPr>
          <w:rFonts w:hint="eastAsia" w:hAnsi="宋体"/>
          <w:szCs w:val="21"/>
          <w:highlight w:val="none"/>
          <w:u w:val="single"/>
        </w:rPr>
        <w:t xml:space="preserve">    </w:t>
      </w:r>
      <w:r>
        <w:rPr>
          <w:rFonts w:hint="eastAsia" w:hAnsi="宋体"/>
          <w:szCs w:val="21"/>
          <w:highlight w:val="none"/>
          <w:u w:val="single"/>
          <w:lang w:val="en-US" w:eastAsia="zh-CN"/>
        </w:rPr>
        <w:t>/</w:t>
      </w:r>
      <w:r>
        <w:rPr>
          <w:rFonts w:hint="eastAsia" w:hAnsi="宋体"/>
          <w:szCs w:val="21"/>
          <w:highlight w:val="none"/>
          <w:u w:val="single"/>
        </w:rPr>
        <w:t xml:space="preserve">     </w:t>
      </w:r>
      <w:r>
        <w:rPr>
          <w:rFonts w:hint="eastAsia" w:hAnsi="宋体"/>
          <w:szCs w:val="21"/>
          <w:highlight w:val="none"/>
        </w:rPr>
        <w:t>形式出具的金额为人民币</w:t>
      </w:r>
      <w:r>
        <w:rPr>
          <w:rFonts w:hint="eastAsia" w:hAnsi="宋体"/>
          <w:szCs w:val="21"/>
          <w:highlight w:val="none"/>
          <w:u w:val="single"/>
        </w:rPr>
        <w:t>　　</w:t>
      </w:r>
      <w:r>
        <w:rPr>
          <w:rFonts w:hint="eastAsia" w:hAnsi="宋体"/>
          <w:szCs w:val="21"/>
          <w:highlight w:val="none"/>
          <w:u w:val="single"/>
          <w:lang w:val="en-US" w:eastAsia="zh-CN"/>
        </w:rPr>
        <w:t>/</w:t>
      </w:r>
      <w:r>
        <w:rPr>
          <w:rFonts w:hint="eastAsia" w:hAnsi="宋体"/>
          <w:szCs w:val="21"/>
          <w:highlight w:val="none"/>
          <w:u w:val="single"/>
        </w:rPr>
        <w:t>　　</w:t>
      </w:r>
      <w:r>
        <w:rPr>
          <w:rFonts w:hint="eastAsia" w:hAnsi="宋体"/>
          <w:szCs w:val="21"/>
          <w:highlight w:val="none"/>
        </w:rPr>
        <w:t>元的投标保证金。</w:t>
      </w:r>
    </w:p>
    <w:p w14:paraId="1569AC48">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据此，签字代表宣布同意如下：</w:t>
      </w:r>
    </w:p>
    <w:p w14:paraId="0C14E5F0">
      <w:pPr>
        <w:pStyle w:val="25"/>
        <w:tabs>
          <w:tab w:val="left" w:pos="720"/>
          <w:tab w:val="left" w:pos="900"/>
        </w:tabs>
        <w:spacing w:line="360" w:lineRule="auto"/>
        <w:ind w:left="1080" w:leftChars="257" w:hanging="540"/>
        <w:rPr>
          <w:rFonts w:hint="eastAsia" w:hAnsi="宋体"/>
          <w:szCs w:val="21"/>
          <w:highlight w:val="none"/>
          <w:u w:val="single"/>
        </w:rPr>
      </w:pPr>
      <w:r>
        <w:rPr>
          <w:rFonts w:hint="eastAsia" w:hAnsi="宋体"/>
          <w:szCs w:val="21"/>
          <w:highlight w:val="none"/>
        </w:rPr>
        <w:t>（1）附投标价格表中规定的应提交和交付的货物</w:t>
      </w:r>
      <w:r>
        <w:rPr>
          <w:rFonts w:hint="eastAsia" w:hAnsi="宋体"/>
          <w:color w:val="FF0000"/>
          <w:szCs w:val="21"/>
          <w:highlight w:val="none"/>
        </w:rPr>
        <w:t>投标</w:t>
      </w:r>
      <w:r>
        <w:rPr>
          <w:rFonts w:hint="eastAsia" w:hAnsi="宋体"/>
          <w:color w:val="FF0000"/>
          <w:szCs w:val="21"/>
          <w:highlight w:val="none"/>
          <w:lang w:val="en-US" w:eastAsia="zh-CN"/>
        </w:rPr>
        <w:t>单价</w:t>
      </w:r>
      <w:r>
        <w:rPr>
          <w:rFonts w:hint="eastAsia" w:hAnsi="宋体"/>
          <w:szCs w:val="21"/>
          <w:highlight w:val="none"/>
        </w:rPr>
        <w:t>为人民币</w:t>
      </w:r>
      <w:r>
        <w:rPr>
          <w:rFonts w:hint="eastAsia" w:hAnsi="宋体"/>
          <w:szCs w:val="21"/>
          <w:highlight w:val="none"/>
          <w:u w:val="single"/>
        </w:rPr>
        <w:t>　</w:t>
      </w:r>
      <w:r>
        <w:rPr>
          <w:rFonts w:hint="eastAsia" w:hAnsi="宋体"/>
          <w:szCs w:val="21"/>
          <w:highlight w:val="none"/>
          <w:u w:val="single"/>
          <w:lang w:val="en-US" w:eastAsia="zh-CN"/>
        </w:rPr>
        <w:t>明细详见开标一览表</w:t>
      </w:r>
      <w:r>
        <w:rPr>
          <w:rFonts w:hint="eastAsia" w:hAnsi="宋体"/>
          <w:szCs w:val="21"/>
          <w:highlight w:val="none"/>
          <w:u w:val="single"/>
        </w:rPr>
        <w:t>　　　　　</w:t>
      </w:r>
    </w:p>
    <w:p w14:paraId="6DE8C7D5">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u w:val="single"/>
        </w:rPr>
        <w:t>　　　　　　　　（用文字和数字表示的投标</w:t>
      </w:r>
      <w:r>
        <w:rPr>
          <w:rFonts w:hint="eastAsia" w:hAnsi="宋体"/>
          <w:szCs w:val="21"/>
          <w:highlight w:val="none"/>
          <w:u w:val="single"/>
          <w:lang w:val="en-US" w:eastAsia="zh-CN"/>
        </w:rPr>
        <w:t>单价</w:t>
      </w:r>
      <w:r>
        <w:rPr>
          <w:rFonts w:hint="eastAsia" w:hAnsi="宋体"/>
          <w:szCs w:val="21"/>
          <w:highlight w:val="none"/>
          <w:u w:val="single"/>
        </w:rPr>
        <w:t>）</w:t>
      </w:r>
      <w:r>
        <w:rPr>
          <w:rFonts w:hint="eastAsia" w:hAnsi="宋体"/>
          <w:szCs w:val="21"/>
          <w:highlight w:val="none"/>
        </w:rPr>
        <w:t>。</w:t>
      </w:r>
    </w:p>
    <w:p w14:paraId="02992024">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（2）投标人将按招标文件的规定履行合同责任和义务。</w:t>
      </w:r>
    </w:p>
    <w:p w14:paraId="1614F6D1">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（3）投标人已详细审查全部招标文件，包括所有补充通知（如果有的话）。我们完全理解并同意放弃对这方面有不明、误解和质疑的权力。</w:t>
      </w:r>
    </w:p>
    <w:p w14:paraId="0A38AC03">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（4）本投标有效期为自开标日起</w:t>
      </w:r>
      <w:r>
        <w:rPr>
          <w:rFonts w:hint="eastAsia" w:hAnsi="宋体"/>
          <w:szCs w:val="21"/>
          <w:highlight w:val="none"/>
          <w:u w:val="single"/>
        </w:rPr>
        <w:t xml:space="preserve">          </w:t>
      </w:r>
      <w:r>
        <w:rPr>
          <w:rFonts w:hint="eastAsia" w:hAnsi="宋体"/>
          <w:szCs w:val="21"/>
          <w:highlight w:val="none"/>
        </w:rPr>
        <w:t>个日历日。</w:t>
      </w:r>
    </w:p>
    <w:p w14:paraId="69FF6676">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（5）在规定的开标时间后，投标人保证遵守招标文件中有关保证金的规定。</w:t>
      </w:r>
    </w:p>
    <w:p w14:paraId="1BA664C8">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（6）根据投标人须知第1条规定，我方承诺，我方不是</w:t>
      </w:r>
      <w:r>
        <w:rPr>
          <w:rFonts w:hAnsi="宋体"/>
          <w:szCs w:val="21"/>
          <w:highlight w:val="none"/>
        </w:rPr>
        <w:t>为</w:t>
      </w:r>
      <w:r>
        <w:rPr>
          <w:rFonts w:hint="eastAsia" w:hAnsi="宋体"/>
          <w:szCs w:val="21"/>
          <w:highlight w:val="none"/>
        </w:rPr>
        <w:t>本</w:t>
      </w:r>
      <w:r>
        <w:rPr>
          <w:rFonts w:hAnsi="宋体"/>
          <w:szCs w:val="21"/>
          <w:highlight w:val="none"/>
        </w:rPr>
        <w:t>项目提供整体</w:t>
      </w:r>
      <w:r>
        <w:rPr>
          <w:rFonts w:hint="eastAsia" w:hAnsi="宋体"/>
          <w:szCs w:val="21"/>
          <w:highlight w:val="none"/>
        </w:rPr>
        <w:t>设计</w:t>
      </w:r>
      <w:r>
        <w:rPr>
          <w:rFonts w:hAnsi="宋体"/>
          <w:szCs w:val="21"/>
          <w:highlight w:val="none"/>
        </w:rPr>
        <w:t>、规范编制或者项目管理、监理、检测等服务的投标人</w:t>
      </w:r>
      <w:r>
        <w:rPr>
          <w:rFonts w:hint="eastAsia" w:hAnsi="宋体"/>
          <w:szCs w:val="21"/>
          <w:highlight w:val="none"/>
        </w:rPr>
        <w:t>，我方不是招标采购单位的附属机构。</w:t>
      </w:r>
    </w:p>
    <w:p w14:paraId="00CC112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（7）投标人同意提供按照贵方可能要求的与其投标有关的一切数据或资料，完全理解贵方不一定接受最低价的投标或收到的任何投标。</w:t>
      </w:r>
    </w:p>
    <w:p w14:paraId="50EAC96C">
      <w:pPr>
        <w:pStyle w:val="25"/>
        <w:tabs>
          <w:tab w:val="left" w:pos="5580"/>
        </w:tabs>
        <w:spacing w:line="360" w:lineRule="auto"/>
        <w:ind w:left="359" w:leftChars="171"/>
        <w:rPr>
          <w:rFonts w:hint="eastAsia" w:hAnsi="宋体"/>
          <w:szCs w:val="21"/>
          <w:highlight w:val="none"/>
        </w:rPr>
      </w:pPr>
      <w:r>
        <w:rPr>
          <w:rFonts w:hint="eastAsia" w:hAnsi="宋体"/>
          <w:szCs w:val="21"/>
          <w:highlight w:val="none"/>
        </w:rPr>
        <w:t xml:space="preserve">  （8）与本投标有关的一切正式往来信函请寄：</w:t>
      </w:r>
    </w:p>
    <w:p w14:paraId="3BDCF70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地址</w:t>
      </w:r>
      <w:r>
        <w:rPr>
          <w:rFonts w:hint="eastAsia" w:hAnsi="宋体"/>
          <w:szCs w:val="21"/>
          <w:highlight w:val="none"/>
          <w:u w:val="single"/>
        </w:rPr>
        <w:t xml:space="preserve">                         </w:t>
      </w:r>
      <w:r>
        <w:rPr>
          <w:rFonts w:hint="eastAsia" w:hAnsi="宋体"/>
          <w:szCs w:val="21"/>
          <w:highlight w:val="none"/>
        </w:rPr>
        <w:t xml:space="preserve">     传真</w:t>
      </w:r>
      <w:r>
        <w:rPr>
          <w:rFonts w:hint="eastAsia" w:hAnsi="宋体"/>
          <w:szCs w:val="21"/>
          <w:highlight w:val="none"/>
          <w:u w:val="single"/>
        </w:rPr>
        <w:t xml:space="preserve">                             </w:t>
      </w:r>
    </w:p>
    <w:p w14:paraId="0D6C90FF">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电话</w:t>
      </w:r>
      <w:r>
        <w:rPr>
          <w:rFonts w:hint="eastAsia" w:hAnsi="宋体"/>
          <w:szCs w:val="21"/>
          <w:highlight w:val="none"/>
          <w:u w:val="single"/>
        </w:rPr>
        <w:t xml:space="preserve">                         </w:t>
      </w:r>
      <w:r>
        <w:rPr>
          <w:rFonts w:hint="eastAsia" w:hAnsi="宋体"/>
          <w:szCs w:val="21"/>
          <w:highlight w:val="none"/>
        </w:rPr>
        <w:t xml:space="preserve">     电子函件</w:t>
      </w:r>
      <w:r>
        <w:rPr>
          <w:rFonts w:hint="eastAsia" w:hAnsi="宋体"/>
          <w:szCs w:val="21"/>
          <w:highlight w:val="none"/>
          <w:u w:val="single"/>
        </w:rPr>
        <w:t xml:space="preserve">                         </w:t>
      </w:r>
    </w:p>
    <w:p w14:paraId="59DF00CA">
      <w:pPr>
        <w:pStyle w:val="25"/>
        <w:tabs>
          <w:tab w:val="left" w:pos="5580"/>
        </w:tabs>
        <w:spacing w:line="360" w:lineRule="auto"/>
        <w:ind w:left="1080" w:leftChars="257" w:hanging="540"/>
        <w:rPr>
          <w:rFonts w:hint="eastAsia" w:hAnsi="宋体"/>
          <w:szCs w:val="21"/>
          <w:highlight w:val="none"/>
          <w:u w:val="single"/>
        </w:rPr>
      </w:pPr>
    </w:p>
    <w:p w14:paraId="3DBBF55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投标人授权代表签字-----------------</w:t>
      </w:r>
      <w:r>
        <w:rPr>
          <w:rFonts w:hint="eastAsia" w:hAnsi="宋体"/>
          <w:szCs w:val="21"/>
          <w:highlight w:val="none"/>
          <w:lang w:val="en-US" w:eastAsia="zh-CN"/>
        </w:rPr>
        <w:t xml:space="preserve">   </w:t>
      </w:r>
      <w:r>
        <w:rPr>
          <w:rFonts w:hint="eastAsia" w:hAnsi="宋体"/>
          <w:szCs w:val="21"/>
          <w:highlight w:val="none"/>
        </w:rPr>
        <w:t>投标人名称（全称）-----------------</w:t>
      </w:r>
    </w:p>
    <w:p w14:paraId="1EB0A3B9">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投标人开户银行（全称）</w:t>
      </w:r>
      <w:r>
        <w:rPr>
          <w:rFonts w:hint="eastAsia" w:hAnsi="宋体"/>
          <w:szCs w:val="21"/>
          <w:highlight w:val="none"/>
          <w:u w:val="single"/>
        </w:rPr>
        <w:t xml:space="preserve">　　　　　　 </w:t>
      </w:r>
      <w:r>
        <w:rPr>
          <w:rFonts w:hint="eastAsia" w:hAnsi="宋体"/>
          <w:szCs w:val="21"/>
          <w:highlight w:val="none"/>
          <w:u w:val="single"/>
          <w:lang w:val="en-US" w:eastAsia="zh-CN"/>
        </w:rPr>
        <w:t xml:space="preserve"> </w:t>
      </w:r>
      <w:r>
        <w:rPr>
          <w:rFonts w:hint="eastAsia" w:hAnsi="宋体"/>
          <w:szCs w:val="21"/>
          <w:highlight w:val="none"/>
          <w:u w:val="none"/>
          <w:lang w:val="en-US" w:eastAsia="zh-CN"/>
        </w:rPr>
        <w:t xml:space="preserve">   </w:t>
      </w:r>
      <w:r>
        <w:rPr>
          <w:rFonts w:hint="eastAsia" w:hAnsi="宋体"/>
          <w:szCs w:val="21"/>
          <w:highlight w:val="none"/>
        </w:rPr>
        <w:t>投标人银行帐号</w:t>
      </w:r>
      <w:r>
        <w:rPr>
          <w:rFonts w:hint="eastAsia" w:hAnsi="宋体"/>
          <w:szCs w:val="21"/>
          <w:highlight w:val="none"/>
          <w:u w:val="single"/>
        </w:rPr>
        <w:t>　　　　　　　　 　　</w:t>
      </w:r>
    </w:p>
    <w:p w14:paraId="74F4458F">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投标人公章-------------------------</w:t>
      </w:r>
    </w:p>
    <w:p w14:paraId="3ACF0F35">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日期-------------------------------</w:t>
      </w:r>
    </w:p>
    <w:p w14:paraId="31D97AEE">
      <w:pPr>
        <w:pStyle w:val="25"/>
        <w:tabs>
          <w:tab w:val="left" w:pos="5580"/>
        </w:tabs>
        <w:spacing w:line="360" w:lineRule="auto"/>
        <w:ind w:left="1080" w:leftChars="257" w:hanging="540"/>
        <w:jc w:val="left"/>
        <w:rPr>
          <w:rFonts w:hint="eastAsia" w:hAnsi="宋体"/>
          <w:szCs w:val="21"/>
          <w:highlight w:val="none"/>
          <w:u w:val="single"/>
        </w:rPr>
        <w:sectPr>
          <w:footerReference r:id="rId11" w:type="first"/>
          <w:footerReference r:id="rId10" w:type="default"/>
          <w:pgSz w:w="11907" w:h="16840"/>
          <w:pgMar w:top="1440" w:right="1588" w:bottom="1440" w:left="1588" w:header="851" w:footer="851" w:gutter="0"/>
          <w:pgNumType w:fmt="decimal"/>
          <w:cols w:space="720" w:num="1"/>
          <w:titlePg/>
          <w:docGrid w:linePitch="462" w:charSpace="0"/>
        </w:sectPr>
      </w:pPr>
    </w:p>
    <w:p w14:paraId="7B284A4F">
      <w:pPr>
        <w:pStyle w:val="4"/>
        <w:tabs>
          <w:tab w:val="left" w:pos="5580"/>
        </w:tabs>
        <w:spacing w:before="0" w:line="360" w:lineRule="auto"/>
        <w:jc w:val="center"/>
        <w:rPr>
          <w:rFonts w:hint="eastAsia" w:ascii="宋体" w:hAnsi="宋体" w:eastAsia="宋体"/>
          <w:sz w:val="21"/>
          <w:szCs w:val="21"/>
          <w:highlight w:val="none"/>
        </w:rPr>
      </w:pPr>
      <w:bookmarkStart w:id="343" w:name="_Hlt520356243"/>
      <w:bookmarkEnd w:id="343"/>
      <w:bookmarkStart w:id="344" w:name="_Hlt520355938"/>
      <w:bookmarkEnd w:id="344"/>
      <w:bookmarkStart w:id="345" w:name="_Toc415222525"/>
      <w:bookmarkStart w:id="346" w:name="_Toc29788"/>
      <w:bookmarkStart w:id="347" w:name="_Toc480942350"/>
      <w:bookmarkStart w:id="348" w:name="_Toc109736070"/>
      <w:bookmarkStart w:id="349" w:name="_Toc216582814"/>
      <w:bookmarkStart w:id="350" w:name="_Ref467988705"/>
      <w:bookmarkStart w:id="351" w:name="_Toc520356218"/>
      <w:r>
        <w:rPr>
          <w:rFonts w:hint="eastAsia" w:ascii="宋体" w:hAnsi="宋体" w:eastAsia="宋体"/>
          <w:sz w:val="21"/>
          <w:szCs w:val="21"/>
          <w:highlight w:val="none"/>
        </w:rPr>
        <w:t>附件2　开标一览表</w:t>
      </w:r>
      <w:bookmarkEnd w:id="345"/>
      <w:bookmarkEnd w:id="346"/>
      <w:bookmarkEnd w:id="347"/>
      <w:bookmarkEnd w:id="348"/>
      <w:bookmarkEnd w:id="349"/>
      <w:bookmarkEnd w:id="350"/>
      <w:bookmarkEnd w:id="351"/>
    </w:p>
    <w:p w14:paraId="5769DA80">
      <w:pPr>
        <w:rPr>
          <w:rFonts w:hint="eastAsia"/>
          <w:highlight w:val="none"/>
        </w:rPr>
      </w:pPr>
    </w:p>
    <w:p w14:paraId="06DC9761">
      <w:pPr>
        <w:tabs>
          <w:tab w:val="left" w:pos="1800"/>
          <w:tab w:val="left" w:pos="5580"/>
        </w:tabs>
        <w:spacing w:line="360" w:lineRule="auto"/>
        <w:rPr>
          <w:rFonts w:hAnsi="宋体"/>
          <w:szCs w:val="21"/>
          <w:highlight w:val="non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鸡血清</w:t>
      </w:r>
      <w:r>
        <w:rPr>
          <w:rFonts w:hint="eastAsia" w:hAnsi="宋体"/>
          <w:szCs w:val="21"/>
          <w:highlight w:val="none"/>
          <w:u w:val="single"/>
        </w:rPr>
        <w:t xml:space="preserve">                       </w:t>
      </w:r>
      <w:r>
        <w:rPr>
          <w:rFonts w:hAnsi="宋体"/>
          <w:szCs w:val="21"/>
          <w:highlight w:val="none"/>
        </w:rPr>
        <w:t xml:space="preserve">   </w:t>
      </w:r>
    </w:p>
    <w:p w14:paraId="6D441FB6">
      <w:pPr>
        <w:tabs>
          <w:tab w:val="left" w:pos="1800"/>
          <w:tab w:val="left" w:pos="5580"/>
        </w:tabs>
        <w:spacing w:line="360" w:lineRule="auto"/>
        <w:rPr>
          <w:rFonts w:hAnsi="宋体"/>
          <w:szCs w:val="21"/>
          <w:highlight w:val="none"/>
          <w:u w:val="single"/>
        </w:rPr>
      </w:pP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w:t>
      </w:r>
      <w:r>
        <w:rPr>
          <w:rFonts w:hint="eastAsia" w:hAnsi="宋体"/>
          <w:szCs w:val="21"/>
          <w:highlight w:val="none"/>
          <w:u w:val="single"/>
          <w:lang w:val="en-US" w:eastAsia="zh-CN"/>
        </w:rPr>
        <w:t>6</w:t>
      </w:r>
      <w:r>
        <w:rPr>
          <w:rFonts w:hint="eastAsia" w:hAnsi="宋体"/>
          <w:szCs w:val="21"/>
          <w:highlight w:val="none"/>
          <w:u w:val="single"/>
          <w:lang w:eastAsia="zh-CN"/>
        </w:rPr>
        <w:t>-0</w:t>
      </w:r>
      <w:r>
        <w:rPr>
          <w:rFonts w:hint="eastAsia" w:hAnsi="宋体"/>
          <w:szCs w:val="21"/>
          <w:highlight w:val="none"/>
          <w:u w:val="single"/>
          <w:lang w:val="en-US" w:eastAsia="zh-CN"/>
        </w:rPr>
        <w:t>25</w:t>
      </w:r>
      <w:r>
        <w:rPr>
          <w:rFonts w:hint="eastAsia" w:hAnsi="宋体"/>
          <w:szCs w:val="21"/>
          <w:highlight w:val="none"/>
          <w:u w:val="single"/>
        </w:rPr>
        <w:t xml:space="preserve">                    </w:t>
      </w:r>
    </w:p>
    <w:p w14:paraId="1655778D">
      <w:pPr>
        <w:tabs>
          <w:tab w:val="left" w:pos="1800"/>
          <w:tab w:val="left" w:pos="5580"/>
        </w:tabs>
        <w:spacing w:line="360" w:lineRule="auto"/>
        <w:rPr>
          <w:rFonts w:hint="eastAsia" w:ascii="宋体" w:hAnsi="宋体"/>
          <w:szCs w:val="21"/>
          <w:highlight w:val="none"/>
        </w:rPr>
      </w:pPr>
      <w:r>
        <w:rPr>
          <w:rFonts w:hint="eastAsia" w:ascii="宋体" w:hAnsi="宋体"/>
          <w:szCs w:val="21"/>
          <w:highlight w:val="none"/>
        </w:rPr>
        <w:t>报价单位：人民币</w:t>
      </w:r>
      <w:r>
        <w:rPr>
          <w:rFonts w:hint="eastAsia" w:ascii="宋体" w:hAnsi="宋体"/>
          <w:szCs w:val="21"/>
          <w:highlight w:val="none"/>
          <w:lang w:val="en-US" w:eastAsia="zh-CN"/>
        </w:rPr>
        <w:t>/</w:t>
      </w:r>
      <w:r>
        <w:rPr>
          <w:rFonts w:hint="eastAsia" w:ascii="宋体" w:hAnsi="宋体"/>
          <w:szCs w:val="21"/>
          <w:highlight w:val="none"/>
        </w:rPr>
        <w:t>元</w:t>
      </w:r>
    </w:p>
    <w:p w14:paraId="426B5993">
      <w:pPr>
        <w:tabs>
          <w:tab w:val="left" w:pos="1800"/>
          <w:tab w:val="left" w:pos="5580"/>
        </w:tabs>
        <w:spacing w:line="360" w:lineRule="auto"/>
        <w:rPr>
          <w:rFonts w:hint="eastAsia" w:ascii="宋体" w:hAnsi="宋体"/>
          <w:szCs w:val="21"/>
          <w:highlight w:val="none"/>
        </w:rPr>
      </w:pPr>
      <w:r>
        <w:rPr>
          <w:rFonts w:hint="eastAsia" w:hAnsi="宋体"/>
          <w:b/>
          <w:bCs/>
          <w:szCs w:val="21"/>
          <w:highlight w:val="none"/>
          <w:lang w:val="en-US" w:eastAsia="zh-CN"/>
        </w:rPr>
        <w:t>此表装在单独的信封内密封，用于唱标</w:t>
      </w:r>
    </w:p>
    <w:p w14:paraId="69E747AF">
      <w:pPr>
        <w:tabs>
          <w:tab w:val="left" w:pos="1800"/>
          <w:tab w:val="left" w:pos="5580"/>
        </w:tabs>
        <w:spacing w:line="360" w:lineRule="auto"/>
        <w:rPr>
          <w:rFonts w:hint="eastAsia" w:ascii="宋体" w:hAnsi="宋体"/>
          <w:szCs w:val="21"/>
          <w:highlight w:val="none"/>
        </w:rPr>
      </w:pPr>
    </w:p>
    <w:tbl>
      <w:tblPr>
        <w:tblStyle w:val="51"/>
        <w:tblpPr w:leftFromText="180" w:rightFromText="180" w:vertAnchor="text" w:horzAnchor="page" w:tblpX="1367" w:tblpY="370"/>
        <w:tblOverlap w:val="never"/>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2495"/>
        <w:gridCol w:w="2271"/>
        <w:gridCol w:w="1608"/>
        <w:gridCol w:w="1822"/>
      </w:tblGrid>
      <w:tr w14:paraId="4076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759" w:type="pct"/>
            <w:vAlign w:val="center"/>
          </w:tcPr>
          <w:p w14:paraId="71DD049A">
            <w:pPr>
              <w:spacing w:line="380" w:lineRule="exact"/>
              <w:jc w:val="center"/>
              <w:rPr>
                <w:rFonts w:hint="eastAsia"/>
                <w:lang w:val="en-US" w:eastAsia="zh-CN"/>
              </w:rPr>
            </w:pPr>
            <w:r>
              <w:rPr>
                <w:rFonts w:hint="eastAsia" w:ascii="仿宋" w:hAnsi="仿宋" w:eastAsia="仿宋" w:cs="仿宋"/>
                <w:sz w:val="24"/>
                <w:highlight w:val="none"/>
                <w:lang w:val="en-US" w:eastAsia="zh-CN"/>
              </w:rPr>
              <w:t>名称</w:t>
            </w:r>
            <w:bookmarkStart w:id="428" w:name="_GoBack"/>
            <w:bookmarkEnd w:id="428"/>
          </w:p>
        </w:tc>
        <w:tc>
          <w:tcPr>
            <w:tcW w:w="1291" w:type="pct"/>
            <w:vAlign w:val="center"/>
          </w:tcPr>
          <w:p w14:paraId="5AE8A23D">
            <w:pPr>
              <w:spacing w:line="38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包装规格</w:t>
            </w:r>
          </w:p>
        </w:tc>
        <w:tc>
          <w:tcPr>
            <w:tcW w:w="1175" w:type="pct"/>
            <w:vAlign w:val="center"/>
          </w:tcPr>
          <w:p w14:paraId="23D68736">
            <w:pPr>
              <w:spacing w:line="380" w:lineRule="exact"/>
              <w:jc w:val="center"/>
              <w:rPr>
                <w:rFonts w:ascii="仿宋" w:hAnsi="仿宋" w:eastAsia="仿宋" w:cs="仿宋"/>
                <w:sz w:val="24"/>
                <w:highlight w:val="none"/>
              </w:rPr>
            </w:pPr>
            <w:r>
              <w:rPr>
                <w:rFonts w:hint="eastAsia" w:ascii="仿宋" w:hAnsi="仿宋" w:eastAsia="仿宋" w:cs="仿宋"/>
                <w:sz w:val="24"/>
                <w:highlight w:val="none"/>
                <w:lang w:val="en-US" w:eastAsia="zh-CN"/>
              </w:rPr>
              <w:t>单价</w:t>
            </w:r>
            <w:r>
              <w:rPr>
                <w:rFonts w:hint="eastAsia" w:ascii="仿宋" w:hAnsi="仿宋" w:eastAsia="仿宋" w:cs="仿宋"/>
                <w:sz w:val="24"/>
                <w:highlight w:val="none"/>
              </w:rPr>
              <w:t>（元</w:t>
            </w:r>
            <w:r>
              <w:rPr>
                <w:rFonts w:hint="eastAsia" w:ascii="仿宋" w:hAnsi="仿宋" w:eastAsia="仿宋" w:cs="仿宋"/>
                <w:sz w:val="24"/>
                <w:highlight w:val="none"/>
                <w:lang w:val="en-US" w:eastAsia="zh-CN"/>
              </w:rPr>
              <w:t>/ML</w:t>
            </w:r>
            <w:r>
              <w:rPr>
                <w:rFonts w:hint="eastAsia" w:ascii="仿宋" w:hAnsi="仿宋" w:eastAsia="仿宋" w:cs="仿宋"/>
                <w:sz w:val="24"/>
                <w:highlight w:val="none"/>
              </w:rPr>
              <w:t>）</w:t>
            </w:r>
          </w:p>
        </w:tc>
        <w:tc>
          <w:tcPr>
            <w:tcW w:w="832" w:type="pct"/>
            <w:vAlign w:val="center"/>
          </w:tcPr>
          <w:p w14:paraId="390A82CE">
            <w:pPr>
              <w:spacing w:line="38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rPr>
              <w:t>供货期</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天）</w:t>
            </w:r>
          </w:p>
        </w:tc>
        <w:tc>
          <w:tcPr>
            <w:tcW w:w="942" w:type="pct"/>
            <w:vAlign w:val="center"/>
          </w:tcPr>
          <w:p w14:paraId="25EA859C">
            <w:pPr>
              <w:spacing w:line="380" w:lineRule="exact"/>
              <w:jc w:val="center"/>
              <w:rPr>
                <w:rFonts w:hint="eastAsia" w:ascii="仿宋" w:hAnsi="仿宋" w:eastAsia="仿宋" w:cs="仿宋"/>
                <w:sz w:val="24"/>
                <w:highlight w:val="none"/>
                <w:lang w:eastAsia="zh-CN"/>
              </w:rPr>
            </w:pPr>
            <w:r>
              <w:rPr>
                <w:rFonts w:hint="eastAsia" w:ascii="仿宋" w:hAnsi="仿宋" w:eastAsia="仿宋" w:cs="仿宋"/>
                <w:sz w:val="24"/>
                <w:highlight w:val="none"/>
              </w:rPr>
              <w:t>备注</w:t>
            </w:r>
          </w:p>
        </w:tc>
      </w:tr>
      <w:tr w14:paraId="15F4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759" w:type="pct"/>
            <w:tcBorders>
              <w:bottom w:val="single" w:color="auto" w:sz="4" w:space="0"/>
              <w:right w:val="single" w:color="auto" w:sz="4" w:space="0"/>
            </w:tcBorders>
            <w:vAlign w:val="center"/>
          </w:tcPr>
          <w:p w14:paraId="468D62DC">
            <w:pPr>
              <w:spacing w:line="40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鸡血清</w:t>
            </w:r>
            <w:r>
              <w:rPr>
                <w:rFonts w:hint="default" w:ascii="仿宋" w:hAnsi="仿宋" w:eastAsia="仿宋" w:cs="仿宋"/>
                <w:sz w:val="24"/>
                <w:highlight w:val="none"/>
                <w:lang w:val="en-US" w:eastAsia="zh-CN"/>
              </w:rPr>
              <w:t xml:space="preserve"> </w:t>
            </w:r>
          </w:p>
        </w:tc>
        <w:tc>
          <w:tcPr>
            <w:tcW w:w="1291" w:type="pct"/>
            <w:tcBorders>
              <w:left w:val="single" w:color="auto" w:sz="4" w:space="0"/>
              <w:bottom w:val="single" w:color="auto" w:sz="4" w:space="0"/>
              <w:right w:val="single" w:color="auto" w:sz="4" w:space="0"/>
            </w:tcBorders>
            <w:vAlign w:val="center"/>
          </w:tcPr>
          <w:p w14:paraId="57AAAC57">
            <w:pPr>
              <w:spacing w:line="400" w:lineRule="exact"/>
              <w:jc w:val="both"/>
              <w:rPr>
                <w:rFonts w:hint="default" w:ascii="仿宋" w:hAnsi="仿宋" w:eastAsia="仿宋" w:cs="仿宋"/>
                <w:sz w:val="24"/>
                <w:highlight w:val="none"/>
                <w:lang w:val="en-US" w:eastAsia="zh-CN"/>
              </w:rPr>
            </w:pPr>
          </w:p>
        </w:tc>
        <w:tc>
          <w:tcPr>
            <w:tcW w:w="1175" w:type="pct"/>
            <w:tcBorders>
              <w:left w:val="single" w:color="auto" w:sz="4" w:space="0"/>
              <w:bottom w:val="single" w:color="auto" w:sz="4" w:space="0"/>
              <w:right w:val="single" w:color="auto" w:sz="4" w:space="0"/>
            </w:tcBorders>
            <w:vAlign w:val="center"/>
          </w:tcPr>
          <w:p w14:paraId="68EDCF81">
            <w:pPr>
              <w:spacing w:line="400" w:lineRule="exact"/>
              <w:jc w:val="center"/>
              <w:rPr>
                <w:rFonts w:ascii="仿宋" w:hAnsi="仿宋" w:eastAsia="仿宋" w:cs="仿宋"/>
                <w:sz w:val="24"/>
                <w:highlight w:val="none"/>
              </w:rPr>
            </w:pPr>
          </w:p>
        </w:tc>
        <w:tc>
          <w:tcPr>
            <w:tcW w:w="832" w:type="pct"/>
            <w:tcBorders>
              <w:left w:val="single" w:color="auto" w:sz="4" w:space="0"/>
              <w:bottom w:val="single" w:color="auto" w:sz="4" w:space="0"/>
              <w:right w:val="single" w:color="auto" w:sz="4" w:space="0"/>
            </w:tcBorders>
            <w:vAlign w:val="center"/>
          </w:tcPr>
          <w:p w14:paraId="69E85EE7">
            <w:pPr>
              <w:spacing w:line="380" w:lineRule="exact"/>
              <w:jc w:val="center"/>
              <w:rPr>
                <w:rFonts w:ascii="仿宋" w:hAnsi="仿宋" w:eastAsia="仿宋" w:cs="仿宋"/>
                <w:sz w:val="24"/>
                <w:highlight w:val="none"/>
              </w:rPr>
            </w:pPr>
          </w:p>
        </w:tc>
        <w:tc>
          <w:tcPr>
            <w:tcW w:w="942" w:type="pct"/>
            <w:tcBorders>
              <w:left w:val="single" w:color="auto" w:sz="4" w:space="0"/>
              <w:bottom w:val="single" w:color="auto" w:sz="4" w:space="0"/>
            </w:tcBorders>
            <w:vAlign w:val="center"/>
          </w:tcPr>
          <w:p w14:paraId="7DF4993B">
            <w:pPr>
              <w:spacing w:line="380" w:lineRule="exact"/>
              <w:jc w:val="center"/>
              <w:rPr>
                <w:rFonts w:hint="default" w:ascii="仿宋" w:hAnsi="仿宋" w:eastAsia="仿宋" w:cs="仿宋"/>
                <w:sz w:val="24"/>
                <w:highlight w:val="none"/>
                <w:lang w:val="en-US" w:eastAsia="zh-CN"/>
              </w:rPr>
            </w:pPr>
          </w:p>
        </w:tc>
      </w:tr>
      <w:tr w14:paraId="43E0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5000" w:type="pct"/>
            <w:gridSpan w:val="5"/>
            <w:vAlign w:val="center"/>
          </w:tcPr>
          <w:p w14:paraId="5F19F706">
            <w:pPr>
              <w:spacing w:line="380" w:lineRule="exact"/>
              <w:jc w:val="left"/>
              <w:rPr>
                <w:rFonts w:hint="eastAsia"/>
                <w:highlight w:val="none"/>
              </w:rPr>
            </w:pPr>
            <w:r>
              <w:rPr>
                <w:rFonts w:hint="eastAsia"/>
                <w:highlight w:val="none"/>
              </w:rPr>
              <w:t>服务期限：合同签订之日起</w:t>
            </w:r>
            <w:r>
              <w:rPr>
                <w:rFonts w:hint="eastAsia"/>
                <w:highlight w:val="none"/>
                <w:lang w:val="en-US" w:eastAsia="zh-CN"/>
              </w:rPr>
              <w:t>一年</w:t>
            </w:r>
            <w:r>
              <w:rPr>
                <w:rFonts w:hint="eastAsia"/>
                <w:highlight w:val="none"/>
              </w:rPr>
              <w:t>。</w:t>
            </w:r>
          </w:p>
          <w:p w14:paraId="74B5D97D">
            <w:pPr>
              <w:pStyle w:val="20"/>
              <w:rPr>
                <w:rFonts w:hint="eastAsia" w:ascii="宋体" w:hAnsi="宋体" w:eastAsia="宋体" w:cs="Times New Roman"/>
                <w:szCs w:val="21"/>
                <w:highlight w:val="none"/>
              </w:rPr>
            </w:pPr>
            <w:r>
              <w:rPr>
                <w:rFonts w:hint="eastAsia" w:ascii="宋体" w:hAnsi="宋体" w:eastAsia="宋体" w:cs="Times New Roman"/>
                <w:szCs w:val="21"/>
                <w:highlight w:val="none"/>
              </w:rPr>
              <w:t>交货地点：招标人指定交货地点</w:t>
            </w:r>
          </w:p>
        </w:tc>
      </w:tr>
      <w:tr w14:paraId="746E8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5000" w:type="pct"/>
            <w:gridSpan w:val="5"/>
            <w:vAlign w:val="center"/>
          </w:tcPr>
          <w:p w14:paraId="4F30A4D2">
            <w:pPr>
              <w:pStyle w:val="25"/>
              <w:tabs>
                <w:tab w:val="left" w:pos="5580"/>
              </w:tabs>
              <w:spacing w:line="360" w:lineRule="auto"/>
              <w:jc w:val="left"/>
              <w:rPr>
                <w:rFonts w:hint="eastAsia" w:hAnsi="宋体"/>
                <w:b/>
                <w:bCs/>
                <w:szCs w:val="21"/>
                <w:highlight w:val="none"/>
              </w:rPr>
            </w:pPr>
            <w:r>
              <w:rPr>
                <w:rFonts w:hint="eastAsia" w:ascii="宋体" w:hAnsi="宋体" w:cs="Times New Roman"/>
                <w:szCs w:val="21"/>
                <w:highlight w:val="none"/>
                <w:lang w:val="en-US" w:eastAsia="zh-CN"/>
              </w:rPr>
              <w:t>备注：</w:t>
            </w:r>
            <w:r>
              <w:rPr>
                <w:rFonts w:hint="eastAsia" w:hAnsi="宋体"/>
                <w:b/>
                <w:bCs/>
                <w:szCs w:val="21"/>
                <w:highlight w:val="none"/>
              </w:rPr>
              <w:t>本次报价包含完成本项目的所有运输、</w:t>
            </w:r>
            <w:r>
              <w:rPr>
                <w:rFonts w:hint="eastAsia" w:ascii="Times New Roman" w:hAnsi="宋体"/>
                <w:b/>
                <w:bCs/>
                <w:szCs w:val="21"/>
                <w:highlight w:val="none"/>
              </w:rPr>
              <w:t>现场的卸车、</w:t>
            </w:r>
            <w:r>
              <w:rPr>
                <w:rFonts w:hint="eastAsia" w:hAnsi="宋体"/>
                <w:b/>
                <w:bCs/>
                <w:szCs w:val="21"/>
                <w:highlight w:val="none"/>
              </w:rPr>
              <w:t>损耗等一切费用；</w:t>
            </w:r>
          </w:p>
          <w:p w14:paraId="29087D85">
            <w:pPr>
              <w:pStyle w:val="25"/>
              <w:tabs>
                <w:tab w:val="left" w:pos="5580"/>
              </w:tabs>
              <w:spacing w:line="360" w:lineRule="auto"/>
              <w:ind w:firstLine="632" w:firstLineChars="300"/>
              <w:jc w:val="left"/>
              <w:rPr>
                <w:rFonts w:hint="eastAsia" w:hAnsi="宋体"/>
                <w:b/>
                <w:bCs/>
                <w:szCs w:val="21"/>
                <w:highlight w:val="none"/>
                <w:lang w:val="en-US" w:eastAsia="zh-CN"/>
              </w:rPr>
            </w:pPr>
            <w:r>
              <w:rPr>
                <w:rFonts w:hint="eastAsia" w:hAnsi="宋体"/>
                <w:b/>
                <w:bCs/>
                <w:szCs w:val="21"/>
                <w:highlight w:val="none"/>
                <w:lang w:val="en-US" w:eastAsia="zh-CN"/>
              </w:rPr>
              <w:t>此表装在单独的信封内密封，用于唱标。</w:t>
            </w:r>
          </w:p>
          <w:p w14:paraId="3561EADF">
            <w:pPr>
              <w:pStyle w:val="25"/>
              <w:tabs>
                <w:tab w:val="left" w:pos="5580"/>
              </w:tabs>
              <w:spacing w:line="360" w:lineRule="auto"/>
              <w:ind w:firstLine="632" w:firstLineChars="300"/>
              <w:jc w:val="left"/>
              <w:rPr>
                <w:rFonts w:hint="default" w:hAnsi="宋体"/>
                <w:b/>
                <w:bCs/>
                <w:szCs w:val="21"/>
                <w:highlight w:val="none"/>
                <w:lang w:val="en-US" w:eastAsia="zh-CN"/>
              </w:rPr>
            </w:pPr>
            <w:r>
              <w:rPr>
                <w:rFonts w:hint="eastAsia" w:hAnsi="宋体"/>
                <w:b/>
                <w:bCs/>
                <w:szCs w:val="21"/>
                <w:highlight w:val="none"/>
                <w:lang w:val="en-US" w:eastAsia="zh-CN"/>
              </w:rPr>
              <w:t>供货期是指订单下达到商品运送指定地点的日期</w:t>
            </w:r>
          </w:p>
        </w:tc>
      </w:tr>
    </w:tbl>
    <w:p w14:paraId="4651D9C7">
      <w:pPr>
        <w:pStyle w:val="20"/>
        <w:rPr>
          <w:rFonts w:hint="eastAsia" w:ascii="宋体" w:hAnsi="宋体"/>
          <w:szCs w:val="21"/>
          <w:highlight w:val="none"/>
        </w:rPr>
      </w:pPr>
    </w:p>
    <w:p w14:paraId="208840E2">
      <w:pPr>
        <w:pStyle w:val="20"/>
        <w:rPr>
          <w:rFonts w:hint="eastAsia" w:ascii="宋体" w:hAnsi="宋体"/>
          <w:szCs w:val="21"/>
          <w:highlight w:val="none"/>
        </w:rPr>
      </w:pPr>
    </w:p>
    <w:p w14:paraId="0B70829D">
      <w:pPr>
        <w:pStyle w:val="25"/>
        <w:tabs>
          <w:tab w:val="left" w:pos="5580"/>
        </w:tabs>
        <w:spacing w:line="360" w:lineRule="auto"/>
        <w:ind w:left="1080" w:leftChars="257" w:hanging="540"/>
        <w:rPr>
          <w:rFonts w:hint="eastAsia" w:hAnsi="宋体"/>
          <w:szCs w:val="21"/>
          <w:highlight w:val="none"/>
        </w:rPr>
      </w:pPr>
    </w:p>
    <w:p w14:paraId="58EB2AEB">
      <w:pPr>
        <w:pStyle w:val="25"/>
        <w:tabs>
          <w:tab w:val="left" w:pos="5580"/>
        </w:tabs>
        <w:spacing w:line="360" w:lineRule="auto"/>
        <w:ind w:left="1080" w:leftChars="257" w:hanging="540"/>
        <w:rPr>
          <w:rFonts w:hint="eastAsia" w:hAnsi="宋体"/>
          <w:szCs w:val="21"/>
          <w:highlight w:val="none"/>
        </w:rPr>
      </w:pPr>
    </w:p>
    <w:p w14:paraId="67691938">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投标人名称（全称、盖章）：</w:t>
      </w:r>
      <w:r>
        <w:rPr>
          <w:rFonts w:hint="eastAsia" w:hAnsi="宋体"/>
          <w:szCs w:val="21"/>
          <w:highlight w:val="none"/>
          <w:u w:val="single"/>
        </w:rPr>
        <w:t xml:space="preserve">                       </w:t>
      </w:r>
    </w:p>
    <w:p w14:paraId="079CCAA2">
      <w:pPr>
        <w:pStyle w:val="25"/>
        <w:tabs>
          <w:tab w:val="left" w:pos="5580"/>
        </w:tabs>
        <w:spacing w:line="360" w:lineRule="auto"/>
        <w:ind w:left="1080" w:leftChars="257" w:hanging="540"/>
        <w:rPr>
          <w:rFonts w:hint="eastAsia" w:hAnsi="宋体"/>
          <w:szCs w:val="21"/>
          <w:highlight w:val="none"/>
          <w:u w:val="single"/>
        </w:rPr>
      </w:pPr>
    </w:p>
    <w:p w14:paraId="4B769A0F">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法定代表人或其委托代理人（签字或签章）：</w:t>
      </w:r>
      <w:r>
        <w:rPr>
          <w:rFonts w:hint="eastAsia" w:hAnsi="宋体"/>
          <w:szCs w:val="21"/>
          <w:highlight w:val="none"/>
          <w:u w:val="single"/>
        </w:rPr>
        <w:t xml:space="preserve">                       </w:t>
      </w:r>
    </w:p>
    <w:p w14:paraId="3F6920A5">
      <w:pPr>
        <w:pStyle w:val="25"/>
        <w:tabs>
          <w:tab w:val="left" w:pos="5580"/>
        </w:tabs>
        <w:spacing w:line="360" w:lineRule="auto"/>
        <w:ind w:left="1080" w:leftChars="257" w:hanging="540"/>
        <w:rPr>
          <w:rFonts w:hint="eastAsia" w:hAnsi="宋体"/>
          <w:szCs w:val="21"/>
          <w:highlight w:val="none"/>
          <w:u w:val="single"/>
        </w:rPr>
      </w:pPr>
    </w:p>
    <w:p w14:paraId="0C8A26F4">
      <w:pPr>
        <w:pStyle w:val="25"/>
        <w:tabs>
          <w:tab w:val="left" w:pos="5580"/>
        </w:tabs>
        <w:spacing w:line="360" w:lineRule="auto"/>
        <w:ind w:left="1080" w:leftChars="257" w:hanging="540"/>
        <w:rPr>
          <w:rFonts w:hint="default" w:hAnsi="宋体" w:eastAsia="宋体"/>
          <w:szCs w:val="21"/>
          <w:highlight w:val="none"/>
          <w:u w:val="single"/>
          <w:lang w:val="en-US" w:eastAsia="zh-CN"/>
        </w:rPr>
      </w:pPr>
      <w:r>
        <w:rPr>
          <w:rFonts w:hint="eastAsia" w:hAnsi="宋体"/>
          <w:szCs w:val="21"/>
          <w:highlight w:val="none"/>
          <w:u w:val="none"/>
          <w:lang w:val="en-US" w:eastAsia="zh-CN"/>
        </w:rPr>
        <w:t>商务谈判联系人：</w:t>
      </w:r>
      <w:r>
        <w:rPr>
          <w:rFonts w:hint="eastAsia" w:hAnsi="宋体"/>
          <w:szCs w:val="21"/>
          <w:highlight w:val="none"/>
          <w:u w:val="single"/>
          <w:lang w:val="en-US" w:eastAsia="zh-CN"/>
        </w:rPr>
        <w:t xml:space="preserve">                          </w:t>
      </w:r>
      <w:r>
        <w:rPr>
          <w:rFonts w:hint="eastAsia" w:hAnsi="宋体"/>
          <w:szCs w:val="21"/>
          <w:highlight w:val="none"/>
          <w:u w:val="none"/>
          <w:lang w:val="en-US" w:eastAsia="zh-CN"/>
        </w:rPr>
        <w:t>手机号码：</w:t>
      </w:r>
      <w:r>
        <w:rPr>
          <w:rFonts w:hint="eastAsia" w:hAnsi="宋体"/>
          <w:szCs w:val="21"/>
          <w:highlight w:val="none"/>
          <w:u w:val="single"/>
          <w:lang w:val="en-US" w:eastAsia="zh-CN"/>
        </w:rPr>
        <w:t xml:space="preserve">                                   </w:t>
      </w:r>
    </w:p>
    <w:p w14:paraId="4CF924CE">
      <w:pPr>
        <w:pStyle w:val="25"/>
        <w:tabs>
          <w:tab w:val="left" w:pos="5580"/>
        </w:tabs>
        <w:spacing w:line="360" w:lineRule="auto"/>
        <w:ind w:left="1080" w:leftChars="257" w:hanging="540"/>
        <w:rPr>
          <w:rFonts w:hint="eastAsia" w:hAnsi="宋体"/>
          <w:szCs w:val="21"/>
          <w:highlight w:val="none"/>
          <w:u w:val="single"/>
        </w:rPr>
      </w:pPr>
    </w:p>
    <w:p w14:paraId="0921F552">
      <w:pPr>
        <w:pStyle w:val="25"/>
        <w:tabs>
          <w:tab w:val="left" w:pos="5580"/>
        </w:tabs>
        <w:spacing w:line="360" w:lineRule="auto"/>
        <w:ind w:left="1080" w:leftChars="257" w:hanging="540"/>
        <w:rPr>
          <w:rFonts w:hint="eastAsia" w:hAnsi="宋体"/>
          <w:szCs w:val="21"/>
          <w:highlight w:val="none"/>
        </w:rPr>
      </w:pP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年</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月</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日</w:t>
      </w:r>
      <w:bookmarkStart w:id="352" w:name="_Toc216582818"/>
      <w:bookmarkStart w:id="353" w:name="_Toc415222529"/>
      <w:bookmarkStart w:id="354" w:name="_Toc109736072"/>
    </w:p>
    <w:p w14:paraId="5386B606">
      <w:pPr>
        <w:rPr>
          <w:rFonts w:hint="eastAsia" w:hAnsi="宋体"/>
          <w:szCs w:val="21"/>
          <w:highlight w:val="none"/>
        </w:rPr>
      </w:pPr>
      <w:r>
        <w:rPr>
          <w:rFonts w:hint="eastAsia" w:hAnsi="宋体"/>
          <w:szCs w:val="21"/>
          <w:highlight w:val="none"/>
        </w:rPr>
        <w:br w:type="page"/>
      </w:r>
    </w:p>
    <w:p w14:paraId="23E66F7E">
      <w:pPr>
        <w:pStyle w:val="4"/>
        <w:spacing w:before="0" w:line="360" w:lineRule="auto"/>
        <w:jc w:val="center"/>
        <w:rPr>
          <w:rFonts w:hint="eastAsia" w:ascii="宋体" w:hAnsi="宋体" w:eastAsia="宋体"/>
          <w:sz w:val="21"/>
          <w:szCs w:val="21"/>
          <w:highlight w:val="none"/>
        </w:rPr>
      </w:pPr>
      <w:bookmarkStart w:id="355" w:name="_Toc20884"/>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3</w:t>
      </w:r>
      <w:r>
        <w:rPr>
          <w:rFonts w:hint="eastAsia" w:ascii="宋体" w:hAnsi="宋体" w:eastAsia="宋体"/>
          <w:sz w:val="21"/>
          <w:szCs w:val="21"/>
          <w:highlight w:val="none"/>
        </w:rPr>
        <w:t>　商务条款偏离表</w:t>
      </w:r>
      <w:bookmarkEnd w:id="352"/>
      <w:bookmarkEnd w:id="353"/>
      <w:bookmarkEnd w:id="354"/>
      <w:bookmarkEnd w:id="355"/>
    </w:p>
    <w:p w14:paraId="6AECC6EF">
      <w:pPr>
        <w:pStyle w:val="25"/>
        <w:spacing w:line="360" w:lineRule="auto"/>
        <w:ind w:left="1080" w:leftChars="257" w:hanging="540"/>
        <w:rPr>
          <w:rFonts w:hint="eastAsia" w:hAnsi="宋体"/>
          <w:szCs w:val="21"/>
          <w:highlight w:val="none"/>
        </w:rPr>
      </w:pPr>
    </w:p>
    <w:p w14:paraId="10E4F179">
      <w:pPr>
        <w:pStyle w:val="25"/>
        <w:spacing w:line="360" w:lineRule="auto"/>
        <w:ind w:left="1080" w:leftChars="257" w:hanging="540"/>
        <w:rPr>
          <w:rFonts w:hAnsi="宋体"/>
          <w:szCs w:val="21"/>
          <w:highlight w:val="non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鸡血清</w:t>
      </w:r>
      <w:r>
        <w:rPr>
          <w:rFonts w:hint="eastAsia" w:hAnsi="宋体"/>
          <w:szCs w:val="21"/>
          <w:highlight w:val="none"/>
          <w:u w:val="single"/>
        </w:rPr>
        <w:t xml:space="preserve">                       </w:t>
      </w:r>
      <w:r>
        <w:rPr>
          <w:rFonts w:hAnsi="宋体"/>
          <w:szCs w:val="21"/>
          <w:highlight w:val="none"/>
        </w:rPr>
        <w:t xml:space="preserve">   </w:t>
      </w:r>
    </w:p>
    <w:p w14:paraId="62C16565">
      <w:pPr>
        <w:pStyle w:val="25"/>
        <w:spacing w:line="360" w:lineRule="auto"/>
        <w:ind w:left="1080" w:leftChars="257" w:hanging="540"/>
        <w:rPr>
          <w:rFonts w:hint="eastAsia" w:hAnsi="宋体"/>
          <w:szCs w:val="21"/>
          <w:highlight w:val="none"/>
        </w:rPr>
      </w:pP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w:t>
      </w:r>
      <w:r>
        <w:rPr>
          <w:rFonts w:hint="eastAsia" w:hAnsi="宋体"/>
          <w:szCs w:val="21"/>
          <w:highlight w:val="none"/>
          <w:u w:val="single"/>
          <w:lang w:val="en-US" w:eastAsia="zh-CN"/>
        </w:rPr>
        <w:t>26</w:t>
      </w:r>
      <w:r>
        <w:rPr>
          <w:rFonts w:hint="eastAsia" w:hAnsi="宋体"/>
          <w:szCs w:val="21"/>
          <w:highlight w:val="none"/>
          <w:u w:val="single"/>
          <w:lang w:eastAsia="zh-CN"/>
        </w:rPr>
        <w:t>-0</w:t>
      </w:r>
      <w:r>
        <w:rPr>
          <w:rFonts w:hint="eastAsia" w:hAnsi="宋体"/>
          <w:szCs w:val="21"/>
          <w:highlight w:val="none"/>
          <w:u w:val="single"/>
          <w:lang w:val="en-US" w:eastAsia="zh-CN"/>
        </w:rPr>
        <w:t>25</w:t>
      </w:r>
      <w:r>
        <w:rPr>
          <w:rFonts w:hint="eastAsia" w:hAnsi="宋体"/>
          <w:szCs w:val="21"/>
          <w:highlight w:val="none"/>
          <w:u w:val="single"/>
        </w:rPr>
        <w:t xml:space="preserve">                  </w:t>
      </w:r>
      <w:r>
        <w:rPr>
          <w:rFonts w:hint="eastAsia" w:hAnsi="宋体"/>
          <w:szCs w:val="21"/>
          <w:highlight w:val="none"/>
        </w:rPr>
        <w:t xml:space="preserve">    </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928"/>
        <w:gridCol w:w="2443"/>
        <w:gridCol w:w="2218"/>
        <w:gridCol w:w="1526"/>
      </w:tblGrid>
      <w:tr w14:paraId="6AC5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4AD4F217">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序号</w:t>
            </w:r>
          </w:p>
        </w:tc>
        <w:tc>
          <w:tcPr>
            <w:tcW w:w="1928" w:type="dxa"/>
            <w:noWrap w:val="0"/>
            <w:vAlign w:val="center"/>
          </w:tcPr>
          <w:p w14:paraId="48F494F5">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招标文件条款号</w:t>
            </w:r>
          </w:p>
        </w:tc>
        <w:tc>
          <w:tcPr>
            <w:tcW w:w="2443" w:type="dxa"/>
            <w:noWrap w:val="0"/>
            <w:vAlign w:val="center"/>
          </w:tcPr>
          <w:p w14:paraId="69410901">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招标文件的商务条款</w:t>
            </w:r>
          </w:p>
        </w:tc>
        <w:tc>
          <w:tcPr>
            <w:tcW w:w="2218" w:type="dxa"/>
            <w:noWrap w:val="0"/>
            <w:vAlign w:val="center"/>
          </w:tcPr>
          <w:p w14:paraId="2B7C766E">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投标文件的商务条款</w:t>
            </w:r>
          </w:p>
        </w:tc>
        <w:tc>
          <w:tcPr>
            <w:tcW w:w="1526" w:type="dxa"/>
            <w:noWrap w:val="0"/>
            <w:vAlign w:val="center"/>
          </w:tcPr>
          <w:p w14:paraId="1BA4247F">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偏离情况说明</w:t>
            </w:r>
          </w:p>
        </w:tc>
      </w:tr>
      <w:tr w14:paraId="487E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2DAB9A48">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r>
              <w:rPr>
                <w:rFonts w:hint="eastAsia" w:hAnsi="宋体"/>
                <w:szCs w:val="21"/>
                <w:highlight w:val="none"/>
                <w:lang w:val="en-US" w:eastAsia="zh-CN"/>
              </w:rPr>
              <w:t>1</w:t>
            </w:r>
          </w:p>
        </w:tc>
        <w:tc>
          <w:tcPr>
            <w:tcW w:w="1928" w:type="dxa"/>
            <w:shd w:val="clear" w:color="auto" w:fill="auto"/>
            <w:noWrap w:val="0"/>
            <w:vAlign w:val="center"/>
          </w:tcPr>
          <w:p w14:paraId="2833290D">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1.7</w:t>
            </w:r>
          </w:p>
        </w:tc>
        <w:tc>
          <w:tcPr>
            <w:tcW w:w="2443" w:type="dxa"/>
            <w:shd w:val="clear" w:color="auto" w:fill="auto"/>
            <w:noWrap w:val="0"/>
            <w:vAlign w:val="center"/>
          </w:tcPr>
          <w:p w14:paraId="5AE4C960">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供应商负责货物运输，并卸货至采购方指定位置</w:t>
            </w:r>
          </w:p>
        </w:tc>
        <w:tc>
          <w:tcPr>
            <w:tcW w:w="2218" w:type="dxa"/>
            <w:shd w:val="clear" w:color="auto" w:fill="auto"/>
            <w:noWrap w:val="0"/>
            <w:vAlign w:val="center"/>
          </w:tcPr>
          <w:p w14:paraId="017645F3">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kern w:val="2"/>
                <w:sz w:val="21"/>
                <w:szCs w:val="21"/>
                <w:highlight w:val="none"/>
                <w:lang w:val="en-US" w:eastAsia="zh-CN" w:bidi="ar-SA"/>
              </w:rPr>
            </w:pPr>
          </w:p>
        </w:tc>
        <w:tc>
          <w:tcPr>
            <w:tcW w:w="1526" w:type="dxa"/>
            <w:shd w:val="clear" w:color="auto" w:fill="auto"/>
            <w:noWrap w:val="0"/>
            <w:vAlign w:val="center"/>
          </w:tcPr>
          <w:p w14:paraId="0C93C227">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kern w:val="2"/>
                <w:sz w:val="21"/>
                <w:szCs w:val="21"/>
                <w:highlight w:val="none"/>
                <w:lang w:val="en-US" w:eastAsia="zh-CN" w:bidi="ar-SA"/>
              </w:rPr>
            </w:pPr>
          </w:p>
        </w:tc>
      </w:tr>
      <w:tr w14:paraId="255F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073720BA">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r>
              <w:rPr>
                <w:rFonts w:hint="eastAsia" w:hAnsi="宋体"/>
                <w:szCs w:val="21"/>
                <w:highlight w:val="none"/>
                <w:lang w:val="en-US" w:eastAsia="zh-CN"/>
              </w:rPr>
              <w:t>2</w:t>
            </w:r>
          </w:p>
        </w:tc>
        <w:tc>
          <w:tcPr>
            <w:tcW w:w="1928" w:type="dxa"/>
            <w:shd w:val="clear" w:color="auto" w:fill="auto"/>
            <w:noWrap w:val="0"/>
            <w:vAlign w:val="center"/>
          </w:tcPr>
          <w:p w14:paraId="23DFFC72">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r>
              <w:rPr>
                <w:rFonts w:hint="eastAsia" w:hAnsi="宋体" w:cs="Times New Roman"/>
                <w:kern w:val="2"/>
                <w:sz w:val="21"/>
                <w:szCs w:val="21"/>
                <w:highlight w:val="none"/>
                <w:lang w:val="en-US" w:eastAsia="zh-CN" w:bidi="ar-SA"/>
              </w:rPr>
              <w:t>1.7</w:t>
            </w:r>
          </w:p>
        </w:tc>
        <w:tc>
          <w:tcPr>
            <w:tcW w:w="2443" w:type="dxa"/>
            <w:shd w:val="clear" w:color="auto" w:fill="auto"/>
            <w:noWrap w:val="0"/>
            <w:vAlign w:val="center"/>
          </w:tcPr>
          <w:p w14:paraId="4138CF75">
            <w:pPr>
              <w:spacing w:before="120" w:line="360" w:lineRule="exact"/>
              <w:rPr>
                <w:rFonts w:hint="default" w:ascii="宋体" w:hAnsi="宋体" w:eastAsia="宋体" w:cs="Times New Roman"/>
                <w:kern w:val="2"/>
                <w:sz w:val="21"/>
                <w:szCs w:val="21"/>
                <w:highlight w:val="none"/>
                <w:lang w:val="en-US" w:eastAsia="zh-CN" w:bidi="ar-SA"/>
              </w:rPr>
            </w:pPr>
            <w:r>
              <w:rPr>
                <w:rFonts w:hint="eastAsia" w:ascii="宋体" w:hAnsi="宋体" w:cs="宋体"/>
                <w:lang w:val="en-US"/>
              </w:rPr>
              <w:t>产品运输过程中需要采用低温冷藏车运输，产品外观无破损。</w:t>
            </w:r>
          </w:p>
        </w:tc>
        <w:tc>
          <w:tcPr>
            <w:tcW w:w="2218" w:type="dxa"/>
            <w:noWrap w:val="0"/>
            <w:vAlign w:val="center"/>
          </w:tcPr>
          <w:p w14:paraId="40D9E841">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526" w:type="dxa"/>
            <w:noWrap w:val="0"/>
            <w:vAlign w:val="center"/>
          </w:tcPr>
          <w:p w14:paraId="7A1478D9">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r>
      <w:tr w14:paraId="79B5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shd w:val="clear" w:color="auto" w:fill="auto"/>
            <w:noWrap w:val="0"/>
            <w:vAlign w:val="center"/>
          </w:tcPr>
          <w:p w14:paraId="20D2BB68">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kern w:val="2"/>
                <w:sz w:val="21"/>
                <w:szCs w:val="21"/>
                <w:highlight w:val="none"/>
                <w:lang w:val="en-US" w:eastAsia="zh-CN" w:bidi="ar-SA"/>
              </w:rPr>
            </w:pPr>
            <w:r>
              <w:rPr>
                <w:rFonts w:hint="eastAsia" w:hAnsi="宋体"/>
                <w:szCs w:val="21"/>
                <w:highlight w:val="none"/>
                <w:lang w:val="en-US" w:eastAsia="zh-CN"/>
              </w:rPr>
              <w:t>3</w:t>
            </w:r>
          </w:p>
        </w:tc>
        <w:tc>
          <w:tcPr>
            <w:tcW w:w="1928" w:type="dxa"/>
            <w:shd w:val="clear" w:color="auto" w:fill="auto"/>
            <w:noWrap w:val="0"/>
            <w:vAlign w:val="center"/>
          </w:tcPr>
          <w:p w14:paraId="03E32FA4">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8</w:t>
            </w:r>
          </w:p>
        </w:tc>
        <w:tc>
          <w:tcPr>
            <w:tcW w:w="2443" w:type="dxa"/>
            <w:shd w:val="clear" w:color="auto" w:fill="auto"/>
            <w:noWrap w:val="0"/>
            <w:vAlign w:val="center"/>
          </w:tcPr>
          <w:p w14:paraId="7B7CFFC0">
            <w:pPr>
              <w:spacing w:before="120" w:line="360" w:lineRule="exact"/>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付款方式：</w:t>
            </w:r>
            <w:r>
              <w:rPr>
                <w:rFonts w:hint="eastAsia" w:ascii="宋体" w:hAnsi="宋体"/>
                <w:szCs w:val="21"/>
                <w:highlight w:val="none"/>
                <w:lang w:val="en-US" w:eastAsia="zh-CN"/>
              </w:rPr>
              <w:t>货到验收合格后开票，6个月后付款，可接受至少50%银行承兑汇票。</w:t>
            </w:r>
          </w:p>
        </w:tc>
        <w:tc>
          <w:tcPr>
            <w:tcW w:w="2218" w:type="dxa"/>
            <w:noWrap w:val="0"/>
            <w:vAlign w:val="center"/>
          </w:tcPr>
          <w:p w14:paraId="1C79B2B6">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526" w:type="dxa"/>
            <w:noWrap w:val="0"/>
            <w:vAlign w:val="center"/>
          </w:tcPr>
          <w:p w14:paraId="1F932D56">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r>
      <w:tr w14:paraId="3DAE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0AAC5363">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r>
              <w:rPr>
                <w:rFonts w:hint="eastAsia" w:hAnsi="宋体"/>
                <w:szCs w:val="21"/>
                <w:highlight w:val="none"/>
                <w:lang w:val="en-US" w:eastAsia="zh-CN"/>
              </w:rPr>
              <w:t>4</w:t>
            </w:r>
          </w:p>
        </w:tc>
        <w:tc>
          <w:tcPr>
            <w:tcW w:w="1928" w:type="dxa"/>
            <w:noWrap w:val="0"/>
            <w:vAlign w:val="center"/>
          </w:tcPr>
          <w:p w14:paraId="32A093B9">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r>
              <w:rPr>
                <w:rFonts w:hint="eastAsia" w:hAnsi="宋体"/>
                <w:szCs w:val="21"/>
                <w:highlight w:val="none"/>
                <w:lang w:val="en-US" w:eastAsia="zh-CN"/>
              </w:rPr>
              <w:t>URS5.4</w:t>
            </w:r>
          </w:p>
        </w:tc>
        <w:tc>
          <w:tcPr>
            <w:tcW w:w="2443" w:type="dxa"/>
            <w:noWrap w:val="0"/>
            <w:vAlign w:val="center"/>
          </w:tcPr>
          <w:p w14:paraId="778B3C7B">
            <w:pPr>
              <w:spacing w:before="120" w:line="360" w:lineRule="exact"/>
              <w:rPr>
                <w:rFonts w:hint="eastAsia" w:hAnsi="宋体"/>
                <w:szCs w:val="21"/>
                <w:highlight w:val="none"/>
                <w:lang w:val="en-US" w:eastAsia="zh-CN"/>
              </w:rPr>
            </w:pPr>
            <w:r>
              <w:rPr>
                <w:rFonts w:hint="eastAsia" w:hAnsi="宋体"/>
                <w:szCs w:val="21"/>
                <w:highlight w:val="none"/>
                <w:lang w:val="en-US" w:eastAsia="zh-CN"/>
              </w:rPr>
              <w:t>提供免费血清小试样品最少数量为10000ml。3.该批血清在小试结果判定之前，供应商需将该批（批号必须与提供样品的批号保持一致）产品预留至少300000ml，以备供货。</w:t>
            </w:r>
          </w:p>
        </w:tc>
        <w:tc>
          <w:tcPr>
            <w:tcW w:w="2218" w:type="dxa"/>
            <w:noWrap w:val="0"/>
            <w:vAlign w:val="center"/>
          </w:tcPr>
          <w:p w14:paraId="5575AF0B">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526" w:type="dxa"/>
            <w:noWrap w:val="0"/>
            <w:vAlign w:val="center"/>
          </w:tcPr>
          <w:p w14:paraId="4EF7C2BA">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r>
      <w:tr w14:paraId="6A4A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193EF324">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4ED2A612">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43C4E993">
            <w:pPr>
              <w:pStyle w:val="25"/>
              <w:spacing w:line="360" w:lineRule="auto"/>
              <w:ind w:left="1080" w:leftChars="257" w:hanging="540"/>
              <w:jc w:val="center"/>
              <w:rPr>
                <w:rFonts w:hint="eastAsia" w:hAnsi="宋体"/>
                <w:szCs w:val="21"/>
                <w:highlight w:val="none"/>
                <w:lang w:val="en-US" w:eastAsia="zh-CN"/>
              </w:rPr>
            </w:pPr>
            <w:r>
              <w:rPr>
                <w:rFonts w:hint="eastAsia" w:hAnsi="宋体" w:cs="Times New Roman"/>
                <w:kern w:val="2"/>
                <w:sz w:val="21"/>
                <w:szCs w:val="21"/>
                <w:highlight w:val="none"/>
                <w:lang w:val="en-US" w:eastAsia="zh-CN" w:bidi="ar-SA"/>
              </w:rPr>
              <w:t>（其他自行填写）</w:t>
            </w:r>
          </w:p>
        </w:tc>
        <w:tc>
          <w:tcPr>
            <w:tcW w:w="2218" w:type="dxa"/>
            <w:noWrap w:val="0"/>
            <w:vAlign w:val="center"/>
          </w:tcPr>
          <w:p w14:paraId="087FCACF">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72E52A91">
            <w:pPr>
              <w:pStyle w:val="25"/>
              <w:spacing w:line="360" w:lineRule="auto"/>
              <w:ind w:left="1080" w:leftChars="257" w:hanging="540"/>
              <w:jc w:val="center"/>
              <w:rPr>
                <w:rFonts w:hint="eastAsia" w:hAnsi="宋体"/>
                <w:szCs w:val="21"/>
                <w:highlight w:val="none"/>
                <w:lang w:val="en-US" w:eastAsia="zh-CN"/>
              </w:rPr>
            </w:pPr>
          </w:p>
        </w:tc>
      </w:tr>
      <w:tr w14:paraId="33E5D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7F953BCF">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202479FE">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3CE69CC9">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1DC9FF40">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20CC26D6">
            <w:pPr>
              <w:pStyle w:val="25"/>
              <w:spacing w:line="360" w:lineRule="auto"/>
              <w:ind w:left="1080" w:leftChars="257" w:hanging="540"/>
              <w:jc w:val="center"/>
              <w:rPr>
                <w:rFonts w:hint="eastAsia" w:hAnsi="宋体"/>
                <w:szCs w:val="21"/>
                <w:highlight w:val="none"/>
                <w:lang w:val="en-US" w:eastAsia="zh-CN"/>
              </w:rPr>
            </w:pPr>
          </w:p>
        </w:tc>
      </w:tr>
      <w:tr w14:paraId="4D05A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0FB9CE4B">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5D53F50F">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48A59D47">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4B73151D">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3AB72F28">
            <w:pPr>
              <w:pStyle w:val="25"/>
              <w:spacing w:line="360" w:lineRule="auto"/>
              <w:ind w:left="1080" w:leftChars="257" w:hanging="540"/>
              <w:jc w:val="center"/>
              <w:rPr>
                <w:rFonts w:hint="eastAsia" w:hAnsi="宋体"/>
                <w:szCs w:val="21"/>
                <w:highlight w:val="none"/>
                <w:lang w:val="en-US" w:eastAsia="zh-CN"/>
              </w:rPr>
            </w:pPr>
          </w:p>
        </w:tc>
      </w:tr>
      <w:tr w14:paraId="1628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311019C6">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57DA51DE">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68D91456">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2A7978E3">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217180DA">
            <w:pPr>
              <w:pStyle w:val="25"/>
              <w:spacing w:line="360" w:lineRule="auto"/>
              <w:ind w:left="1080" w:leftChars="257" w:hanging="540"/>
              <w:jc w:val="center"/>
              <w:rPr>
                <w:rFonts w:hint="eastAsia" w:hAnsi="宋体"/>
                <w:szCs w:val="21"/>
                <w:highlight w:val="none"/>
                <w:lang w:val="en-US" w:eastAsia="zh-CN"/>
              </w:rPr>
            </w:pPr>
          </w:p>
        </w:tc>
      </w:tr>
      <w:tr w14:paraId="76ACA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5A5607BF">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7F843383">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641F94ED">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56D5A0F1">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222C8F67">
            <w:pPr>
              <w:pStyle w:val="25"/>
              <w:spacing w:line="360" w:lineRule="auto"/>
              <w:ind w:left="1080" w:leftChars="257" w:hanging="540"/>
              <w:jc w:val="center"/>
              <w:rPr>
                <w:rFonts w:hint="eastAsia" w:hAnsi="宋体"/>
                <w:szCs w:val="21"/>
                <w:highlight w:val="none"/>
                <w:lang w:val="en-US" w:eastAsia="zh-CN"/>
              </w:rPr>
            </w:pPr>
          </w:p>
        </w:tc>
      </w:tr>
    </w:tbl>
    <w:p w14:paraId="0783CD6B">
      <w:pPr>
        <w:pStyle w:val="25"/>
        <w:spacing w:line="360" w:lineRule="auto"/>
        <w:ind w:left="1080" w:leftChars="257" w:hanging="540"/>
        <w:rPr>
          <w:rFonts w:hint="eastAsia" w:hAnsi="宋体"/>
          <w:szCs w:val="21"/>
          <w:highlight w:val="none"/>
        </w:rPr>
      </w:pPr>
    </w:p>
    <w:p w14:paraId="2BEA3810">
      <w:pPr>
        <w:pStyle w:val="25"/>
        <w:spacing w:line="360" w:lineRule="auto"/>
        <w:ind w:left="1080" w:leftChars="257" w:hanging="540"/>
        <w:rPr>
          <w:rFonts w:hint="eastAsia" w:hAnsi="宋体"/>
          <w:szCs w:val="21"/>
          <w:highlight w:val="none"/>
        </w:rPr>
      </w:pPr>
      <w:r>
        <w:rPr>
          <w:rFonts w:hint="eastAsia" w:hAnsi="宋体"/>
          <w:szCs w:val="21"/>
          <w:highlight w:val="none"/>
        </w:rPr>
        <w:t>投标人授权代表签字：</w:t>
      </w:r>
      <w:r>
        <w:rPr>
          <w:rFonts w:hAnsi="宋体"/>
          <w:szCs w:val="21"/>
          <w:highlight w:val="none"/>
          <w:u w:val="single"/>
        </w:rPr>
        <w:tab/>
      </w:r>
      <w:r>
        <w:rPr>
          <w:rFonts w:hint="eastAsia" w:hAnsi="宋体"/>
          <w:szCs w:val="21"/>
          <w:highlight w:val="none"/>
          <w:u w:val="single"/>
        </w:rPr>
        <w:t xml:space="preserve">                        </w:t>
      </w:r>
      <w:r>
        <w:rPr>
          <w:rFonts w:hAnsi="宋体"/>
          <w:szCs w:val="21"/>
          <w:highlight w:val="none"/>
          <w:u w:val="single"/>
        </w:rPr>
        <w:tab/>
      </w:r>
    </w:p>
    <w:p w14:paraId="1E950C90">
      <w:pPr>
        <w:pStyle w:val="25"/>
        <w:spacing w:line="360" w:lineRule="auto"/>
        <w:ind w:left="1080" w:leftChars="257" w:hanging="540"/>
        <w:rPr>
          <w:rFonts w:hAnsi="宋体"/>
          <w:szCs w:val="21"/>
          <w:highlight w:val="none"/>
          <w:u w:val="single"/>
        </w:rPr>
      </w:pPr>
      <w:r>
        <w:rPr>
          <w:rFonts w:hint="eastAsia" w:hAnsi="宋体"/>
          <w:szCs w:val="21"/>
          <w:highlight w:val="none"/>
        </w:rPr>
        <w:t xml:space="preserve">投标人(盖章):   </w:t>
      </w:r>
      <w:r>
        <w:rPr>
          <w:rFonts w:hint="eastAsia" w:hAnsi="宋体"/>
          <w:szCs w:val="21"/>
          <w:highlight w:val="none"/>
          <w:u w:val="single"/>
        </w:rPr>
        <w:t xml:space="preserve"> </w:t>
      </w:r>
      <w:r>
        <w:rPr>
          <w:rFonts w:hAnsi="宋体"/>
          <w:szCs w:val="21"/>
          <w:highlight w:val="none"/>
          <w:u w:val="single"/>
        </w:rPr>
        <w:tab/>
      </w:r>
      <w:r>
        <w:rPr>
          <w:rFonts w:hint="eastAsia" w:hAnsi="宋体"/>
          <w:szCs w:val="21"/>
          <w:highlight w:val="none"/>
          <w:u w:val="single"/>
        </w:rPr>
        <w:t xml:space="preserve">                             </w:t>
      </w:r>
      <w:r>
        <w:rPr>
          <w:rFonts w:hAnsi="宋体"/>
          <w:szCs w:val="21"/>
          <w:highlight w:val="none"/>
          <w:u w:val="single"/>
        </w:rPr>
        <w:tab/>
      </w:r>
    </w:p>
    <w:p w14:paraId="13A95EF0">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1"/>
        <w:rPr>
          <w:rFonts w:hint="eastAsia" w:hAnsi="宋体"/>
          <w:szCs w:val="21"/>
          <w:highlight w:val="none"/>
        </w:rPr>
      </w:pPr>
      <w:bookmarkStart w:id="356" w:name="_Toc20560"/>
      <w:r>
        <w:rPr>
          <w:rFonts w:hint="eastAsia" w:hAnsi="宋体"/>
          <w:szCs w:val="21"/>
          <w:highlight w:val="none"/>
        </w:rPr>
        <w:t>说明：投标人应对招标文件第二章投标人须知前附表、第三章合同条款等商务条款进行响应，表中“偏离情况”一栏应填以“正偏离”、“负偏离”或“符合”，投标响应情况请在商务偏离表中列明。如有无列明偏离，则视为响应招标文件商务条款要求。</w:t>
      </w:r>
    </w:p>
    <w:p w14:paraId="7905B23A">
      <w:pPr>
        <w:rPr>
          <w:rFonts w:ascii="宋体" w:hAnsi="宋体" w:eastAsia="宋体"/>
          <w:sz w:val="21"/>
          <w:szCs w:val="21"/>
          <w:highlight w:val="none"/>
          <w:u w:val="single"/>
        </w:rPr>
      </w:pPr>
      <w:r>
        <w:rPr>
          <w:rFonts w:ascii="宋体" w:hAnsi="宋体" w:eastAsia="宋体"/>
          <w:sz w:val="21"/>
          <w:szCs w:val="21"/>
          <w:highlight w:val="none"/>
          <w:u w:val="single"/>
        </w:rPr>
        <w:br w:type="page"/>
      </w:r>
    </w:p>
    <w:p w14:paraId="73752536">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1"/>
        <w:rPr>
          <w:rFonts w:hint="default" w:ascii="宋体" w:hAnsi="宋体" w:eastAsia="宋体"/>
          <w:sz w:val="21"/>
          <w:szCs w:val="21"/>
          <w:highlight w:val="none"/>
          <w:lang w:val="en-US"/>
        </w:rPr>
      </w:pPr>
      <w:bookmarkStart w:id="357" w:name="_Toc216582817"/>
      <w:bookmarkStart w:id="358" w:name="_Toc109736073"/>
      <w:bookmarkStart w:id="359" w:name="_Toc415222528"/>
      <w:r>
        <w:rPr>
          <w:rFonts w:hint="eastAsia" w:ascii="宋体" w:hAnsi="宋体" w:eastAsia="宋体" w:cs="Times New Roman"/>
          <w:b/>
          <w:bCs/>
          <w:kern w:val="2"/>
          <w:sz w:val="21"/>
          <w:szCs w:val="21"/>
          <w:highlight w:val="none"/>
          <w:lang w:val="en-US" w:eastAsia="zh-CN" w:bidi="ar-SA"/>
        </w:rPr>
        <w:t>附件4　技术规格</w:t>
      </w:r>
      <w:bookmarkEnd w:id="356"/>
      <w:bookmarkEnd w:id="357"/>
      <w:bookmarkEnd w:id="358"/>
      <w:bookmarkEnd w:id="359"/>
      <w:r>
        <w:rPr>
          <w:rFonts w:hint="eastAsia" w:hAnsi="宋体" w:cs="Times New Roman"/>
          <w:b/>
          <w:bCs/>
          <w:kern w:val="2"/>
          <w:sz w:val="21"/>
          <w:szCs w:val="21"/>
          <w:highlight w:val="none"/>
          <w:lang w:val="en-US" w:eastAsia="zh-CN" w:bidi="ar-SA"/>
        </w:rPr>
        <w:t>偏离表</w:t>
      </w:r>
    </w:p>
    <w:p w14:paraId="6BFBA526">
      <w:pPr>
        <w:tabs>
          <w:tab w:val="left" w:pos="1800"/>
          <w:tab w:val="left" w:pos="5580"/>
        </w:tabs>
        <w:spacing w:line="360" w:lineRule="auto"/>
        <w:rPr>
          <w:rFonts w:hint="eastAsia" w:ascii="宋体" w:hAnsi="宋体"/>
          <w:szCs w:val="21"/>
          <w:highlight w:val="none"/>
        </w:rPr>
      </w:pPr>
    </w:p>
    <w:p w14:paraId="301494A1">
      <w:pPr>
        <w:pStyle w:val="20"/>
        <w:rPr>
          <w:rFonts w:hAnsi="宋体"/>
          <w:szCs w:val="21"/>
          <w:highlight w:val="non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鸡血清</w:t>
      </w:r>
      <w:r>
        <w:rPr>
          <w:rFonts w:hint="eastAsia" w:hAnsi="宋体"/>
          <w:szCs w:val="21"/>
          <w:highlight w:val="none"/>
          <w:u w:val="single"/>
        </w:rPr>
        <w:t xml:space="preserve">                       </w:t>
      </w:r>
      <w:r>
        <w:rPr>
          <w:rFonts w:hAnsi="宋体"/>
          <w:szCs w:val="21"/>
          <w:highlight w:val="none"/>
        </w:rPr>
        <w:t xml:space="preserve">    </w:t>
      </w:r>
    </w:p>
    <w:p w14:paraId="3508F3BB">
      <w:pPr>
        <w:pStyle w:val="20"/>
        <w:rPr>
          <w:rFonts w:hint="eastAsia" w:hAnsi="宋体"/>
          <w:szCs w:val="21"/>
          <w:highlight w:val="none"/>
          <w:u w:val="single"/>
        </w:rPr>
      </w:pP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w:t>
      </w:r>
      <w:r>
        <w:rPr>
          <w:rFonts w:hint="eastAsia" w:hAnsi="宋体"/>
          <w:szCs w:val="21"/>
          <w:highlight w:val="none"/>
          <w:u w:val="single"/>
          <w:lang w:val="en-US" w:eastAsia="zh-CN"/>
        </w:rPr>
        <w:t>6</w:t>
      </w:r>
      <w:r>
        <w:rPr>
          <w:rFonts w:hint="eastAsia" w:hAnsi="宋体"/>
          <w:szCs w:val="21"/>
          <w:highlight w:val="none"/>
          <w:u w:val="single"/>
          <w:lang w:eastAsia="zh-CN"/>
        </w:rPr>
        <w:t>-0</w:t>
      </w:r>
      <w:r>
        <w:rPr>
          <w:rFonts w:hint="eastAsia" w:hAnsi="宋体"/>
          <w:szCs w:val="21"/>
          <w:highlight w:val="none"/>
          <w:u w:val="single"/>
          <w:lang w:val="en-US" w:eastAsia="zh-CN"/>
        </w:rPr>
        <w:t>25</w:t>
      </w:r>
      <w:r>
        <w:rPr>
          <w:rFonts w:hint="eastAsia" w:hAnsi="宋体"/>
          <w:szCs w:val="21"/>
          <w:highlight w:val="none"/>
          <w:u w:val="single"/>
        </w:rPr>
        <w:t xml:space="preserve">                  </w:t>
      </w:r>
    </w:p>
    <w:tbl>
      <w:tblPr>
        <w:tblStyle w:val="5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088"/>
        <w:gridCol w:w="1481"/>
        <w:gridCol w:w="1225"/>
        <w:gridCol w:w="1243"/>
        <w:gridCol w:w="1231"/>
        <w:gridCol w:w="1223"/>
        <w:gridCol w:w="1496"/>
      </w:tblGrid>
      <w:tr w14:paraId="39B0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center"/>
          </w:tcPr>
          <w:p w14:paraId="6AE5B641">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序号</w:t>
            </w:r>
          </w:p>
        </w:tc>
        <w:tc>
          <w:tcPr>
            <w:tcW w:w="562" w:type="pct"/>
            <w:noWrap w:val="0"/>
            <w:vAlign w:val="center"/>
          </w:tcPr>
          <w:p w14:paraId="77F90A35">
            <w:pPr>
              <w:pStyle w:val="25"/>
              <w:keepNext w:val="0"/>
              <w:keepLines w:val="0"/>
              <w:pageBreakBefore w:val="0"/>
              <w:widowControl w:val="0"/>
              <w:kinsoku/>
              <w:wordWrap/>
              <w:overflowPunct/>
              <w:topLinePunct w:val="0"/>
              <w:autoSpaceDE/>
              <w:autoSpaceDN/>
              <w:bidi w:val="0"/>
              <w:adjustRightInd/>
              <w:snapToGrid/>
              <w:textAlignment w:val="auto"/>
              <w:rPr>
                <w:rFonts w:hint="eastAsia" w:hAnsi="宋体"/>
                <w:szCs w:val="21"/>
                <w:highlight w:val="none"/>
                <w:lang w:val="en-US" w:eastAsia="zh-CN"/>
              </w:rPr>
            </w:pPr>
            <w:r>
              <w:rPr>
                <w:rFonts w:hint="eastAsia" w:hAnsi="宋体"/>
                <w:szCs w:val="21"/>
                <w:highlight w:val="none"/>
                <w:lang w:val="en-US" w:eastAsia="zh-CN"/>
              </w:rPr>
              <w:t>所投产品型号</w:t>
            </w:r>
          </w:p>
        </w:tc>
        <w:tc>
          <w:tcPr>
            <w:tcW w:w="765" w:type="pct"/>
            <w:noWrap w:val="0"/>
            <w:vAlign w:val="center"/>
          </w:tcPr>
          <w:p w14:paraId="746116FF">
            <w:pPr>
              <w:pStyle w:val="25"/>
              <w:keepNext w:val="0"/>
              <w:keepLines w:val="0"/>
              <w:pageBreakBefore w:val="0"/>
              <w:widowControl w:val="0"/>
              <w:kinsoku/>
              <w:wordWrap/>
              <w:overflowPunct/>
              <w:topLinePunct w:val="0"/>
              <w:autoSpaceDE/>
              <w:autoSpaceDN/>
              <w:bidi w:val="0"/>
              <w:adjustRightInd/>
              <w:snapToGrid/>
              <w:textAlignment w:val="auto"/>
              <w:rPr>
                <w:rFonts w:hint="eastAsia" w:hAnsi="宋体"/>
                <w:szCs w:val="21"/>
                <w:highlight w:val="none"/>
                <w:lang w:val="en-US" w:eastAsia="zh-CN"/>
              </w:rPr>
            </w:pPr>
            <w:r>
              <w:rPr>
                <w:rFonts w:hint="eastAsia" w:hAnsi="宋体"/>
                <w:szCs w:val="21"/>
                <w:highlight w:val="none"/>
                <w:lang w:val="en-US" w:eastAsia="zh-CN"/>
              </w:rPr>
              <w:t>招标文件条款号</w:t>
            </w:r>
          </w:p>
        </w:tc>
        <w:tc>
          <w:tcPr>
            <w:tcW w:w="633" w:type="pct"/>
            <w:noWrap w:val="0"/>
            <w:vAlign w:val="center"/>
          </w:tcPr>
          <w:p w14:paraId="6E44F510">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招标文件要求</w:t>
            </w:r>
          </w:p>
        </w:tc>
        <w:tc>
          <w:tcPr>
            <w:tcW w:w="642" w:type="pct"/>
            <w:noWrap w:val="0"/>
            <w:vAlign w:val="center"/>
          </w:tcPr>
          <w:p w14:paraId="3AA801B4">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投标响应</w:t>
            </w:r>
          </w:p>
        </w:tc>
        <w:tc>
          <w:tcPr>
            <w:tcW w:w="636" w:type="pct"/>
            <w:noWrap w:val="0"/>
            <w:vAlign w:val="center"/>
          </w:tcPr>
          <w:p w14:paraId="4CDBE65D">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偏离情况</w:t>
            </w:r>
          </w:p>
        </w:tc>
        <w:tc>
          <w:tcPr>
            <w:tcW w:w="632" w:type="pct"/>
            <w:noWrap w:val="0"/>
            <w:vAlign w:val="center"/>
          </w:tcPr>
          <w:p w14:paraId="2A39AF3F">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参数说明文件页码</w:t>
            </w:r>
          </w:p>
        </w:tc>
        <w:tc>
          <w:tcPr>
            <w:tcW w:w="773" w:type="pct"/>
            <w:noWrap w:val="0"/>
            <w:vAlign w:val="center"/>
          </w:tcPr>
          <w:p w14:paraId="3DB583C3">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参数说明文件条款号</w:t>
            </w:r>
          </w:p>
        </w:tc>
      </w:tr>
      <w:tr w14:paraId="7621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157928C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644AB73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0B4E9D5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1DA42E1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7154D4F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7AA9B75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2D796FE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5A43D30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7352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12EE05F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29D5D82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61C2DB5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7128065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5DCE473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0DB8F4F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041163B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11FCB68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33DF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55601D3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3446917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0E4CEDA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671EE5A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3563992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40038C9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3B13FAD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1018BCD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5B66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11CDD98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359D631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50AD1F6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412C90B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3589E4F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43154B6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7080615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37DFFB7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301E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3DB6A09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1FB59CA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0B396DC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1087605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5D1FA7D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4D3BFB7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7923061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6131FF3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47BA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137CC9A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7ED20A2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2CB0344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151D476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31504AE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77B4903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41E9CA9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7031594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743C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1A66D02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07ED8CB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366EE24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4D68ACA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3FC6DE4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69843CE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56F37AE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4E0EBFA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094E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65C03C8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797A8A5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0254669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41466ED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1311222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5FDE5A1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0934CB9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2DE3742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587E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54" w:type="pct"/>
            <w:noWrap w:val="0"/>
            <w:vAlign w:val="top"/>
          </w:tcPr>
          <w:p w14:paraId="58F7C63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0DE6B28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1C05318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668CAF5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5584942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32E6E70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4D7A0B7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074EC90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bl>
    <w:p w14:paraId="136BFDF7">
      <w:pPr>
        <w:pStyle w:val="20"/>
        <w:rPr>
          <w:rFonts w:hint="eastAsia" w:hAnsi="宋体"/>
          <w:szCs w:val="21"/>
          <w:highlight w:val="none"/>
          <w:u w:val="single"/>
        </w:rPr>
      </w:pPr>
    </w:p>
    <w:p w14:paraId="55235175">
      <w:pPr>
        <w:pStyle w:val="20"/>
        <w:rPr>
          <w:rFonts w:hint="eastAsia" w:hAnsi="宋体"/>
          <w:szCs w:val="21"/>
          <w:highlight w:val="none"/>
          <w:u w:val="single"/>
        </w:rPr>
      </w:pPr>
    </w:p>
    <w:p w14:paraId="57B2D0C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p>
    <w:p w14:paraId="1826E64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p>
    <w:p w14:paraId="4C51DC7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r>
        <w:rPr>
          <w:rFonts w:hint="eastAsia" w:hAnsi="宋体"/>
          <w:szCs w:val="21"/>
          <w:highlight w:val="none"/>
        </w:rPr>
        <w:t>投标人授权代表签字：</w:t>
      </w:r>
      <w:r>
        <w:rPr>
          <w:rFonts w:hAnsi="宋体"/>
          <w:szCs w:val="21"/>
          <w:highlight w:val="none"/>
          <w:u w:val="single"/>
        </w:rPr>
        <w:tab/>
      </w:r>
      <w:r>
        <w:rPr>
          <w:rFonts w:hint="eastAsia" w:hAnsi="宋体"/>
          <w:szCs w:val="21"/>
          <w:highlight w:val="none"/>
          <w:u w:val="single"/>
        </w:rPr>
        <w:t xml:space="preserve">                     </w:t>
      </w:r>
    </w:p>
    <w:p w14:paraId="5E8954EB">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left="1080" w:leftChars="257" w:hanging="540"/>
        <w:textAlignment w:val="auto"/>
        <w:rPr>
          <w:rFonts w:hAnsi="宋体"/>
          <w:szCs w:val="21"/>
          <w:highlight w:val="none"/>
          <w:u w:val="single"/>
        </w:rPr>
      </w:pPr>
      <w:r>
        <w:rPr>
          <w:rFonts w:hint="eastAsia" w:hAnsi="宋体"/>
          <w:szCs w:val="21"/>
          <w:highlight w:val="none"/>
        </w:rPr>
        <w:t>投标人(盖章):</w:t>
      </w:r>
      <w:r>
        <w:rPr>
          <w:rFonts w:hAnsi="宋体"/>
          <w:szCs w:val="21"/>
          <w:highlight w:val="none"/>
          <w:u w:val="single"/>
        </w:rPr>
        <w:tab/>
      </w:r>
      <w:r>
        <w:rPr>
          <w:rFonts w:hAnsi="宋体"/>
          <w:szCs w:val="21"/>
          <w:highlight w:val="none"/>
          <w:u w:val="single"/>
        </w:rPr>
        <w:tab/>
      </w:r>
    </w:p>
    <w:p w14:paraId="48C39EAB">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left="1080" w:leftChars="257" w:hanging="540"/>
        <w:textAlignment w:val="auto"/>
        <w:rPr>
          <w:rFonts w:hAnsi="宋体"/>
          <w:szCs w:val="21"/>
          <w:highlight w:val="none"/>
          <w:u w:val="single"/>
        </w:rPr>
      </w:pPr>
    </w:p>
    <w:p w14:paraId="387433DD">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szCs w:val="21"/>
          <w:highlight w:val="none"/>
        </w:rPr>
      </w:pPr>
      <w:r>
        <w:rPr>
          <w:rFonts w:hint="eastAsia" w:hAnsi="宋体"/>
          <w:szCs w:val="21"/>
          <w:highlight w:val="none"/>
        </w:rPr>
        <w:t>说明：</w:t>
      </w:r>
    </w:p>
    <w:p w14:paraId="230C36A3">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1、投标人应针对招标文件“第六章 货物需求一览表及技术要求”中的要求进行响应。</w:t>
      </w:r>
    </w:p>
    <w:p w14:paraId="03DFFA9E">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2、表中“偏离情况”一栏应填以“正偏离”、“负偏离”或“符合”，并在投标文件中附参数说明文件，表中“参数说明文件页码”中填写对应该页码、“参数说明文件条款号”中填写对应条款号。</w:t>
      </w:r>
    </w:p>
    <w:p w14:paraId="2A5FF05C">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3、招标文件技术要求中标注“必需”号的条款，应在参数说明文件中体现，如未提供参数说明文件或文件不满足招标文件要求的评标委员会在对招标文件技术规格要求的响应程度评审时有权不予认可，并在评分中按评审办法扣除相应的分值（如有）。</w:t>
      </w:r>
    </w:p>
    <w:p w14:paraId="70CEFF45">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1"/>
        <w:rPr>
          <w:rFonts w:hint="eastAsia" w:hAnsi="宋体" w:cs="宋体"/>
          <w:szCs w:val="21"/>
          <w:highlight w:val="none"/>
        </w:rPr>
      </w:pPr>
      <w:r>
        <w:rPr>
          <w:rFonts w:hint="eastAsia" w:hAnsi="宋体"/>
          <w:color w:val="FF0000"/>
          <w:szCs w:val="21"/>
          <w:highlight w:val="none"/>
          <w:lang w:eastAsia="zh-CN"/>
        </w:rPr>
        <w:t>（</w:t>
      </w:r>
      <w:r>
        <w:rPr>
          <w:rFonts w:hint="eastAsia" w:hAnsi="宋体"/>
          <w:color w:val="FF0000"/>
          <w:szCs w:val="21"/>
          <w:highlight w:val="none"/>
          <w:lang w:val="en-US" w:eastAsia="zh-CN"/>
        </w:rPr>
        <w:t>对照第六章要求逐条填写，对符合的填写响应，不符合的说明“正偏离”或“负偏离”</w:t>
      </w:r>
      <w:r>
        <w:rPr>
          <w:rFonts w:hint="eastAsia" w:hAnsi="宋体"/>
          <w:color w:val="FF0000"/>
          <w:szCs w:val="21"/>
          <w:highlight w:val="none"/>
          <w:lang w:eastAsia="zh-CN"/>
        </w:rPr>
        <w:t>）</w:t>
      </w:r>
    </w:p>
    <w:p w14:paraId="082517C4">
      <w:pPr>
        <w:pStyle w:val="25"/>
        <w:tabs>
          <w:tab w:val="left" w:pos="5580"/>
        </w:tabs>
        <w:spacing w:line="360" w:lineRule="auto"/>
        <w:rPr>
          <w:rFonts w:hint="eastAsia" w:hAnsi="宋体" w:cs="宋体"/>
          <w:szCs w:val="21"/>
          <w:highlight w:val="none"/>
        </w:rPr>
      </w:pPr>
    </w:p>
    <w:p w14:paraId="52FCF536">
      <w:pPr>
        <w:pStyle w:val="25"/>
        <w:tabs>
          <w:tab w:val="left" w:pos="5580"/>
        </w:tabs>
        <w:spacing w:line="360" w:lineRule="auto"/>
        <w:rPr>
          <w:rFonts w:hint="eastAsia" w:hAnsi="宋体"/>
          <w:szCs w:val="21"/>
          <w:highlight w:val="none"/>
        </w:rPr>
      </w:pPr>
    </w:p>
    <w:p w14:paraId="520AC610">
      <w:pPr>
        <w:rPr>
          <w:rFonts w:hint="eastAsia" w:ascii="宋体" w:hAnsi="宋体" w:eastAsia="宋体"/>
          <w:sz w:val="21"/>
          <w:szCs w:val="21"/>
          <w:highlight w:val="none"/>
        </w:rPr>
      </w:pPr>
      <w:bookmarkStart w:id="360" w:name="_Ref467988543"/>
      <w:bookmarkStart w:id="361" w:name="_Toc480942355"/>
      <w:bookmarkStart w:id="362" w:name="_Toc520356224"/>
      <w:bookmarkStart w:id="363" w:name="_Toc109736074"/>
      <w:bookmarkStart w:id="364" w:name="_Toc415222530"/>
      <w:bookmarkStart w:id="365" w:name="_Toc13093"/>
      <w:bookmarkStart w:id="366" w:name="_Toc216582819"/>
      <w:r>
        <w:rPr>
          <w:rFonts w:hint="eastAsia" w:ascii="宋体" w:hAnsi="宋体" w:eastAsia="宋体"/>
          <w:sz w:val="21"/>
          <w:szCs w:val="21"/>
          <w:highlight w:val="none"/>
        </w:rPr>
        <w:br w:type="page"/>
      </w:r>
    </w:p>
    <w:p w14:paraId="641D05F4">
      <w:pPr>
        <w:pStyle w:val="4"/>
        <w:spacing w:before="0" w:line="360" w:lineRule="auto"/>
        <w:jc w:val="center"/>
        <w:rPr>
          <w:rFonts w:hint="eastAsia" w:ascii="宋体" w:hAnsi="宋体" w:eastAsia="宋体"/>
          <w:sz w:val="21"/>
          <w:szCs w:val="21"/>
          <w:highlight w:val="none"/>
        </w:rPr>
      </w:pPr>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　资格、资信证明文件（格式</w:t>
      </w:r>
      <w:bookmarkEnd w:id="360"/>
      <w:bookmarkEnd w:id="361"/>
      <w:bookmarkEnd w:id="362"/>
      <w:r>
        <w:rPr>
          <w:rFonts w:hint="eastAsia" w:ascii="宋体" w:hAnsi="宋体" w:eastAsia="宋体"/>
          <w:sz w:val="21"/>
          <w:szCs w:val="21"/>
          <w:highlight w:val="none"/>
        </w:rPr>
        <w:t>）</w:t>
      </w:r>
      <w:bookmarkEnd w:id="363"/>
      <w:bookmarkEnd w:id="364"/>
      <w:bookmarkEnd w:id="365"/>
      <w:bookmarkEnd w:id="366"/>
    </w:p>
    <w:p w14:paraId="36875BC3">
      <w:pPr>
        <w:pStyle w:val="25"/>
        <w:tabs>
          <w:tab w:val="left" w:pos="5580"/>
        </w:tabs>
        <w:spacing w:line="360" w:lineRule="auto"/>
        <w:ind w:left="1080" w:leftChars="257" w:hanging="540"/>
        <w:rPr>
          <w:rFonts w:hint="eastAsia" w:hAnsi="宋体"/>
          <w:szCs w:val="21"/>
          <w:highlight w:val="none"/>
        </w:rPr>
      </w:pPr>
    </w:p>
    <w:p w14:paraId="201D58D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default" w:ascii="宋体" w:hAnsi="宋体" w:eastAsia="宋体"/>
          <w:szCs w:val="21"/>
          <w:highlight w:val="none"/>
          <w:lang w:val="en-US" w:eastAsia="zh-CN"/>
        </w:rPr>
      </w:pPr>
      <w:r>
        <w:rPr>
          <w:rFonts w:hint="eastAsia" w:ascii="宋体" w:hAnsi="宋体"/>
          <w:szCs w:val="21"/>
          <w:highlight w:val="none"/>
          <w:lang w:val="en-US" w:eastAsia="zh-CN"/>
        </w:rPr>
        <w:t>5</w:t>
      </w:r>
      <w:r>
        <w:rPr>
          <w:rFonts w:hint="eastAsia" w:ascii="宋体" w:hAnsi="宋体"/>
          <w:szCs w:val="21"/>
          <w:highlight w:val="none"/>
        </w:rPr>
        <w:t>-1供应商资格证明材料</w:t>
      </w:r>
      <w:r>
        <w:rPr>
          <w:rFonts w:hint="eastAsia" w:ascii="宋体" w:hAnsi="宋体"/>
          <w:szCs w:val="21"/>
          <w:highlight w:val="none"/>
          <w:lang w:eastAsia="zh-CN"/>
        </w:rPr>
        <w:t>（</w:t>
      </w:r>
      <w:r>
        <w:rPr>
          <w:rFonts w:hint="eastAsia" w:ascii="宋体" w:hAnsi="宋体"/>
          <w:szCs w:val="21"/>
          <w:highlight w:val="none"/>
          <w:lang w:val="en-US" w:eastAsia="zh-CN"/>
        </w:rPr>
        <w:t>证书类复印件加盖公章）</w:t>
      </w:r>
    </w:p>
    <w:p w14:paraId="4E4F79F2">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52785D47">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51FE4541">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-4会计师事务所出具</w:t>
      </w:r>
      <w:r>
        <w:rPr>
          <w:rFonts w:hint="eastAsia" w:ascii="宋体" w:hAnsi="宋体"/>
          <w:szCs w:val="21"/>
          <w:highlight w:val="none"/>
          <w:lang w:val="en-US" w:eastAsia="zh-CN"/>
        </w:rPr>
        <w:t>投标人</w:t>
      </w:r>
      <w:r>
        <w:rPr>
          <w:rFonts w:hint="eastAsia" w:ascii="宋体" w:hAnsi="宋体"/>
          <w:szCs w:val="21"/>
          <w:highlight w:val="none"/>
        </w:rPr>
        <w:t>的上一年度财务审计报告复印件</w:t>
      </w:r>
    </w:p>
    <w:p w14:paraId="292A8016">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3A9EB1E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4F8BB71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36E6C628">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2DE8E6C3">
      <w:pPr>
        <w:tabs>
          <w:tab w:val="left" w:pos="5580"/>
        </w:tabs>
        <w:spacing w:line="360" w:lineRule="auto"/>
        <w:ind w:left="1080" w:leftChars="257" w:hanging="540"/>
        <w:rPr>
          <w:rFonts w:hint="eastAsia" w:ascii="宋体" w:hAnsi="宋体"/>
          <w:szCs w:val="21"/>
          <w:highlight w:val="none"/>
        </w:rPr>
      </w:pPr>
    </w:p>
    <w:p w14:paraId="61AD6F49">
      <w:pPr>
        <w:pStyle w:val="25"/>
        <w:tabs>
          <w:tab w:val="left" w:pos="5580"/>
        </w:tabs>
        <w:spacing w:line="360" w:lineRule="auto"/>
        <w:ind w:left="1080" w:leftChars="257" w:hanging="540"/>
        <w:rPr>
          <w:rFonts w:hint="eastAsia" w:hAnsi="宋体"/>
          <w:b/>
          <w:szCs w:val="21"/>
          <w:highlight w:val="none"/>
        </w:rPr>
      </w:pPr>
    </w:p>
    <w:p w14:paraId="36D933B9">
      <w:pPr>
        <w:pStyle w:val="25"/>
        <w:tabs>
          <w:tab w:val="left" w:pos="5580"/>
        </w:tabs>
        <w:spacing w:line="360" w:lineRule="auto"/>
        <w:ind w:left="1080" w:leftChars="257" w:hanging="540"/>
        <w:jc w:val="center"/>
        <w:rPr>
          <w:rFonts w:hint="eastAsia" w:hAnsi="宋体"/>
          <w:b/>
          <w:szCs w:val="21"/>
          <w:highlight w:val="none"/>
        </w:rPr>
      </w:pPr>
      <w:r>
        <w:rPr>
          <w:rFonts w:hAnsi="宋体"/>
          <w:b/>
          <w:szCs w:val="21"/>
          <w:highlight w:val="none"/>
        </w:rPr>
        <w:br w:type="page"/>
      </w:r>
    </w:p>
    <w:p w14:paraId="0B73159E">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hAnsi="宋体" w:eastAsia="宋体"/>
          <w:b/>
          <w:szCs w:val="21"/>
          <w:highlight w:val="none"/>
          <w:lang w:val="en-US" w:eastAsia="zh-CN"/>
        </w:rPr>
      </w:pPr>
      <w:bookmarkStart w:id="367" w:name="_Toc18175"/>
      <w:r>
        <w:rPr>
          <w:rFonts w:hint="eastAsia" w:hAnsi="宋体"/>
          <w:b/>
          <w:szCs w:val="21"/>
          <w:highlight w:val="none"/>
        </w:rPr>
        <w:t>附件</w:t>
      </w:r>
      <w:r>
        <w:rPr>
          <w:rFonts w:hint="eastAsia" w:hAnsi="宋体"/>
          <w:b/>
          <w:szCs w:val="21"/>
          <w:highlight w:val="none"/>
          <w:lang w:val="en-US" w:eastAsia="zh-CN"/>
        </w:rPr>
        <w:t>5</w:t>
      </w:r>
      <w:r>
        <w:rPr>
          <w:rFonts w:hint="eastAsia" w:hAnsi="宋体"/>
          <w:b/>
          <w:szCs w:val="21"/>
          <w:highlight w:val="none"/>
        </w:rPr>
        <w:t xml:space="preserve">-1    </w:t>
      </w:r>
      <w:bookmarkEnd w:id="367"/>
      <w:bookmarkStart w:id="368" w:name="_Hlt520274911"/>
      <w:bookmarkEnd w:id="368"/>
      <w:r>
        <w:rPr>
          <w:rFonts w:hint="eastAsia" w:hAnsi="宋体"/>
          <w:b/>
          <w:szCs w:val="21"/>
          <w:highlight w:val="none"/>
          <w:lang w:val="en-US" w:eastAsia="zh-CN"/>
        </w:rPr>
        <w:t>供应商资格证明材料</w:t>
      </w:r>
    </w:p>
    <w:p w14:paraId="250611C4">
      <w:pPr>
        <w:pStyle w:val="25"/>
        <w:tabs>
          <w:tab w:val="left" w:pos="5580"/>
        </w:tabs>
        <w:spacing w:line="360" w:lineRule="auto"/>
        <w:ind w:left="1080" w:leftChars="257" w:hanging="540"/>
        <w:jc w:val="center"/>
        <w:rPr>
          <w:rFonts w:hint="eastAsia" w:hAnsi="宋体"/>
          <w:b/>
          <w:szCs w:val="21"/>
          <w:highlight w:val="none"/>
        </w:rPr>
      </w:pPr>
    </w:p>
    <w:tbl>
      <w:tblPr>
        <w:tblStyle w:val="51"/>
        <w:tblW w:w="90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58"/>
        <w:gridCol w:w="362"/>
        <w:gridCol w:w="1143"/>
        <w:gridCol w:w="850"/>
        <w:gridCol w:w="884"/>
        <w:gridCol w:w="1083"/>
        <w:gridCol w:w="1329"/>
        <w:gridCol w:w="2182"/>
      </w:tblGrid>
      <w:tr w14:paraId="018EF9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2"/>
            <w:tcBorders>
              <w:top w:val="double" w:color="auto" w:sz="4" w:space="0"/>
              <w:left w:val="double" w:color="auto" w:sz="4" w:space="0"/>
              <w:bottom w:val="single" w:color="auto" w:sz="6" w:space="0"/>
              <w:right w:val="single" w:color="auto" w:sz="6" w:space="0"/>
            </w:tcBorders>
            <w:vAlign w:val="center"/>
          </w:tcPr>
          <w:p w14:paraId="340D0106">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供应商名称</w:t>
            </w:r>
          </w:p>
        </w:tc>
        <w:tc>
          <w:tcPr>
            <w:tcW w:w="3960" w:type="dxa"/>
            <w:gridSpan w:val="4"/>
            <w:tcBorders>
              <w:top w:val="double" w:color="auto" w:sz="4" w:space="0"/>
              <w:left w:val="single" w:color="auto" w:sz="6" w:space="0"/>
              <w:bottom w:val="single" w:color="auto" w:sz="6" w:space="0"/>
              <w:right w:val="single" w:color="auto" w:sz="6" w:space="0"/>
            </w:tcBorders>
            <w:vAlign w:val="center"/>
          </w:tcPr>
          <w:p w14:paraId="02D51F3C">
            <w:pPr>
              <w:topLinePunct/>
              <w:spacing w:line="440" w:lineRule="exact"/>
              <w:jc w:val="center"/>
              <w:rPr>
                <w:rFonts w:hint="eastAsia" w:asciiTheme="minorEastAsia" w:hAnsiTheme="minorEastAsia" w:eastAsiaTheme="minorEastAsia"/>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68A4E58A">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法定代表人</w:t>
            </w:r>
          </w:p>
        </w:tc>
        <w:tc>
          <w:tcPr>
            <w:tcW w:w="2182" w:type="dxa"/>
            <w:tcBorders>
              <w:top w:val="double" w:color="auto" w:sz="4" w:space="0"/>
              <w:left w:val="single" w:color="auto" w:sz="6" w:space="0"/>
              <w:bottom w:val="single" w:color="auto" w:sz="6" w:space="0"/>
              <w:right w:val="double" w:color="auto" w:sz="4" w:space="0"/>
            </w:tcBorders>
            <w:vAlign w:val="center"/>
          </w:tcPr>
          <w:p w14:paraId="43035003">
            <w:pPr>
              <w:topLinePunct/>
              <w:spacing w:line="440" w:lineRule="exact"/>
              <w:jc w:val="center"/>
              <w:rPr>
                <w:rFonts w:hint="eastAsia" w:asciiTheme="minorEastAsia" w:hAnsiTheme="minorEastAsia" w:eastAsiaTheme="minorEastAsia"/>
                <w:szCs w:val="21"/>
              </w:rPr>
            </w:pPr>
          </w:p>
        </w:tc>
      </w:tr>
      <w:tr w14:paraId="75E48F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0CC301D1">
            <w:pPr>
              <w:topLinePunct/>
              <w:spacing w:line="440" w:lineRule="exact"/>
              <w:jc w:val="center"/>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社会统一信用代码</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5B62ED25">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55C437B8">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邮政编码</w:t>
            </w:r>
          </w:p>
        </w:tc>
        <w:tc>
          <w:tcPr>
            <w:tcW w:w="2182" w:type="dxa"/>
            <w:tcBorders>
              <w:top w:val="single" w:color="auto" w:sz="6" w:space="0"/>
              <w:left w:val="single" w:color="auto" w:sz="6" w:space="0"/>
              <w:bottom w:val="single" w:color="auto" w:sz="6" w:space="0"/>
              <w:right w:val="double" w:color="auto" w:sz="4" w:space="0"/>
            </w:tcBorders>
            <w:vAlign w:val="center"/>
          </w:tcPr>
          <w:p w14:paraId="24F6DFE8">
            <w:pPr>
              <w:topLinePunct/>
              <w:spacing w:line="440" w:lineRule="exact"/>
              <w:jc w:val="center"/>
              <w:rPr>
                <w:rFonts w:hint="eastAsia" w:asciiTheme="minorEastAsia" w:hAnsiTheme="minorEastAsia" w:eastAsiaTheme="minorEastAsia"/>
                <w:szCs w:val="21"/>
              </w:rPr>
            </w:pPr>
          </w:p>
        </w:tc>
      </w:tr>
      <w:tr w14:paraId="4F505D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7059C78F">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委托代理人</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37146577">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3EBC49B8">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电子邮箱</w:t>
            </w:r>
          </w:p>
        </w:tc>
        <w:tc>
          <w:tcPr>
            <w:tcW w:w="2182" w:type="dxa"/>
            <w:tcBorders>
              <w:top w:val="single" w:color="auto" w:sz="6" w:space="0"/>
              <w:left w:val="single" w:color="auto" w:sz="6" w:space="0"/>
              <w:bottom w:val="single" w:color="auto" w:sz="6" w:space="0"/>
              <w:right w:val="double" w:color="auto" w:sz="4" w:space="0"/>
            </w:tcBorders>
            <w:vAlign w:val="center"/>
          </w:tcPr>
          <w:p w14:paraId="111752FC">
            <w:pPr>
              <w:topLinePunct/>
              <w:spacing w:line="440" w:lineRule="exact"/>
              <w:jc w:val="center"/>
              <w:rPr>
                <w:rFonts w:hint="eastAsia" w:asciiTheme="minorEastAsia" w:hAnsiTheme="minorEastAsia" w:eastAsiaTheme="minorEastAsia"/>
                <w:szCs w:val="21"/>
              </w:rPr>
            </w:pPr>
          </w:p>
        </w:tc>
      </w:tr>
      <w:tr w14:paraId="10FBF5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63F79EAA">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营业范围</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133E4E7D">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26B43940">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员工总人数</w:t>
            </w:r>
          </w:p>
        </w:tc>
        <w:tc>
          <w:tcPr>
            <w:tcW w:w="2182" w:type="dxa"/>
            <w:tcBorders>
              <w:top w:val="single" w:color="auto" w:sz="6" w:space="0"/>
              <w:left w:val="single" w:color="auto" w:sz="6" w:space="0"/>
              <w:bottom w:val="single" w:color="auto" w:sz="6" w:space="0"/>
              <w:right w:val="double" w:color="auto" w:sz="4" w:space="0"/>
            </w:tcBorders>
            <w:vAlign w:val="center"/>
          </w:tcPr>
          <w:p w14:paraId="572FA1DC">
            <w:pPr>
              <w:topLinePunct/>
              <w:spacing w:line="440" w:lineRule="exact"/>
              <w:jc w:val="center"/>
              <w:rPr>
                <w:rFonts w:hint="eastAsia" w:asciiTheme="minorEastAsia" w:hAnsiTheme="minorEastAsia" w:eastAsiaTheme="minorEastAsia"/>
                <w:szCs w:val="21"/>
              </w:rPr>
            </w:pPr>
          </w:p>
        </w:tc>
      </w:tr>
      <w:tr w14:paraId="53FF3A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3"/>
            <w:tcBorders>
              <w:top w:val="single" w:color="auto" w:sz="6" w:space="0"/>
              <w:left w:val="double" w:color="auto" w:sz="4" w:space="0"/>
              <w:bottom w:val="single" w:color="auto" w:sz="6" w:space="0"/>
              <w:right w:val="single" w:color="auto" w:sz="6" w:space="0"/>
            </w:tcBorders>
            <w:vAlign w:val="center"/>
          </w:tcPr>
          <w:p w14:paraId="3FAC3111">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基本账户开户行及帐号</w:t>
            </w:r>
          </w:p>
        </w:tc>
        <w:tc>
          <w:tcPr>
            <w:tcW w:w="6328" w:type="dxa"/>
            <w:gridSpan w:val="5"/>
            <w:tcBorders>
              <w:top w:val="single" w:color="auto" w:sz="6" w:space="0"/>
              <w:left w:val="single" w:color="auto" w:sz="6" w:space="0"/>
              <w:bottom w:val="single" w:color="auto" w:sz="6" w:space="0"/>
              <w:right w:val="double" w:color="auto" w:sz="4" w:space="0"/>
            </w:tcBorders>
            <w:vAlign w:val="center"/>
          </w:tcPr>
          <w:p w14:paraId="51938D1C">
            <w:pPr>
              <w:topLinePunct/>
              <w:spacing w:line="440" w:lineRule="exact"/>
              <w:jc w:val="center"/>
              <w:rPr>
                <w:rFonts w:hint="eastAsia" w:asciiTheme="minorEastAsia" w:hAnsiTheme="minorEastAsia" w:eastAsiaTheme="minorEastAsia"/>
                <w:szCs w:val="21"/>
              </w:rPr>
            </w:pPr>
          </w:p>
        </w:tc>
      </w:tr>
      <w:tr w14:paraId="4BC86E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0765DBE5">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资质名称</w:t>
            </w:r>
          </w:p>
        </w:tc>
        <w:tc>
          <w:tcPr>
            <w:tcW w:w="884" w:type="dxa"/>
            <w:tcBorders>
              <w:top w:val="single" w:color="auto" w:sz="6" w:space="0"/>
              <w:left w:val="single" w:color="auto" w:sz="6" w:space="0"/>
              <w:bottom w:val="single" w:color="auto" w:sz="6" w:space="0"/>
              <w:right w:val="single" w:color="auto" w:sz="6" w:space="0"/>
            </w:tcBorders>
            <w:vAlign w:val="center"/>
          </w:tcPr>
          <w:p w14:paraId="5D24F7D6">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40631010">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发证机关</w:t>
            </w: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05892A76">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有效期</w:t>
            </w:r>
          </w:p>
        </w:tc>
      </w:tr>
      <w:tr w14:paraId="18D5E8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6CD6F4C1">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177B3A6D">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0D095A8F">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0F26DA25">
            <w:pPr>
              <w:topLinePunct/>
              <w:spacing w:line="440" w:lineRule="exact"/>
              <w:jc w:val="center"/>
              <w:rPr>
                <w:rFonts w:hint="eastAsia" w:asciiTheme="minorEastAsia" w:hAnsiTheme="minorEastAsia" w:eastAsiaTheme="minorEastAsia"/>
                <w:szCs w:val="21"/>
              </w:rPr>
            </w:pPr>
          </w:p>
        </w:tc>
      </w:tr>
      <w:tr w14:paraId="7CAE8D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24A0D0D2">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4380E20B">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678A98F7">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291ABE77">
            <w:pPr>
              <w:topLinePunct/>
              <w:spacing w:line="440" w:lineRule="exact"/>
              <w:jc w:val="center"/>
              <w:rPr>
                <w:rFonts w:hint="eastAsia" w:asciiTheme="minorEastAsia" w:hAnsiTheme="minorEastAsia" w:eastAsiaTheme="minorEastAsia"/>
                <w:szCs w:val="21"/>
              </w:rPr>
            </w:pPr>
          </w:p>
        </w:tc>
      </w:tr>
      <w:tr w14:paraId="66701F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2CA1BDA2">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45E4DA5B">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151C925C">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1F586065">
            <w:pPr>
              <w:topLinePunct/>
              <w:spacing w:line="440" w:lineRule="exact"/>
              <w:jc w:val="center"/>
              <w:rPr>
                <w:rFonts w:hint="eastAsia" w:asciiTheme="minorEastAsia" w:hAnsiTheme="minorEastAsia" w:eastAsiaTheme="minorEastAsia"/>
                <w:szCs w:val="21"/>
              </w:rPr>
            </w:pPr>
          </w:p>
        </w:tc>
      </w:tr>
      <w:tr w14:paraId="47EE47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3EF5090C">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6393BCAC">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52961E18">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0B72CB4B">
            <w:pPr>
              <w:topLinePunct/>
              <w:spacing w:line="440" w:lineRule="exact"/>
              <w:jc w:val="center"/>
              <w:rPr>
                <w:rFonts w:hint="eastAsia" w:asciiTheme="minorEastAsia" w:hAnsiTheme="minorEastAsia" w:eastAsiaTheme="minorEastAsia"/>
                <w:szCs w:val="21"/>
              </w:rPr>
            </w:pPr>
          </w:p>
        </w:tc>
      </w:tr>
      <w:tr w14:paraId="6E07A1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3297B1B9">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5FB42B01">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64C1CDD1">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35D3CB73">
            <w:pPr>
              <w:topLinePunct/>
              <w:spacing w:line="440" w:lineRule="exact"/>
              <w:jc w:val="center"/>
              <w:rPr>
                <w:rFonts w:hint="eastAsia" w:asciiTheme="minorEastAsia" w:hAnsiTheme="minorEastAsia" w:eastAsiaTheme="minorEastAsia"/>
                <w:szCs w:val="21"/>
              </w:rPr>
            </w:pPr>
          </w:p>
        </w:tc>
      </w:tr>
      <w:tr w14:paraId="12F811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087A947D">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49F6F585">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1D3458D5">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1CD700B6">
            <w:pPr>
              <w:topLinePunct/>
              <w:spacing w:line="440" w:lineRule="exact"/>
              <w:jc w:val="center"/>
              <w:rPr>
                <w:rFonts w:hint="eastAsia" w:asciiTheme="minorEastAsia" w:hAnsiTheme="minorEastAsia" w:eastAsiaTheme="minorEastAsia"/>
                <w:szCs w:val="21"/>
              </w:rPr>
            </w:pPr>
          </w:p>
        </w:tc>
      </w:tr>
      <w:tr w14:paraId="308147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258" w:type="dxa"/>
            <w:tcBorders>
              <w:top w:val="single" w:color="auto" w:sz="6" w:space="0"/>
              <w:left w:val="double" w:color="auto" w:sz="4" w:space="0"/>
              <w:bottom w:val="double" w:color="auto" w:sz="4" w:space="0"/>
              <w:right w:val="single" w:color="auto" w:sz="6" w:space="0"/>
            </w:tcBorders>
            <w:vAlign w:val="center"/>
          </w:tcPr>
          <w:p w14:paraId="0E7FBA4C">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备注</w:t>
            </w:r>
          </w:p>
        </w:tc>
        <w:tc>
          <w:tcPr>
            <w:tcW w:w="7833" w:type="dxa"/>
            <w:gridSpan w:val="7"/>
            <w:tcBorders>
              <w:top w:val="single" w:color="auto" w:sz="6" w:space="0"/>
              <w:left w:val="single" w:color="auto" w:sz="6" w:space="0"/>
              <w:bottom w:val="double" w:color="auto" w:sz="4" w:space="0"/>
              <w:right w:val="double" w:color="auto" w:sz="4" w:space="0"/>
            </w:tcBorders>
            <w:vAlign w:val="center"/>
          </w:tcPr>
          <w:p w14:paraId="3EC9E2F0">
            <w:pPr>
              <w:topLinePunct/>
              <w:spacing w:line="440" w:lineRule="exact"/>
              <w:rPr>
                <w:rFonts w:asciiTheme="minorEastAsia" w:hAnsiTheme="minorEastAsia" w:eastAsiaTheme="minorEastAsia"/>
                <w:b/>
                <w:bCs/>
              </w:rPr>
            </w:pPr>
            <w:r>
              <w:rPr>
                <w:rFonts w:hint="eastAsia" w:asciiTheme="minorEastAsia" w:hAnsiTheme="minorEastAsia" w:eastAsiaTheme="minorEastAsia"/>
                <w:b/>
                <w:bCs/>
                <w:szCs w:val="21"/>
              </w:rPr>
              <w:t>后</w:t>
            </w:r>
            <w:r>
              <w:rPr>
                <w:rFonts w:asciiTheme="minorEastAsia" w:hAnsiTheme="minorEastAsia" w:eastAsiaTheme="minorEastAsia"/>
                <w:b/>
                <w:bCs/>
                <w:szCs w:val="21"/>
              </w:rPr>
              <w:t>附</w:t>
            </w:r>
            <w:r>
              <w:rPr>
                <w:rFonts w:hint="eastAsia" w:asciiTheme="minorEastAsia" w:hAnsiTheme="minorEastAsia" w:eastAsiaTheme="minorEastAsia"/>
                <w:b/>
                <w:bCs/>
                <w:szCs w:val="21"/>
              </w:rPr>
              <w:t>营业执照</w:t>
            </w:r>
            <w:r>
              <w:rPr>
                <w:rFonts w:hint="eastAsia" w:asciiTheme="minorEastAsia" w:hAnsiTheme="minorEastAsia" w:eastAsiaTheme="minorEastAsia"/>
                <w:b/>
                <w:bCs/>
              </w:rPr>
              <w:t>、资质证书、信誉、获奖情况等相关证明材料</w:t>
            </w:r>
            <w:r>
              <w:rPr>
                <w:rFonts w:asciiTheme="minorEastAsia" w:hAnsiTheme="minorEastAsia" w:eastAsiaTheme="minorEastAsia"/>
                <w:b/>
                <w:bCs/>
              </w:rPr>
              <w:t>。</w:t>
            </w:r>
          </w:p>
          <w:p w14:paraId="75DE7019">
            <w:pPr>
              <w:topLinePunct/>
              <w:spacing w:line="440" w:lineRule="exact"/>
              <w:rPr>
                <w:rFonts w:hint="eastAsia" w:asciiTheme="minorEastAsia" w:hAnsiTheme="minorEastAsia" w:eastAsiaTheme="minorEastAsia"/>
                <w:b/>
                <w:bCs/>
                <w:lang w:eastAsia="zh-CN"/>
              </w:rPr>
            </w:pPr>
            <w:r>
              <w:rPr>
                <w:rFonts w:hint="eastAsia" w:asciiTheme="minorEastAsia" w:hAnsiTheme="minorEastAsia" w:eastAsiaTheme="minorEastAsia"/>
                <w:b/>
                <w:bCs/>
                <w:color w:val="FF0000"/>
                <w:lang w:eastAsia="zh-CN"/>
              </w:rPr>
              <w:t>（</w:t>
            </w:r>
            <w:r>
              <w:rPr>
                <w:rFonts w:hint="eastAsia" w:asciiTheme="minorEastAsia" w:hAnsiTheme="minorEastAsia" w:eastAsiaTheme="minorEastAsia"/>
                <w:b/>
                <w:bCs/>
                <w:color w:val="FF0000"/>
                <w:lang w:val="en-US" w:eastAsia="zh-CN"/>
              </w:rPr>
              <w:t>本项目营业执照为必须，其余供应商酌情提供。证书复印件加盖公章</w:t>
            </w:r>
            <w:r>
              <w:rPr>
                <w:rFonts w:hint="eastAsia" w:asciiTheme="minorEastAsia" w:hAnsiTheme="minorEastAsia" w:eastAsiaTheme="minorEastAsia"/>
                <w:b/>
                <w:bCs/>
                <w:color w:val="FF0000"/>
                <w:lang w:eastAsia="zh-CN"/>
              </w:rPr>
              <w:t>）</w:t>
            </w:r>
          </w:p>
        </w:tc>
      </w:tr>
    </w:tbl>
    <w:p w14:paraId="57045326">
      <w:pPr>
        <w:pStyle w:val="25"/>
        <w:tabs>
          <w:tab w:val="left" w:pos="5580"/>
        </w:tabs>
        <w:spacing w:line="360" w:lineRule="auto"/>
        <w:ind w:left="1080" w:leftChars="257" w:hanging="540"/>
        <w:rPr>
          <w:rFonts w:hint="eastAsia" w:hAnsi="宋体"/>
          <w:b/>
          <w:szCs w:val="21"/>
          <w:highlight w:val="none"/>
        </w:rPr>
      </w:pPr>
    </w:p>
    <w:p w14:paraId="0E90F7DA">
      <w:pPr>
        <w:pStyle w:val="25"/>
        <w:tabs>
          <w:tab w:val="left" w:pos="5580"/>
        </w:tabs>
        <w:spacing w:line="360" w:lineRule="auto"/>
        <w:ind w:left="1080" w:leftChars="257" w:hanging="540"/>
        <w:rPr>
          <w:rFonts w:hint="eastAsia" w:hAnsi="宋体"/>
          <w:b/>
          <w:szCs w:val="21"/>
          <w:highlight w:val="none"/>
        </w:rPr>
      </w:pPr>
    </w:p>
    <w:p w14:paraId="36286086">
      <w:pPr>
        <w:pStyle w:val="25"/>
        <w:tabs>
          <w:tab w:val="left" w:pos="5580"/>
        </w:tabs>
        <w:spacing w:line="360" w:lineRule="auto"/>
        <w:ind w:left="1080" w:leftChars="257" w:hanging="540"/>
        <w:jc w:val="center"/>
        <w:rPr>
          <w:rFonts w:hint="eastAsia" w:hAnsi="宋体"/>
          <w:szCs w:val="21"/>
          <w:highlight w:val="none"/>
        </w:rPr>
      </w:pPr>
    </w:p>
    <w:p w14:paraId="6EC5B4BE">
      <w:pPr>
        <w:rPr>
          <w:rFonts w:hint="eastAsia" w:ascii="宋体" w:hAnsi="宋体" w:eastAsia="宋体" w:cs="Times New Roman"/>
          <w:b/>
          <w:szCs w:val="21"/>
          <w:highlight w:val="none"/>
        </w:rPr>
      </w:pPr>
      <w:bookmarkStart w:id="369" w:name="_Hlt520273711"/>
      <w:bookmarkEnd w:id="369"/>
      <w:bookmarkStart w:id="370" w:name="_Hlt520350957"/>
      <w:bookmarkEnd w:id="370"/>
      <w:bookmarkStart w:id="371" w:name="_Hlt520273973"/>
      <w:bookmarkEnd w:id="371"/>
      <w:bookmarkStart w:id="372" w:name="_Hlt520343392"/>
      <w:bookmarkEnd w:id="372"/>
      <w:bookmarkStart w:id="373" w:name="_Hlt520274407"/>
      <w:bookmarkEnd w:id="373"/>
      <w:bookmarkStart w:id="374" w:name="_Hlt520274121"/>
      <w:bookmarkEnd w:id="374"/>
      <w:bookmarkStart w:id="375" w:name="_Hlt520274065"/>
      <w:bookmarkEnd w:id="375"/>
      <w:bookmarkStart w:id="376" w:name="_Hlt520271212"/>
      <w:bookmarkEnd w:id="376"/>
      <w:bookmarkStart w:id="377" w:name="_Hlt520350918"/>
      <w:bookmarkEnd w:id="377"/>
      <w:bookmarkStart w:id="378" w:name="_Hlt520274393"/>
      <w:bookmarkEnd w:id="378"/>
      <w:bookmarkStart w:id="379" w:name="_Hlt520343000"/>
      <w:bookmarkEnd w:id="379"/>
      <w:bookmarkStart w:id="380" w:name="_Toc2581"/>
      <w:bookmarkStart w:id="381" w:name="_Ref467990064"/>
      <w:bookmarkStart w:id="382" w:name="_Ref467988471"/>
      <w:bookmarkStart w:id="383" w:name="_Ref467988479"/>
      <w:bookmarkStart w:id="384" w:name="_Ref467988485"/>
      <w:bookmarkStart w:id="385" w:name="_Toc520125062"/>
      <w:bookmarkStart w:id="386" w:name="_Ref467990100"/>
      <w:bookmarkStart w:id="387" w:name="_Toc520125061"/>
      <w:bookmarkStart w:id="388" w:name="_Ref467990101"/>
      <w:bookmarkStart w:id="389" w:name="_Toc520356229"/>
      <w:bookmarkStart w:id="390" w:name="_Toc480942358"/>
      <w:bookmarkStart w:id="391" w:name="_Toc480942357"/>
      <w:bookmarkStart w:id="392" w:name="_Toc520356228"/>
      <w:bookmarkStart w:id="393" w:name="_Ref467990058"/>
    </w:p>
    <w:p w14:paraId="7EB7A861">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3F95DC79">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268D0C9A">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3D7B3C39">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73BDCAA0">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40E08A43">
      <w:pPr>
        <w:pStyle w:val="4"/>
        <w:keepNext w:val="0"/>
        <w:keepLines w:val="0"/>
        <w:pageBreakBefore/>
        <w:tabs>
          <w:tab w:val="left" w:pos="5580"/>
        </w:tabs>
        <w:spacing w:before="120" w:beforeLines="50" w:after="120" w:afterLines="50" w:line="360" w:lineRule="auto"/>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投标人控股及管理关系情况表</w:t>
      </w:r>
    </w:p>
    <w:p w14:paraId="0F1B3FB7">
      <w:pPr>
        <w:spacing w:line="360" w:lineRule="auto"/>
        <w:ind w:firstLine="420" w:firstLineChars="200"/>
        <w:jc w:val="left"/>
        <w:rPr>
          <w:rFonts w:ascii="宋体" w:hAnsi="宋体"/>
          <w:bCs/>
          <w:color w:val="auto"/>
          <w:szCs w:val="21"/>
          <w:highlight w:val="none"/>
        </w:rPr>
      </w:pPr>
    </w:p>
    <w:p w14:paraId="5F2219A1">
      <w:pPr>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我公司参加本项目活动，根据法律法规维护投标公正性的相关规定，特就本公司控股及管理关系情况申报如下，并承担申报不实的责任。</w:t>
      </w:r>
    </w:p>
    <w:tbl>
      <w:tblPr>
        <w:tblStyle w:val="51"/>
        <w:tblW w:w="0" w:type="auto"/>
        <w:jc w:val="center"/>
        <w:tblLayout w:type="fixed"/>
        <w:tblCellMar>
          <w:top w:w="0" w:type="dxa"/>
          <w:left w:w="108" w:type="dxa"/>
          <w:bottom w:w="0" w:type="dxa"/>
          <w:right w:w="108" w:type="dxa"/>
        </w:tblCellMar>
      </w:tblPr>
      <w:tblGrid>
        <w:gridCol w:w="2956"/>
        <w:gridCol w:w="2330"/>
        <w:gridCol w:w="4392"/>
      </w:tblGrid>
      <w:tr w14:paraId="10E42A33">
        <w:trPr>
          <w:jc w:val="center"/>
        </w:trPr>
        <w:tc>
          <w:tcPr>
            <w:tcW w:w="2956" w:type="dxa"/>
            <w:tcBorders>
              <w:top w:val="single" w:color="auto" w:sz="4" w:space="0"/>
              <w:left w:val="single" w:color="auto" w:sz="4" w:space="0"/>
              <w:bottom w:val="single" w:color="auto" w:sz="4" w:space="0"/>
              <w:right w:val="single" w:color="auto" w:sz="4" w:space="0"/>
            </w:tcBorders>
            <w:noWrap w:val="0"/>
            <w:vAlign w:val="center"/>
          </w:tcPr>
          <w:p w14:paraId="34B83F40">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投标人名称</w:t>
            </w:r>
          </w:p>
        </w:tc>
        <w:tc>
          <w:tcPr>
            <w:tcW w:w="6722" w:type="dxa"/>
            <w:gridSpan w:val="2"/>
            <w:tcBorders>
              <w:top w:val="single" w:color="auto" w:sz="4" w:space="0"/>
              <w:left w:val="nil"/>
              <w:bottom w:val="single" w:color="auto" w:sz="4" w:space="0"/>
              <w:right w:val="single" w:color="auto" w:sz="4" w:space="0"/>
            </w:tcBorders>
            <w:noWrap w:val="0"/>
            <w:vAlign w:val="center"/>
          </w:tcPr>
          <w:p w14:paraId="319FFF5B">
            <w:pPr>
              <w:widowControl/>
              <w:spacing w:line="360" w:lineRule="auto"/>
              <w:jc w:val="center"/>
              <w:rPr>
                <w:rFonts w:ascii="宋体" w:hAnsi="宋体" w:cs="宋体"/>
                <w:color w:val="auto"/>
                <w:kern w:val="0"/>
                <w:szCs w:val="21"/>
                <w:highlight w:val="none"/>
              </w:rPr>
            </w:pPr>
          </w:p>
        </w:tc>
      </w:tr>
      <w:tr w14:paraId="7B51E754">
        <w:tblPrEx>
          <w:tblCellMar>
            <w:top w:w="0" w:type="dxa"/>
            <w:left w:w="108" w:type="dxa"/>
            <w:bottom w:w="0" w:type="dxa"/>
            <w:right w:w="108" w:type="dxa"/>
          </w:tblCellMar>
        </w:tblPrEx>
        <w:trPr>
          <w:jc w:val="center"/>
        </w:trPr>
        <w:tc>
          <w:tcPr>
            <w:tcW w:w="2956" w:type="dxa"/>
            <w:tcBorders>
              <w:top w:val="nil"/>
              <w:left w:val="single" w:color="auto" w:sz="4" w:space="0"/>
              <w:bottom w:val="single" w:color="auto" w:sz="4" w:space="0"/>
              <w:right w:val="single" w:color="auto" w:sz="4" w:space="0"/>
            </w:tcBorders>
            <w:noWrap w:val="0"/>
            <w:vAlign w:val="center"/>
          </w:tcPr>
          <w:p w14:paraId="7A13B6CB">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法定代表人/单位负责人</w:t>
            </w:r>
          </w:p>
        </w:tc>
        <w:tc>
          <w:tcPr>
            <w:tcW w:w="6722" w:type="dxa"/>
            <w:gridSpan w:val="2"/>
            <w:tcBorders>
              <w:top w:val="single" w:color="auto" w:sz="4" w:space="0"/>
              <w:left w:val="nil"/>
              <w:bottom w:val="single" w:color="auto" w:sz="4" w:space="0"/>
              <w:right w:val="single" w:color="auto" w:sz="4" w:space="0"/>
            </w:tcBorders>
            <w:noWrap w:val="0"/>
            <w:vAlign w:val="center"/>
          </w:tcPr>
          <w:p w14:paraId="6DBF1152">
            <w:pPr>
              <w:widowControl/>
              <w:spacing w:line="360" w:lineRule="auto"/>
              <w:jc w:val="center"/>
              <w:rPr>
                <w:rFonts w:ascii="宋体" w:hAnsi="宋体" w:cs="宋体"/>
                <w:color w:val="auto"/>
                <w:kern w:val="0"/>
                <w:szCs w:val="21"/>
                <w:highlight w:val="none"/>
              </w:rPr>
            </w:pPr>
          </w:p>
        </w:tc>
      </w:tr>
      <w:tr w14:paraId="6AE13337">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2C519920">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控股股东/投资人名称</w:t>
            </w:r>
          </w:p>
        </w:tc>
        <w:tc>
          <w:tcPr>
            <w:tcW w:w="4392" w:type="dxa"/>
            <w:tcBorders>
              <w:top w:val="nil"/>
              <w:left w:val="nil"/>
              <w:bottom w:val="single" w:color="auto" w:sz="4" w:space="0"/>
              <w:right w:val="single" w:color="auto" w:sz="4" w:space="0"/>
            </w:tcBorders>
            <w:noWrap w:val="0"/>
            <w:vAlign w:val="center"/>
          </w:tcPr>
          <w:p w14:paraId="53E13438">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出资比例</w:t>
            </w:r>
          </w:p>
        </w:tc>
      </w:tr>
      <w:tr w14:paraId="7F849076">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2CFDFF0C">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392" w:type="dxa"/>
            <w:tcBorders>
              <w:top w:val="nil"/>
              <w:left w:val="nil"/>
              <w:bottom w:val="single" w:color="auto" w:sz="4" w:space="0"/>
              <w:right w:val="single" w:color="auto" w:sz="4" w:space="0"/>
            </w:tcBorders>
            <w:noWrap w:val="0"/>
            <w:vAlign w:val="center"/>
          </w:tcPr>
          <w:p w14:paraId="0393AA5B">
            <w:pPr>
              <w:widowControl/>
              <w:spacing w:line="360" w:lineRule="auto"/>
              <w:jc w:val="left"/>
              <w:rPr>
                <w:rFonts w:ascii="宋体" w:hAnsi="宋体" w:cs="宋体"/>
                <w:color w:val="auto"/>
                <w:kern w:val="0"/>
                <w:szCs w:val="21"/>
                <w:highlight w:val="none"/>
              </w:rPr>
            </w:pPr>
          </w:p>
        </w:tc>
      </w:tr>
      <w:tr w14:paraId="2CCF71DA">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CED4AE8">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392" w:type="dxa"/>
            <w:tcBorders>
              <w:top w:val="nil"/>
              <w:left w:val="nil"/>
              <w:bottom w:val="single" w:color="auto" w:sz="4" w:space="0"/>
              <w:right w:val="single" w:color="auto" w:sz="4" w:space="0"/>
            </w:tcBorders>
            <w:noWrap w:val="0"/>
            <w:vAlign w:val="center"/>
          </w:tcPr>
          <w:p w14:paraId="60CFF81A">
            <w:pPr>
              <w:widowControl/>
              <w:spacing w:line="360" w:lineRule="auto"/>
              <w:jc w:val="left"/>
              <w:rPr>
                <w:rFonts w:ascii="宋体" w:hAnsi="宋体" w:cs="宋体"/>
                <w:color w:val="auto"/>
                <w:kern w:val="0"/>
                <w:szCs w:val="21"/>
                <w:highlight w:val="none"/>
              </w:rPr>
            </w:pPr>
          </w:p>
        </w:tc>
      </w:tr>
      <w:tr w14:paraId="504FE77F">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6BD856F1">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4392" w:type="dxa"/>
            <w:tcBorders>
              <w:top w:val="nil"/>
              <w:left w:val="nil"/>
              <w:bottom w:val="single" w:color="auto" w:sz="4" w:space="0"/>
              <w:right w:val="single" w:color="auto" w:sz="4" w:space="0"/>
            </w:tcBorders>
            <w:noWrap w:val="0"/>
            <w:vAlign w:val="center"/>
          </w:tcPr>
          <w:p w14:paraId="0C922567">
            <w:pPr>
              <w:widowControl/>
              <w:spacing w:line="360" w:lineRule="auto"/>
              <w:jc w:val="left"/>
              <w:rPr>
                <w:rFonts w:ascii="宋体" w:hAnsi="宋体" w:cs="宋体"/>
                <w:color w:val="auto"/>
                <w:kern w:val="0"/>
                <w:szCs w:val="21"/>
                <w:highlight w:val="none"/>
              </w:rPr>
            </w:pPr>
          </w:p>
        </w:tc>
      </w:tr>
      <w:tr w14:paraId="0077A5DC">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5A5E4C1D">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非控股股东/投资人名称</w:t>
            </w:r>
          </w:p>
        </w:tc>
        <w:tc>
          <w:tcPr>
            <w:tcW w:w="4392" w:type="dxa"/>
            <w:tcBorders>
              <w:top w:val="nil"/>
              <w:left w:val="nil"/>
              <w:bottom w:val="single" w:color="auto" w:sz="4" w:space="0"/>
              <w:right w:val="single" w:color="auto" w:sz="4" w:space="0"/>
            </w:tcBorders>
            <w:noWrap w:val="0"/>
            <w:vAlign w:val="center"/>
          </w:tcPr>
          <w:p w14:paraId="698AF3F5">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出资比例</w:t>
            </w:r>
          </w:p>
        </w:tc>
      </w:tr>
      <w:tr w14:paraId="661008FA">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323A2B5C">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392" w:type="dxa"/>
            <w:tcBorders>
              <w:top w:val="nil"/>
              <w:left w:val="nil"/>
              <w:bottom w:val="single" w:color="auto" w:sz="4" w:space="0"/>
              <w:right w:val="single" w:color="auto" w:sz="4" w:space="0"/>
            </w:tcBorders>
            <w:noWrap w:val="0"/>
            <w:vAlign w:val="center"/>
          </w:tcPr>
          <w:p w14:paraId="737065A8">
            <w:pPr>
              <w:widowControl/>
              <w:spacing w:line="360" w:lineRule="auto"/>
              <w:jc w:val="left"/>
              <w:rPr>
                <w:rFonts w:ascii="宋体" w:hAnsi="宋体" w:cs="宋体"/>
                <w:color w:val="auto"/>
                <w:kern w:val="0"/>
                <w:szCs w:val="21"/>
                <w:highlight w:val="none"/>
              </w:rPr>
            </w:pPr>
          </w:p>
        </w:tc>
      </w:tr>
      <w:tr w14:paraId="5855EF96">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3F840C30">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392" w:type="dxa"/>
            <w:tcBorders>
              <w:top w:val="nil"/>
              <w:left w:val="nil"/>
              <w:bottom w:val="single" w:color="auto" w:sz="4" w:space="0"/>
              <w:right w:val="single" w:color="auto" w:sz="4" w:space="0"/>
            </w:tcBorders>
            <w:noWrap w:val="0"/>
            <w:vAlign w:val="center"/>
          </w:tcPr>
          <w:p w14:paraId="7473A674">
            <w:pPr>
              <w:widowControl/>
              <w:spacing w:line="360" w:lineRule="auto"/>
              <w:jc w:val="left"/>
              <w:rPr>
                <w:rFonts w:ascii="宋体" w:hAnsi="宋体" w:cs="宋体"/>
                <w:color w:val="auto"/>
                <w:kern w:val="0"/>
                <w:szCs w:val="21"/>
                <w:highlight w:val="none"/>
              </w:rPr>
            </w:pPr>
          </w:p>
        </w:tc>
      </w:tr>
      <w:tr w14:paraId="20D18F69">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23BC2984">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4392" w:type="dxa"/>
            <w:tcBorders>
              <w:top w:val="nil"/>
              <w:left w:val="nil"/>
              <w:bottom w:val="single" w:color="auto" w:sz="4" w:space="0"/>
              <w:right w:val="single" w:color="auto" w:sz="4" w:space="0"/>
            </w:tcBorders>
            <w:noWrap w:val="0"/>
            <w:vAlign w:val="center"/>
          </w:tcPr>
          <w:p w14:paraId="1021BFFC">
            <w:pPr>
              <w:widowControl/>
              <w:spacing w:line="360" w:lineRule="auto"/>
              <w:jc w:val="left"/>
              <w:rPr>
                <w:rFonts w:ascii="宋体" w:hAnsi="宋体" w:cs="宋体"/>
                <w:color w:val="auto"/>
                <w:kern w:val="0"/>
                <w:szCs w:val="21"/>
                <w:highlight w:val="none"/>
              </w:rPr>
            </w:pPr>
          </w:p>
        </w:tc>
      </w:tr>
      <w:tr w14:paraId="4EFB0EF8">
        <w:tblPrEx>
          <w:tblCellMar>
            <w:top w:w="0" w:type="dxa"/>
            <w:left w:w="108" w:type="dxa"/>
            <w:bottom w:w="0" w:type="dxa"/>
            <w:right w:w="108" w:type="dxa"/>
          </w:tblCellMar>
        </w:tblPrEx>
        <w:trPr>
          <w:jc w:val="center"/>
        </w:trPr>
        <w:tc>
          <w:tcPr>
            <w:tcW w:w="2956" w:type="dxa"/>
            <w:vMerge w:val="restart"/>
            <w:tcBorders>
              <w:top w:val="nil"/>
              <w:left w:val="single" w:color="auto" w:sz="4" w:space="0"/>
              <w:bottom w:val="single" w:color="auto" w:sz="4" w:space="0"/>
              <w:right w:val="single" w:color="auto" w:sz="4" w:space="0"/>
            </w:tcBorders>
            <w:noWrap w:val="0"/>
            <w:vAlign w:val="center"/>
          </w:tcPr>
          <w:p w14:paraId="7276899A">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管理关系单位</w:t>
            </w:r>
          </w:p>
        </w:tc>
        <w:tc>
          <w:tcPr>
            <w:tcW w:w="2330" w:type="dxa"/>
            <w:tcBorders>
              <w:top w:val="nil"/>
              <w:left w:val="nil"/>
              <w:bottom w:val="single" w:color="auto" w:sz="4" w:space="0"/>
              <w:right w:val="single" w:color="auto" w:sz="4" w:space="0"/>
            </w:tcBorders>
            <w:noWrap w:val="0"/>
            <w:vAlign w:val="center"/>
          </w:tcPr>
          <w:p w14:paraId="123C29C3">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上级管理单位名称</w:t>
            </w:r>
          </w:p>
        </w:tc>
        <w:tc>
          <w:tcPr>
            <w:tcW w:w="4392" w:type="dxa"/>
            <w:tcBorders>
              <w:top w:val="nil"/>
              <w:left w:val="nil"/>
              <w:bottom w:val="single" w:color="auto" w:sz="4" w:space="0"/>
              <w:right w:val="single" w:color="auto" w:sz="4" w:space="0"/>
            </w:tcBorders>
            <w:noWrap w:val="0"/>
            <w:vAlign w:val="center"/>
          </w:tcPr>
          <w:p w14:paraId="61F8783E">
            <w:pPr>
              <w:widowControl/>
              <w:spacing w:line="360" w:lineRule="auto"/>
              <w:jc w:val="left"/>
              <w:rPr>
                <w:rFonts w:ascii="宋体" w:hAnsi="宋体" w:cs="宋体"/>
                <w:color w:val="auto"/>
                <w:kern w:val="0"/>
                <w:szCs w:val="21"/>
                <w:highlight w:val="none"/>
              </w:rPr>
            </w:pPr>
          </w:p>
        </w:tc>
      </w:tr>
      <w:tr w14:paraId="5253DEDA">
        <w:tblPrEx>
          <w:tblCellMar>
            <w:top w:w="0" w:type="dxa"/>
            <w:left w:w="108" w:type="dxa"/>
            <w:bottom w:w="0" w:type="dxa"/>
            <w:right w:w="108" w:type="dxa"/>
          </w:tblCellMar>
        </w:tblPrEx>
        <w:trPr>
          <w:jc w:val="center"/>
        </w:trPr>
        <w:tc>
          <w:tcPr>
            <w:tcW w:w="2956" w:type="dxa"/>
            <w:vMerge w:val="continue"/>
            <w:tcBorders>
              <w:top w:val="nil"/>
              <w:left w:val="single" w:color="auto" w:sz="4" w:space="0"/>
              <w:bottom w:val="single" w:color="auto" w:sz="4" w:space="0"/>
              <w:right w:val="single" w:color="auto" w:sz="4" w:space="0"/>
            </w:tcBorders>
            <w:noWrap w:val="0"/>
            <w:vAlign w:val="center"/>
          </w:tcPr>
          <w:p w14:paraId="52CC2887">
            <w:pPr>
              <w:widowControl/>
              <w:spacing w:line="360" w:lineRule="auto"/>
              <w:jc w:val="left"/>
              <w:rPr>
                <w:rFonts w:ascii="宋体" w:hAnsi="宋体" w:cs="宋体"/>
                <w:color w:val="auto"/>
                <w:kern w:val="0"/>
                <w:szCs w:val="21"/>
                <w:highlight w:val="none"/>
              </w:rPr>
            </w:pPr>
          </w:p>
        </w:tc>
        <w:tc>
          <w:tcPr>
            <w:tcW w:w="2330" w:type="dxa"/>
            <w:tcBorders>
              <w:top w:val="nil"/>
              <w:left w:val="nil"/>
              <w:bottom w:val="single" w:color="auto" w:sz="4" w:space="0"/>
              <w:right w:val="single" w:color="auto" w:sz="4" w:space="0"/>
            </w:tcBorders>
            <w:noWrap w:val="0"/>
            <w:vAlign w:val="center"/>
          </w:tcPr>
          <w:p w14:paraId="5FB7D98F">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被管理单位名称</w:t>
            </w:r>
          </w:p>
        </w:tc>
        <w:tc>
          <w:tcPr>
            <w:tcW w:w="4392" w:type="dxa"/>
            <w:tcBorders>
              <w:top w:val="nil"/>
              <w:left w:val="nil"/>
              <w:bottom w:val="single" w:color="auto" w:sz="4" w:space="0"/>
              <w:right w:val="single" w:color="auto" w:sz="4" w:space="0"/>
            </w:tcBorders>
            <w:noWrap w:val="0"/>
            <w:vAlign w:val="center"/>
          </w:tcPr>
          <w:p w14:paraId="64C339BF">
            <w:pPr>
              <w:widowControl/>
              <w:spacing w:line="360" w:lineRule="auto"/>
              <w:jc w:val="left"/>
              <w:rPr>
                <w:rFonts w:ascii="宋体" w:hAnsi="宋体" w:cs="宋体"/>
                <w:color w:val="auto"/>
                <w:kern w:val="0"/>
                <w:szCs w:val="21"/>
                <w:highlight w:val="none"/>
              </w:rPr>
            </w:pPr>
          </w:p>
        </w:tc>
      </w:tr>
      <w:tr w14:paraId="212766BE">
        <w:tblPrEx>
          <w:tblCellMar>
            <w:top w:w="0" w:type="dxa"/>
            <w:left w:w="108" w:type="dxa"/>
            <w:bottom w:w="0" w:type="dxa"/>
            <w:right w:w="108" w:type="dxa"/>
          </w:tblCellMar>
        </w:tblPrEx>
        <w:trPr>
          <w:jc w:val="center"/>
        </w:trPr>
        <w:tc>
          <w:tcPr>
            <w:tcW w:w="2956" w:type="dxa"/>
            <w:tcBorders>
              <w:top w:val="nil"/>
              <w:left w:val="single" w:color="auto" w:sz="4" w:space="0"/>
              <w:bottom w:val="single" w:color="auto" w:sz="4" w:space="0"/>
              <w:right w:val="single" w:color="auto" w:sz="4" w:space="0"/>
            </w:tcBorders>
            <w:noWrap w:val="0"/>
            <w:vAlign w:val="center"/>
          </w:tcPr>
          <w:p w14:paraId="73A850D2">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备注</w:t>
            </w:r>
          </w:p>
        </w:tc>
        <w:tc>
          <w:tcPr>
            <w:tcW w:w="6722" w:type="dxa"/>
            <w:gridSpan w:val="2"/>
            <w:tcBorders>
              <w:top w:val="single" w:color="auto" w:sz="4" w:space="0"/>
              <w:left w:val="nil"/>
              <w:bottom w:val="single" w:color="auto" w:sz="4" w:space="0"/>
              <w:right w:val="single" w:color="000000" w:sz="4" w:space="0"/>
            </w:tcBorders>
            <w:noWrap w:val="0"/>
            <w:vAlign w:val="center"/>
          </w:tcPr>
          <w:p w14:paraId="7C986C23">
            <w:pPr>
              <w:widowControl/>
              <w:spacing w:line="360" w:lineRule="auto"/>
              <w:jc w:val="center"/>
              <w:rPr>
                <w:rFonts w:ascii="宋体" w:hAnsi="宋体" w:cs="宋体"/>
                <w:color w:val="auto"/>
                <w:kern w:val="0"/>
                <w:szCs w:val="21"/>
                <w:highlight w:val="none"/>
              </w:rPr>
            </w:pPr>
          </w:p>
        </w:tc>
      </w:tr>
    </w:tbl>
    <w:p w14:paraId="1C0AD69B">
      <w:pPr>
        <w:spacing w:line="360" w:lineRule="auto"/>
        <w:ind w:firstLine="3360" w:firstLineChars="1600"/>
        <w:jc w:val="right"/>
        <w:rPr>
          <w:rFonts w:ascii="宋体" w:hAnsi="宋体"/>
          <w:color w:val="auto"/>
          <w:highlight w:val="none"/>
        </w:rPr>
      </w:pPr>
    </w:p>
    <w:p w14:paraId="4F18386E">
      <w:pPr>
        <w:spacing w:line="360" w:lineRule="auto"/>
        <w:ind w:firstLine="3360" w:firstLineChars="1600"/>
        <w:jc w:val="right"/>
        <w:rPr>
          <w:rFonts w:ascii="宋体" w:hAnsi="宋体"/>
          <w:color w:val="auto"/>
          <w:highlight w:val="none"/>
        </w:rPr>
      </w:pPr>
    </w:p>
    <w:p w14:paraId="1FE3BDA3">
      <w:pPr>
        <w:spacing w:line="360" w:lineRule="auto"/>
        <w:ind w:firstLine="3360" w:firstLineChars="1600"/>
        <w:jc w:val="right"/>
        <w:rPr>
          <w:rFonts w:hint="eastAsia" w:ascii="宋体" w:hAnsi="宋体"/>
          <w:color w:val="auto"/>
          <w:highlight w:val="none"/>
        </w:rPr>
      </w:pPr>
    </w:p>
    <w:p w14:paraId="5756D550">
      <w:pPr>
        <w:spacing w:line="360" w:lineRule="auto"/>
        <w:ind w:firstLine="3360" w:firstLineChars="1600"/>
        <w:jc w:val="right"/>
        <w:rPr>
          <w:rFonts w:ascii="宋体" w:hAnsi="宋体"/>
          <w:color w:val="auto"/>
          <w:highlight w:val="none"/>
          <w:u w:val="single"/>
        </w:rPr>
      </w:pPr>
      <w:r>
        <w:rPr>
          <w:rFonts w:hint="eastAsia" w:ascii="宋体" w:hAnsi="宋体"/>
          <w:color w:val="auto"/>
          <w:highlight w:val="none"/>
        </w:rPr>
        <w:t>投标人代表签字：</w:t>
      </w:r>
      <w:r>
        <w:rPr>
          <w:rFonts w:ascii="宋体" w:hAnsi="宋体"/>
          <w:color w:val="auto"/>
          <w:highlight w:val="none"/>
        </w:rPr>
        <w:t>________________________</w:t>
      </w:r>
    </w:p>
    <w:p w14:paraId="6077CDFD">
      <w:pPr>
        <w:spacing w:line="360" w:lineRule="auto"/>
        <w:ind w:firstLine="1600"/>
        <w:jc w:val="right"/>
        <w:rPr>
          <w:rFonts w:ascii="宋体" w:hAnsi="宋体"/>
          <w:color w:val="auto"/>
          <w:highlight w:val="none"/>
        </w:rPr>
      </w:pPr>
      <w:r>
        <w:rPr>
          <w:rFonts w:hint="eastAsia" w:ascii="宋体" w:hAnsi="宋体"/>
          <w:color w:val="auto"/>
          <w:highlight w:val="none"/>
        </w:rPr>
        <w:t>投标人名称（盖章）：</w:t>
      </w:r>
      <w:r>
        <w:rPr>
          <w:rFonts w:ascii="宋体" w:hAnsi="宋体"/>
          <w:color w:val="auto"/>
          <w:highlight w:val="none"/>
        </w:rPr>
        <w:t>____________________</w:t>
      </w:r>
    </w:p>
    <w:p w14:paraId="162E7FA9">
      <w:pPr>
        <w:spacing w:line="360" w:lineRule="auto"/>
        <w:ind w:firstLine="1600"/>
        <w:jc w:val="right"/>
        <w:rPr>
          <w:rFonts w:ascii="宋体" w:hAnsi="宋体"/>
          <w:color w:val="auto"/>
          <w:szCs w:val="21"/>
          <w:highlight w:val="none"/>
        </w:rPr>
      </w:pPr>
      <w:r>
        <w:rPr>
          <w:rFonts w:hint="eastAsia" w:ascii="宋体" w:hAnsi="宋体"/>
          <w:color w:val="auto"/>
          <w:highlight w:val="none"/>
        </w:rPr>
        <w:t>日期：</w:t>
      </w:r>
      <w:r>
        <w:rPr>
          <w:rFonts w:ascii="宋体" w:hAnsi="宋体"/>
          <w:color w:val="auto"/>
          <w:highlight w:val="none"/>
        </w:rPr>
        <w:t>__________________________________</w:t>
      </w:r>
    </w:p>
    <w:p w14:paraId="5BA2ED2A">
      <w:pPr>
        <w:rPr>
          <w:rFonts w:hint="eastAsia" w:ascii="宋体" w:hAnsi="宋体" w:eastAsia="宋体" w:cs="Times New Roman"/>
          <w:b/>
          <w:szCs w:val="21"/>
          <w:highlight w:val="none"/>
        </w:rPr>
      </w:pPr>
      <w:r>
        <w:rPr>
          <w:rFonts w:hint="eastAsia" w:ascii="宋体" w:hAnsi="宋体" w:eastAsia="宋体" w:cs="Times New Roman"/>
          <w:b/>
          <w:szCs w:val="21"/>
          <w:highlight w:val="none"/>
        </w:rPr>
        <w:br w:type="page"/>
      </w:r>
    </w:p>
    <w:p w14:paraId="07E093A1">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2</w:t>
      </w:r>
      <w:r>
        <w:rPr>
          <w:rFonts w:hint="eastAsia" w:ascii="宋体" w:hAnsi="宋体" w:eastAsia="宋体" w:cs="Times New Roman"/>
          <w:b/>
          <w:szCs w:val="21"/>
          <w:highlight w:val="none"/>
        </w:rPr>
        <w:t xml:space="preserve">    法定代表人授权书(格式，自然人投标</w:t>
      </w:r>
      <w:r>
        <w:rPr>
          <w:rFonts w:hint="eastAsia" w:hAnsi="宋体" w:cs="Times New Roman"/>
          <w:b/>
          <w:szCs w:val="21"/>
          <w:highlight w:val="none"/>
          <w:lang w:val="en-US" w:eastAsia="zh-CN"/>
        </w:rPr>
        <w:t>提供身份证复印件</w:t>
      </w:r>
      <w:r>
        <w:rPr>
          <w:rFonts w:hint="eastAsia" w:ascii="宋体" w:hAnsi="宋体" w:eastAsia="宋体" w:cs="Times New Roman"/>
          <w:b/>
          <w:szCs w:val="21"/>
          <w:highlight w:val="none"/>
        </w:rPr>
        <w:t>)</w:t>
      </w:r>
      <w:bookmarkEnd w:id="380"/>
    </w:p>
    <w:p w14:paraId="1806307A">
      <w:pPr>
        <w:pStyle w:val="25"/>
        <w:spacing w:line="360" w:lineRule="auto"/>
        <w:ind w:left="1080" w:leftChars="257" w:hanging="540"/>
        <w:rPr>
          <w:rFonts w:hint="eastAsia" w:hAnsi="宋体"/>
          <w:szCs w:val="21"/>
          <w:highlight w:val="none"/>
        </w:rPr>
      </w:pPr>
      <w:r>
        <w:rPr>
          <w:rFonts w:hint="eastAsia" w:hAnsi="宋体"/>
          <w:szCs w:val="21"/>
          <w:highlight w:val="none"/>
          <w:u w:val="single"/>
        </w:rPr>
        <w:cr/>
      </w:r>
    </w:p>
    <w:p w14:paraId="28030E1E">
      <w:pPr>
        <w:pStyle w:val="25"/>
        <w:tabs>
          <w:tab w:val="left" w:pos="5580"/>
        </w:tabs>
        <w:spacing w:line="360" w:lineRule="auto"/>
        <w:rPr>
          <w:rFonts w:hint="eastAsia" w:hAnsi="宋体"/>
          <w:szCs w:val="21"/>
          <w:highlight w:val="none"/>
        </w:rPr>
      </w:pPr>
      <w:r>
        <w:rPr>
          <w:rFonts w:hAnsi="宋体"/>
          <w:szCs w:val="21"/>
          <w:highlight w:val="none"/>
        </w:rPr>
        <w:cr/>
      </w:r>
      <w:r>
        <w:rPr>
          <w:rFonts w:hint="eastAsia" w:hAnsi="宋体"/>
          <w:szCs w:val="21"/>
          <w:highlight w:val="none"/>
        </w:rPr>
        <w:t xml:space="preserve">    本授权书声明：注册于</w:t>
      </w:r>
      <w:r>
        <w:rPr>
          <w:rFonts w:hint="eastAsia" w:hAnsi="宋体"/>
          <w:szCs w:val="21"/>
          <w:highlight w:val="none"/>
          <w:u w:val="single"/>
        </w:rPr>
        <w:t>（国家或地区的名称）</w:t>
      </w:r>
      <w:r>
        <w:rPr>
          <w:rFonts w:hint="eastAsia" w:hAnsi="宋体"/>
          <w:szCs w:val="21"/>
          <w:highlight w:val="none"/>
        </w:rPr>
        <w:t>的（</w:t>
      </w:r>
      <w:r>
        <w:rPr>
          <w:rFonts w:hint="eastAsia" w:hAnsi="宋体"/>
          <w:i/>
          <w:szCs w:val="21"/>
          <w:highlight w:val="none"/>
          <w:u w:val="single"/>
        </w:rPr>
        <w:t>投标人</w:t>
      </w:r>
      <w:r>
        <w:rPr>
          <w:rFonts w:hint="eastAsia" w:hAnsi="宋体"/>
          <w:szCs w:val="21"/>
          <w:highlight w:val="none"/>
        </w:rPr>
        <w:t>）的在下面签字的（</w:t>
      </w:r>
      <w:r>
        <w:rPr>
          <w:rFonts w:hint="eastAsia" w:hAnsi="宋体"/>
          <w:i/>
          <w:szCs w:val="21"/>
          <w:highlight w:val="none"/>
          <w:u w:val="single"/>
        </w:rPr>
        <w:t>法人代表姓名、职务</w:t>
      </w:r>
      <w:r>
        <w:rPr>
          <w:rFonts w:hint="eastAsia" w:hAnsi="宋体"/>
          <w:szCs w:val="21"/>
          <w:highlight w:val="none"/>
        </w:rPr>
        <w:t>）代表本公司授权（</w:t>
      </w:r>
      <w:r>
        <w:rPr>
          <w:rFonts w:hint="eastAsia" w:hAnsi="宋体"/>
          <w:i/>
          <w:szCs w:val="21"/>
          <w:highlight w:val="none"/>
          <w:u w:val="single"/>
        </w:rPr>
        <w:t>单位名称</w:t>
      </w:r>
      <w:r>
        <w:rPr>
          <w:rFonts w:hint="eastAsia" w:hAnsi="宋体"/>
          <w:szCs w:val="21"/>
          <w:highlight w:val="none"/>
        </w:rPr>
        <w:t>）的在下面签字的（</w:t>
      </w:r>
      <w:r>
        <w:rPr>
          <w:rFonts w:hint="eastAsia" w:hAnsi="宋体"/>
          <w:i/>
          <w:szCs w:val="21"/>
          <w:highlight w:val="none"/>
          <w:u w:val="single"/>
        </w:rPr>
        <w:t>被授权人的姓名、职务</w:t>
      </w:r>
      <w:r>
        <w:rPr>
          <w:rFonts w:hint="eastAsia" w:hAnsi="宋体"/>
          <w:szCs w:val="21"/>
          <w:highlight w:val="none"/>
        </w:rPr>
        <w:t>）为本公司的合法代理人，就（</w:t>
      </w:r>
      <w:r>
        <w:rPr>
          <w:rFonts w:hint="eastAsia" w:hAnsi="宋体"/>
          <w:i/>
          <w:szCs w:val="21"/>
          <w:highlight w:val="none"/>
          <w:u w:val="single"/>
        </w:rPr>
        <w:t>项目名称</w:t>
      </w:r>
      <w:r>
        <w:rPr>
          <w:rFonts w:hint="eastAsia" w:hAnsi="宋体"/>
          <w:szCs w:val="21"/>
          <w:highlight w:val="none"/>
        </w:rPr>
        <w:t>）的（</w:t>
      </w:r>
      <w:r>
        <w:rPr>
          <w:rFonts w:hint="eastAsia" w:hAnsi="宋体"/>
          <w:i/>
          <w:szCs w:val="21"/>
          <w:highlight w:val="none"/>
          <w:u w:val="single"/>
        </w:rPr>
        <w:t>合同名称</w:t>
      </w:r>
      <w:r>
        <w:rPr>
          <w:rFonts w:hint="eastAsia" w:hAnsi="宋体"/>
          <w:szCs w:val="21"/>
          <w:highlight w:val="none"/>
        </w:rPr>
        <w:t>）投标，以本公司名义处理一切与之有关的事务。</w:t>
      </w:r>
      <w:r>
        <w:rPr>
          <w:rFonts w:hint="eastAsia" w:hAnsi="宋体"/>
          <w:szCs w:val="21"/>
          <w:highlight w:val="none"/>
        </w:rPr>
        <w:cr/>
      </w:r>
      <w:r>
        <w:rPr>
          <w:rFonts w:hint="eastAsia" w:hAnsi="宋体"/>
          <w:szCs w:val="21"/>
          <w:highlight w:val="none"/>
        </w:rPr>
        <w:t>　　</w:t>
      </w:r>
    </w:p>
    <w:p w14:paraId="2D70FE74">
      <w:pPr>
        <w:pStyle w:val="25"/>
        <w:tabs>
          <w:tab w:val="left" w:pos="5580"/>
        </w:tabs>
        <w:spacing w:line="360" w:lineRule="auto"/>
        <w:ind w:left="-540" w:leftChars="-257" w:firstLine="787" w:firstLineChars="375"/>
        <w:rPr>
          <w:rFonts w:hint="eastAsia" w:hAnsi="宋体"/>
          <w:szCs w:val="21"/>
          <w:highlight w:val="none"/>
        </w:rPr>
      </w:pPr>
      <w:r>
        <w:rPr>
          <w:rFonts w:hint="eastAsia" w:hAnsi="宋体"/>
          <w:szCs w:val="21"/>
          <w:highlight w:val="none"/>
        </w:rPr>
        <w:t>本授权书于</w:t>
      </w:r>
      <w:r>
        <w:rPr>
          <w:rFonts w:hint="eastAsia" w:hAnsi="宋体"/>
          <w:szCs w:val="21"/>
          <w:highlight w:val="none"/>
          <w:u w:val="single"/>
        </w:rPr>
        <w:t xml:space="preserve">           </w:t>
      </w:r>
      <w:r>
        <w:rPr>
          <w:rFonts w:hint="eastAsia" w:hAnsi="宋体"/>
          <w:szCs w:val="21"/>
          <w:highlight w:val="none"/>
        </w:rPr>
        <w:t>年</w:t>
      </w:r>
      <w:r>
        <w:rPr>
          <w:rFonts w:hint="eastAsia" w:hAnsi="宋体"/>
          <w:szCs w:val="21"/>
          <w:highlight w:val="none"/>
          <w:u w:val="single"/>
        </w:rPr>
        <w:t xml:space="preserve">     </w:t>
      </w:r>
      <w:r>
        <w:rPr>
          <w:rFonts w:hint="eastAsia" w:hAnsi="宋体"/>
          <w:szCs w:val="21"/>
          <w:highlight w:val="none"/>
        </w:rPr>
        <w:t>月</w:t>
      </w:r>
      <w:r>
        <w:rPr>
          <w:rFonts w:hint="eastAsia" w:hAnsi="宋体"/>
          <w:szCs w:val="21"/>
          <w:highlight w:val="none"/>
          <w:u w:val="single"/>
        </w:rPr>
        <w:t xml:space="preserve">     </w:t>
      </w:r>
      <w:r>
        <w:rPr>
          <w:rFonts w:hint="eastAsia" w:hAnsi="宋体"/>
          <w:szCs w:val="21"/>
          <w:highlight w:val="none"/>
        </w:rPr>
        <w:t>日签字生效,特此声明。</w:t>
      </w:r>
    </w:p>
    <w:p w14:paraId="398CDD8E">
      <w:pPr>
        <w:pStyle w:val="25"/>
        <w:tabs>
          <w:tab w:val="left" w:pos="5580"/>
        </w:tabs>
        <w:spacing w:line="360" w:lineRule="auto"/>
        <w:rPr>
          <w:rFonts w:hint="eastAsia" w:hAnsi="宋体"/>
          <w:szCs w:val="21"/>
          <w:highlight w:val="none"/>
        </w:rPr>
      </w:pPr>
    </w:p>
    <w:p w14:paraId="464ACF9F">
      <w:pPr>
        <w:pStyle w:val="25"/>
        <w:tabs>
          <w:tab w:val="left" w:pos="5580"/>
        </w:tabs>
        <w:spacing w:line="360" w:lineRule="auto"/>
        <w:ind w:left="1080" w:leftChars="257" w:hanging="540"/>
        <w:rPr>
          <w:rFonts w:hint="eastAsia" w:hAnsi="宋体"/>
          <w:szCs w:val="21"/>
          <w:highlight w:val="none"/>
        </w:rPr>
      </w:pPr>
    </w:p>
    <w:p w14:paraId="78E5BC1A">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被授权人姓名：</w:t>
      </w:r>
      <w:r>
        <w:rPr>
          <w:rFonts w:hint="eastAsia" w:hAnsi="宋体"/>
          <w:szCs w:val="21"/>
          <w:highlight w:val="none"/>
          <w:u w:val="single"/>
        </w:rPr>
        <w:t xml:space="preserve">                                </w:t>
      </w:r>
    </w:p>
    <w:p w14:paraId="126C688E">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职　　　　务：</w:t>
      </w:r>
      <w:r>
        <w:rPr>
          <w:rFonts w:hint="eastAsia" w:hAnsi="宋体"/>
          <w:szCs w:val="21"/>
          <w:highlight w:val="none"/>
          <w:u w:val="single"/>
        </w:rPr>
        <w:t xml:space="preserve">                                </w:t>
      </w:r>
    </w:p>
    <w:p w14:paraId="09385EA3">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详细通讯地址：</w:t>
      </w:r>
      <w:r>
        <w:rPr>
          <w:rFonts w:hint="eastAsia" w:hAnsi="宋体"/>
          <w:szCs w:val="21"/>
          <w:highlight w:val="none"/>
          <w:u w:val="single"/>
        </w:rPr>
        <w:t xml:space="preserve">                                </w:t>
      </w:r>
    </w:p>
    <w:p w14:paraId="04A8FDE0">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邮 政 编 码 ：</w:t>
      </w:r>
      <w:r>
        <w:rPr>
          <w:rFonts w:hint="eastAsia" w:hAnsi="宋体"/>
          <w:szCs w:val="21"/>
          <w:highlight w:val="none"/>
          <w:u w:val="single"/>
        </w:rPr>
        <w:t xml:space="preserve">                                </w:t>
      </w:r>
    </w:p>
    <w:p w14:paraId="31E048B3">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传　　　　真：</w:t>
      </w:r>
      <w:r>
        <w:rPr>
          <w:rFonts w:hint="eastAsia" w:hAnsi="宋体"/>
          <w:szCs w:val="21"/>
          <w:highlight w:val="none"/>
          <w:u w:val="single"/>
        </w:rPr>
        <w:t xml:space="preserve">                                </w:t>
      </w:r>
    </w:p>
    <w:p w14:paraId="4D49166F">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电　　　　话：</w:t>
      </w:r>
      <w:r>
        <w:rPr>
          <w:rFonts w:hint="eastAsia" w:hAnsi="宋体"/>
          <w:szCs w:val="21"/>
          <w:highlight w:val="none"/>
          <w:u w:val="single"/>
        </w:rPr>
        <w:t xml:space="preserve">                                </w:t>
      </w:r>
    </w:p>
    <w:p w14:paraId="5E3EC31F">
      <w:pPr>
        <w:pStyle w:val="25"/>
        <w:tabs>
          <w:tab w:val="left" w:pos="5580"/>
        </w:tabs>
        <w:spacing w:line="360" w:lineRule="auto"/>
        <w:ind w:left="-540" w:leftChars="-257" w:firstLine="787" w:firstLineChars="375"/>
        <w:rPr>
          <w:rFonts w:hint="eastAsia" w:hAnsi="宋体"/>
          <w:szCs w:val="21"/>
          <w:highlight w:val="none"/>
        </w:rPr>
      </w:pPr>
      <w:r>
        <w:rPr>
          <w:rFonts w:hint="eastAsia" w:hAnsi="宋体"/>
          <w:szCs w:val="21"/>
          <w:highlight w:val="none"/>
        </w:rPr>
        <w:cr/>
      </w:r>
    </w:p>
    <w:p w14:paraId="5C7C563C">
      <w:pPr>
        <w:pStyle w:val="25"/>
        <w:tabs>
          <w:tab w:val="left" w:pos="5580"/>
        </w:tabs>
        <w:spacing w:line="360" w:lineRule="auto"/>
        <w:ind w:left="-540" w:leftChars="-257" w:firstLine="787" w:firstLineChars="375"/>
        <w:rPr>
          <w:rFonts w:hint="eastAsia" w:hAnsi="宋体"/>
          <w:szCs w:val="21"/>
          <w:highlight w:val="none"/>
        </w:rPr>
      </w:pPr>
    </w:p>
    <w:p w14:paraId="36F2B3C9">
      <w:pPr>
        <w:pStyle w:val="25"/>
        <w:tabs>
          <w:tab w:val="left" w:pos="5580"/>
        </w:tabs>
        <w:spacing w:line="360" w:lineRule="auto"/>
        <w:ind w:left="420" w:leftChars="200"/>
        <w:rPr>
          <w:rFonts w:hint="eastAsia" w:hAnsi="宋体"/>
          <w:szCs w:val="21"/>
          <w:highlight w:val="none"/>
        </w:rPr>
      </w:pPr>
      <w:r>
        <w:rPr>
          <w:rFonts w:hint="eastAsia" w:hAnsi="宋体"/>
          <w:szCs w:val="21"/>
          <w:highlight w:val="none"/>
        </w:rPr>
        <w:t xml:space="preserve">  法定代表人：</w:t>
      </w:r>
      <w:r>
        <w:rPr>
          <w:rFonts w:cs="Arial"/>
          <w:szCs w:val="21"/>
          <w:highlight w:val="none"/>
          <w:u w:val="single"/>
        </w:rPr>
        <w:t xml:space="preserve">        （</w:t>
      </w:r>
      <w:r>
        <w:rPr>
          <w:rFonts w:hint="eastAsia" w:hAnsi="宋体" w:cs="Arial"/>
          <w:szCs w:val="21"/>
          <w:highlight w:val="none"/>
          <w:u w:val="single"/>
        </w:rPr>
        <w:t>签字或签章</w:t>
      </w:r>
      <w:r>
        <w:rPr>
          <w:rFonts w:cs="Arial"/>
          <w:szCs w:val="21"/>
          <w:highlight w:val="none"/>
          <w:u w:val="single"/>
        </w:rPr>
        <w:t>）</w:t>
      </w:r>
      <w:r>
        <w:rPr>
          <w:rFonts w:hint="eastAsia" w:cs="Arial"/>
          <w:szCs w:val="21"/>
          <w:highlight w:val="none"/>
          <w:u w:val="single"/>
        </w:rPr>
        <w:t xml:space="preserve"> </w:t>
      </w:r>
      <w:r>
        <w:rPr>
          <w:rFonts w:cs="Arial"/>
          <w:szCs w:val="21"/>
          <w:highlight w:val="none"/>
          <w:u w:val="single"/>
        </w:rPr>
        <w:t xml:space="preserve">        </w:t>
      </w:r>
    </w:p>
    <w:p w14:paraId="3470EF91">
      <w:pPr>
        <w:pStyle w:val="25"/>
        <w:tabs>
          <w:tab w:val="left" w:pos="5580"/>
        </w:tabs>
        <w:spacing w:line="360" w:lineRule="auto"/>
        <w:ind w:left="420" w:leftChars="200"/>
        <w:rPr>
          <w:rFonts w:hint="eastAsia" w:hAnsi="宋体"/>
          <w:szCs w:val="21"/>
          <w:highlight w:val="none"/>
          <w:u w:val="single"/>
        </w:rPr>
      </w:pPr>
      <w:r>
        <w:rPr>
          <w:rFonts w:hint="eastAsia" w:hAnsi="宋体"/>
          <w:szCs w:val="21"/>
          <w:highlight w:val="none"/>
        </w:rPr>
        <w:t>被授权人签字：</w:t>
      </w:r>
      <w:r>
        <w:rPr>
          <w:rFonts w:cs="Arial"/>
          <w:szCs w:val="21"/>
          <w:highlight w:val="none"/>
          <w:u w:val="single"/>
        </w:rPr>
        <w:t xml:space="preserve">      （</w:t>
      </w:r>
      <w:r>
        <w:rPr>
          <w:rFonts w:hint="eastAsia" w:hAnsi="宋体" w:cs="Arial"/>
          <w:szCs w:val="21"/>
          <w:highlight w:val="none"/>
          <w:u w:val="single"/>
        </w:rPr>
        <w:t>签字或签章</w:t>
      </w:r>
      <w:r>
        <w:rPr>
          <w:rFonts w:cs="Arial"/>
          <w:szCs w:val="21"/>
          <w:highlight w:val="none"/>
          <w:u w:val="single"/>
        </w:rPr>
        <w:t>）</w:t>
      </w:r>
      <w:r>
        <w:rPr>
          <w:rFonts w:hint="eastAsia" w:cs="Arial"/>
          <w:szCs w:val="21"/>
          <w:highlight w:val="none"/>
          <w:u w:val="single"/>
        </w:rPr>
        <w:t xml:space="preserve"> </w:t>
      </w:r>
      <w:r>
        <w:rPr>
          <w:rFonts w:cs="Arial"/>
          <w:szCs w:val="21"/>
          <w:highlight w:val="none"/>
          <w:u w:val="single"/>
        </w:rPr>
        <w:t xml:space="preserve">        </w:t>
      </w:r>
    </w:p>
    <w:p w14:paraId="0C56AB54">
      <w:pPr>
        <w:pStyle w:val="25"/>
        <w:tabs>
          <w:tab w:val="left" w:pos="5580"/>
        </w:tabs>
        <w:spacing w:line="360" w:lineRule="auto"/>
        <w:ind w:left="420" w:leftChars="200"/>
        <w:rPr>
          <w:rFonts w:hAnsi="宋体"/>
          <w:szCs w:val="21"/>
          <w:highlight w:val="none"/>
          <w:u w:val="single"/>
        </w:rPr>
      </w:pPr>
      <w:r>
        <w:rPr>
          <w:rFonts w:hint="eastAsia" w:hAnsi="宋体"/>
          <w:szCs w:val="21"/>
          <w:highlight w:val="none"/>
        </w:rPr>
        <w:t>投标人盖章：</w:t>
      </w:r>
      <w:r>
        <w:rPr>
          <w:rFonts w:hint="eastAsia" w:hAnsi="宋体"/>
          <w:szCs w:val="21"/>
          <w:highlight w:val="none"/>
          <w:u w:val="single"/>
        </w:rPr>
        <w:t xml:space="preserve">      </w:t>
      </w:r>
      <w:r>
        <w:rPr>
          <w:rFonts w:cs="Arial"/>
          <w:szCs w:val="21"/>
          <w:highlight w:val="none"/>
          <w:u w:val="single"/>
        </w:rPr>
        <w:t>（</w:t>
      </w:r>
      <w:r>
        <w:rPr>
          <w:rFonts w:hAnsi="宋体" w:cs="Arial"/>
          <w:szCs w:val="21"/>
          <w:highlight w:val="none"/>
          <w:u w:val="single"/>
        </w:rPr>
        <w:t>全称、盖单位公章</w:t>
      </w:r>
      <w:r>
        <w:rPr>
          <w:rFonts w:cs="Arial"/>
          <w:szCs w:val="21"/>
          <w:highlight w:val="none"/>
          <w:u w:val="single"/>
        </w:rPr>
        <w:t>）</w:t>
      </w:r>
      <w:r>
        <w:rPr>
          <w:rFonts w:hint="eastAsia" w:hAnsi="宋体"/>
          <w:szCs w:val="21"/>
          <w:highlight w:val="none"/>
          <w:u w:val="single"/>
        </w:rPr>
        <w:t xml:space="preserve">      </w:t>
      </w:r>
    </w:p>
    <w:p w14:paraId="21CF8383">
      <w:pPr>
        <w:pStyle w:val="25"/>
        <w:tabs>
          <w:tab w:val="left" w:pos="5580"/>
        </w:tabs>
        <w:spacing w:line="360" w:lineRule="auto"/>
        <w:ind w:firstLine="420" w:firstLineChars="200"/>
        <w:rPr>
          <w:rFonts w:hint="eastAsia" w:hAnsi="宋体"/>
          <w:szCs w:val="21"/>
          <w:highlight w:val="none"/>
        </w:rPr>
      </w:pPr>
      <w:r>
        <w:rPr>
          <w:rFonts w:hint="eastAsia" w:hAnsi="宋体"/>
          <w:szCs w:val="21"/>
          <w:highlight w:val="none"/>
        </w:rPr>
        <w:t xml:space="preserve">                              </w:t>
      </w:r>
    </w:p>
    <w:p w14:paraId="4B458FC4">
      <w:pPr>
        <w:pStyle w:val="25"/>
        <w:tabs>
          <w:tab w:val="left" w:pos="5580"/>
        </w:tabs>
        <w:spacing w:line="360" w:lineRule="auto"/>
        <w:ind w:left="1080" w:leftChars="257" w:hanging="540"/>
        <w:rPr>
          <w:rFonts w:hint="default" w:hAnsi="宋体" w:eastAsia="宋体"/>
          <w:szCs w:val="21"/>
          <w:highlight w:val="none"/>
          <w:lang w:val="en-US" w:eastAsia="zh-CN"/>
        </w:rPr>
      </w:pPr>
      <w:r>
        <w:rPr>
          <w:rFonts w:hint="eastAsia" w:hAnsi="宋体"/>
          <w:szCs w:val="21"/>
          <w:highlight w:val="none"/>
          <w:lang w:val="en-US" w:eastAsia="zh-CN"/>
        </w:rPr>
        <w:t>法定代表人及被授权人身份证复印件（正反面）</w:t>
      </w:r>
    </w:p>
    <w:p w14:paraId="13054517">
      <w:pPr>
        <w:pStyle w:val="25"/>
        <w:tabs>
          <w:tab w:val="left" w:pos="5580"/>
        </w:tabs>
        <w:spacing w:line="360" w:lineRule="auto"/>
        <w:ind w:left="1080" w:leftChars="257" w:hanging="540"/>
        <w:rPr>
          <w:rFonts w:hint="eastAsia" w:hAnsi="宋体"/>
          <w:szCs w:val="21"/>
          <w:highlight w:val="none"/>
        </w:rPr>
      </w:pPr>
    </w:p>
    <w:p w14:paraId="6C5E1D3D">
      <w:pPr>
        <w:pStyle w:val="25"/>
        <w:tabs>
          <w:tab w:val="left" w:pos="5580"/>
        </w:tabs>
        <w:spacing w:line="360" w:lineRule="auto"/>
        <w:ind w:left="1080" w:leftChars="257" w:hanging="540"/>
        <w:rPr>
          <w:rFonts w:hint="eastAsia" w:hAnsi="宋体"/>
          <w:szCs w:val="21"/>
          <w:highlight w:val="none"/>
        </w:rPr>
      </w:pPr>
    </w:p>
    <w:p w14:paraId="1E19E964">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1"/>
        <w:rPr>
          <w:rFonts w:hint="default" w:ascii="宋体" w:hAnsi="宋体" w:eastAsia="宋体" w:cs="Times New Roman"/>
          <w:b/>
          <w:kern w:val="2"/>
          <w:sz w:val="21"/>
          <w:szCs w:val="21"/>
          <w:highlight w:val="none"/>
          <w:lang w:val="en-US" w:eastAsia="zh-CN" w:bidi="ar-SA"/>
        </w:rPr>
      </w:pPr>
      <w:r>
        <w:rPr>
          <w:rFonts w:ascii="宋体" w:hAnsi="宋体"/>
          <w:szCs w:val="21"/>
          <w:highlight w:val="none"/>
        </w:rPr>
        <w:br w:type="page"/>
      </w:r>
      <w:bookmarkStart w:id="394" w:name="_Toc27092"/>
      <w:r>
        <w:rPr>
          <w:rFonts w:hint="eastAsia" w:ascii="宋体" w:hAnsi="宋体" w:eastAsia="宋体" w:cs="Times New Roman"/>
          <w:b/>
          <w:kern w:val="2"/>
          <w:sz w:val="21"/>
          <w:szCs w:val="21"/>
          <w:highlight w:val="none"/>
          <w:lang w:val="en-US" w:eastAsia="zh-CN" w:bidi="ar-SA"/>
        </w:rPr>
        <w:t>附件5-3   生产厂商授权书</w:t>
      </w:r>
      <w:bookmarkEnd w:id="394"/>
    </w:p>
    <w:p w14:paraId="75C6A8C1">
      <w:pPr>
        <w:tabs>
          <w:tab w:val="left" w:pos="5580"/>
        </w:tabs>
        <w:spacing w:line="360" w:lineRule="auto"/>
        <w:rPr>
          <w:rFonts w:hint="eastAsia" w:ascii="宋体" w:hAnsi="宋体"/>
          <w:szCs w:val="21"/>
          <w:highlight w:val="none"/>
        </w:rPr>
      </w:pPr>
    </w:p>
    <w:p w14:paraId="283B984C">
      <w:pPr>
        <w:tabs>
          <w:tab w:val="left" w:pos="5580"/>
        </w:tabs>
        <w:spacing w:line="360" w:lineRule="auto"/>
        <w:rPr>
          <w:rFonts w:hint="default" w:ascii="宋体" w:hAnsi="宋体" w:eastAsia="宋体"/>
          <w:szCs w:val="21"/>
          <w:highlight w:val="none"/>
          <w:u w:val="single"/>
          <w:lang w:val="en-US" w:eastAsia="zh-CN"/>
        </w:rPr>
      </w:pPr>
      <w:r>
        <w:rPr>
          <w:rFonts w:hint="eastAsia" w:ascii="宋体" w:hAnsi="宋体"/>
          <w:szCs w:val="21"/>
          <w:highlight w:val="none"/>
        </w:rPr>
        <w:t>致：</w:t>
      </w:r>
      <w:r>
        <w:rPr>
          <w:rFonts w:hint="eastAsia" w:ascii="宋体" w:hAnsi="宋体"/>
          <w:szCs w:val="21"/>
          <w:highlight w:val="none"/>
          <w:lang w:val="en-US" w:eastAsia="zh-CN"/>
        </w:rPr>
        <w:t>国药集团扬州威克生物工程有限公司</w:t>
      </w:r>
    </w:p>
    <w:p w14:paraId="45A8A544">
      <w:pPr>
        <w:tabs>
          <w:tab w:val="left" w:pos="5580"/>
        </w:tabs>
        <w:spacing w:line="360" w:lineRule="auto"/>
        <w:ind w:firstLine="472" w:firstLineChars="225"/>
        <w:rPr>
          <w:rFonts w:hint="eastAsia" w:ascii="宋体" w:hAnsi="宋体"/>
          <w:szCs w:val="21"/>
          <w:highlight w:val="none"/>
        </w:rPr>
      </w:pPr>
      <w:r>
        <w:rPr>
          <w:rFonts w:hint="eastAsia" w:ascii="宋体" w:hAnsi="宋体"/>
          <w:szCs w:val="21"/>
          <w:highlight w:val="none"/>
        </w:rPr>
        <w:t>我们（生产厂商</w:t>
      </w:r>
      <w:r>
        <w:rPr>
          <w:rFonts w:hint="eastAsia" w:ascii="宋体" w:hAnsi="宋体"/>
          <w:i/>
          <w:szCs w:val="21"/>
          <w:highlight w:val="none"/>
          <w:u w:val="single"/>
        </w:rPr>
        <w:t>名称</w:t>
      </w:r>
      <w:r>
        <w:rPr>
          <w:rFonts w:hint="eastAsia" w:ascii="宋体" w:hAnsi="宋体"/>
          <w:szCs w:val="21"/>
          <w:highlight w:val="none"/>
        </w:rPr>
        <w:t>）是按（</w:t>
      </w:r>
      <w:r>
        <w:rPr>
          <w:rFonts w:hint="eastAsia" w:ascii="宋体" w:hAnsi="宋体"/>
          <w:i/>
          <w:szCs w:val="21"/>
          <w:highlight w:val="none"/>
          <w:u w:val="single"/>
        </w:rPr>
        <w:t>国家名称</w:t>
      </w:r>
      <w:r>
        <w:rPr>
          <w:rFonts w:hint="eastAsia" w:ascii="宋体" w:hAnsi="宋体"/>
          <w:szCs w:val="21"/>
          <w:highlight w:val="none"/>
        </w:rPr>
        <w:t>）法律成立的一家生产厂商，主要营业地点设在（</w:t>
      </w:r>
      <w:r>
        <w:rPr>
          <w:rFonts w:hint="eastAsia" w:ascii="宋体" w:hAnsi="宋体"/>
          <w:i/>
          <w:szCs w:val="21"/>
          <w:highlight w:val="none"/>
          <w:u w:val="single"/>
        </w:rPr>
        <w:t>地址</w:t>
      </w:r>
      <w:r>
        <w:rPr>
          <w:rFonts w:hint="eastAsia" w:ascii="宋体" w:hAnsi="宋体"/>
          <w:szCs w:val="21"/>
          <w:highlight w:val="none"/>
        </w:rPr>
        <w:t>）。兹指派按（</w:t>
      </w:r>
      <w:r>
        <w:rPr>
          <w:rFonts w:hint="eastAsia" w:ascii="宋体" w:hAnsi="宋体"/>
          <w:i/>
          <w:szCs w:val="21"/>
          <w:highlight w:val="none"/>
          <w:u w:val="single"/>
        </w:rPr>
        <w:t>国家名称</w:t>
      </w:r>
      <w:r>
        <w:rPr>
          <w:rFonts w:hint="eastAsia" w:ascii="宋体" w:hAnsi="宋体"/>
          <w:szCs w:val="21"/>
          <w:highlight w:val="none"/>
        </w:rPr>
        <w:t>）的法律正式成立的，主要营业地点设在（</w:t>
      </w:r>
      <w:r>
        <w:rPr>
          <w:rFonts w:hint="eastAsia" w:ascii="宋体" w:hAnsi="宋体"/>
          <w:i/>
          <w:szCs w:val="21"/>
          <w:highlight w:val="none"/>
          <w:u w:val="single"/>
        </w:rPr>
        <w:t>经销商地址</w:t>
      </w:r>
      <w:r>
        <w:rPr>
          <w:rFonts w:hint="eastAsia" w:ascii="宋体" w:hAnsi="宋体"/>
          <w:szCs w:val="21"/>
          <w:highlight w:val="none"/>
        </w:rPr>
        <w:t>）的（</w:t>
      </w:r>
      <w:r>
        <w:rPr>
          <w:rFonts w:hint="eastAsia" w:ascii="宋体" w:hAnsi="宋体"/>
          <w:i/>
          <w:szCs w:val="21"/>
          <w:highlight w:val="none"/>
          <w:u w:val="single"/>
        </w:rPr>
        <w:t>经销商名称</w:t>
      </w:r>
      <w:r>
        <w:rPr>
          <w:rFonts w:hint="eastAsia" w:ascii="宋体" w:hAnsi="宋体"/>
          <w:szCs w:val="21"/>
          <w:highlight w:val="none"/>
        </w:rPr>
        <w:t>）作为我方真正的合法的代理人进行下列有效的活动：</w:t>
      </w:r>
    </w:p>
    <w:p w14:paraId="7F45B59A">
      <w:pPr>
        <w:tabs>
          <w:tab w:val="left" w:pos="5580"/>
        </w:tabs>
        <w:spacing w:line="360" w:lineRule="auto"/>
        <w:ind w:firstLine="472" w:firstLineChars="225"/>
        <w:rPr>
          <w:rFonts w:hint="eastAsia" w:ascii="宋体" w:hAnsi="宋体"/>
          <w:szCs w:val="21"/>
          <w:highlight w:val="none"/>
        </w:rPr>
      </w:pPr>
    </w:p>
    <w:p w14:paraId="4B2B5E96">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（1）代表我方办理贵方</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（招标编号） </w:t>
      </w:r>
      <w:r>
        <w:rPr>
          <w:rFonts w:ascii="宋体" w:hAnsi="宋体"/>
          <w:szCs w:val="21"/>
          <w:highlight w:val="none"/>
          <w:u w:val="single"/>
        </w:rPr>
        <w:t xml:space="preserve"> </w:t>
      </w:r>
      <w:r>
        <w:rPr>
          <w:rFonts w:hint="eastAsia" w:ascii="宋体" w:hAnsi="宋体"/>
          <w:szCs w:val="21"/>
          <w:highlight w:val="none"/>
        </w:rPr>
        <w:t>投标邀请要求提供的由我方生产的产品的有关事宜，并对我方具有约束力。</w:t>
      </w:r>
    </w:p>
    <w:p w14:paraId="152E027A">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（2）作为生产厂商，我方保证以投标合作者来约束自己，并对该投标共同和分别承担招标文件中所规定的义务。</w:t>
      </w:r>
    </w:p>
    <w:p w14:paraId="3902D0A0">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（3）我方兹授予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（经销商名称） </w:t>
      </w:r>
      <w:r>
        <w:rPr>
          <w:rFonts w:ascii="宋体" w:hAnsi="宋体"/>
          <w:szCs w:val="21"/>
          <w:highlight w:val="none"/>
          <w:u w:val="single"/>
        </w:rPr>
        <w:t xml:space="preserve"> </w:t>
      </w:r>
      <w:r>
        <w:rPr>
          <w:rFonts w:hint="eastAsia" w:ascii="宋体" w:hAnsi="宋体"/>
          <w:szCs w:val="21"/>
          <w:highlight w:val="none"/>
        </w:rPr>
        <w:t>全权办理和履行上述我方为完成上述各点所必须的事宜，具有替换或撤销的全权。兹确认</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（经销商名称） </w:t>
      </w:r>
      <w:r>
        <w:rPr>
          <w:rFonts w:ascii="宋体" w:hAnsi="宋体"/>
          <w:szCs w:val="21"/>
          <w:highlight w:val="none"/>
          <w:u w:val="single"/>
        </w:rPr>
        <w:t xml:space="preserve"> </w:t>
      </w:r>
      <w:r>
        <w:rPr>
          <w:rFonts w:hint="eastAsia" w:ascii="宋体" w:hAnsi="宋体"/>
          <w:szCs w:val="21"/>
          <w:highlight w:val="none"/>
        </w:rPr>
        <w:t>或其正式授权代表依此合法地办理一切事宜。</w:t>
      </w:r>
    </w:p>
    <w:p w14:paraId="7993E170">
      <w:pPr>
        <w:tabs>
          <w:tab w:val="left" w:pos="5580"/>
        </w:tabs>
        <w:wordWrap w:val="0"/>
        <w:spacing w:line="360" w:lineRule="auto"/>
        <w:ind w:left="750" w:leftChars="257" w:hanging="210" w:hangingChars="100"/>
        <w:rPr>
          <w:rFonts w:hint="eastAsia" w:ascii="宋体" w:hAnsi="宋体"/>
          <w:szCs w:val="21"/>
          <w:highlight w:val="none"/>
        </w:rPr>
      </w:pPr>
      <w:r>
        <w:rPr>
          <w:rFonts w:hint="eastAsia" w:ascii="宋体" w:hAnsi="宋体"/>
          <w:szCs w:val="21"/>
          <w:highlight w:val="none"/>
        </w:rPr>
        <w:t>（4）我方于</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日签署本文件，</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（经销商名称）</w:t>
      </w:r>
      <w:r>
        <w:rPr>
          <w:rFonts w:ascii="宋体" w:hAnsi="宋体"/>
          <w:szCs w:val="21"/>
          <w:highlight w:val="none"/>
          <w:u w:val="single"/>
        </w:rPr>
        <w:t xml:space="preserve">   </w:t>
      </w:r>
      <w:r>
        <w:rPr>
          <w:rFonts w:hint="eastAsia" w:ascii="宋体" w:hAnsi="宋体"/>
          <w:szCs w:val="21"/>
          <w:highlight w:val="none"/>
        </w:rPr>
        <w:t>于</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日接受此件，以此为证。</w:t>
      </w:r>
    </w:p>
    <w:p w14:paraId="18CE6EB7">
      <w:pPr>
        <w:tabs>
          <w:tab w:val="left" w:pos="5580"/>
        </w:tabs>
        <w:spacing w:line="360" w:lineRule="auto"/>
        <w:ind w:left="1080" w:leftChars="257" w:hanging="540"/>
        <w:rPr>
          <w:rFonts w:hint="eastAsia" w:ascii="宋体" w:hAnsi="宋体"/>
          <w:szCs w:val="21"/>
          <w:highlight w:val="none"/>
        </w:rPr>
      </w:pPr>
    </w:p>
    <w:p w14:paraId="7EA9A6E0">
      <w:pPr>
        <w:tabs>
          <w:tab w:val="left" w:pos="5580"/>
        </w:tabs>
        <w:spacing w:line="360" w:lineRule="auto"/>
        <w:ind w:left="1080" w:leftChars="257" w:hanging="540"/>
        <w:rPr>
          <w:rFonts w:hint="eastAsia" w:ascii="宋体" w:hAnsi="宋体"/>
          <w:szCs w:val="21"/>
          <w:highlight w:val="none"/>
        </w:rPr>
      </w:pPr>
    </w:p>
    <w:p w14:paraId="73BBDF6F">
      <w:pPr>
        <w:tabs>
          <w:tab w:val="left" w:pos="5580"/>
        </w:tabs>
        <w:spacing w:line="360" w:lineRule="auto"/>
        <w:ind w:left="1080" w:leftChars="257" w:hanging="540"/>
        <w:rPr>
          <w:rFonts w:hint="eastAsia" w:ascii="宋体" w:hAnsi="宋体"/>
          <w:szCs w:val="21"/>
          <w:highlight w:val="none"/>
        </w:rPr>
      </w:pPr>
    </w:p>
    <w:p w14:paraId="61F7E407">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生产厂商名称：（盖章）</w:t>
      </w:r>
      <w:r>
        <w:rPr>
          <w:rFonts w:hint="eastAsia" w:ascii="宋体" w:hAnsi="宋体"/>
          <w:szCs w:val="21"/>
          <w:highlight w:val="none"/>
          <w:u w:val="single"/>
        </w:rPr>
        <w:t xml:space="preserve">                           </w:t>
      </w:r>
    </w:p>
    <w:p w14:paraId="714A549D">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签字人职务和部门：</w:t>
      </w:r>
      <w:r>
        <w:rPr>
          <w:rFonts w:hint="eastAsia" w:ascii="宋体" w:hAnsi="宋体"/>
          <w:szCs w:val="21"/>
          <w:highlight w:val="none"/>
          <w:u w:val="single"/>
        </w:rPr>
        <w:t xml:space="preserve">                            </w:t>
      </w:r>
    </w:p>
    <w:p w14:paraId="7C32C303">
      <w:pPr>
        <w:tabs>
          <w:tab w:val="left" w:pos="5580"/>
        </w:tabs>
        <w:spacing w:line="360" w:lineRule="auto"/>
        <w:ind w:left="1080" w:leftChars="257" w:hanging="540"/>
        <w:rPr>
          <w:rFonts w:hint="eastAsia" w:ascii="宋体" w:hAnsi="宋体"/>
          <w:szCs w:val="21"/>
          <w:highlight w:val="none"/>
          <w:u w:val="single"/>
        </w:rPr>
      </w:pPr>
      <w:r>
        <w:rPr>
          <w:rFonts w:hint="eastAsia" w:ascii="宋体" w:hAnsi="宋体"/>
          <w:szCs w:val="21"/>
          <w:highlight w:val="none"/>
        </w:rPr>
        <w:t>签字人姓名：</w:t>
      </w:r>
      <w:r>
        <w:rPr>
          <w:rFonts w:hint="eastAsia" w:ascii="宋体" w:hAnsi="宋体"/>
          <w:szCs w:val="21"/>
          <w:highlight w:val="none"/>
          <w:u w:val="single"/>
        </w:rPr>
        <w:t xml:space="preserve">                                  </w:t>
      </w:r>
    </w:p>
    <w:p w14:paraId="2083F01A">
      <w:pPr>
        <w:tabs>
          <w:tab w:val="left" w:pos="5580"/>
        </w:tabs>
        <w:spacing w:line="360" w:lineRule="auto"/>
        <w:ind w:left="1080" w:leftChars="257" w:hanging="540"/>
        <w:rPr>
          <w:rFonts w:hint="eastAsia" w:ascii="宋体" w:hAnsi="宋体"/>
          <w:szCs w:val="21"/>
          <w:highlight w:val="none"/>
          <w:u w:val="single"/>
        </w:rPr>
      </w:pPr>
    </w:p>
    <w:p w14:paraId="468EF8DA">
      <w:pPr>
        <w:keepNext w:val="0"/>
        <w:keepLines w:val="0"/>
        <w:pageBreakBefore w:val="0"/>
        <w:widowControl/>
        <w:numPr>
          <w:ilvl w:val="0"/>
          <w:numId w:val="0"/>
        </w:numPr>
        <w:kinsoku/>
        <w:wordWrap/>
        <w:overflowPunct/>
        <w:topLinePunct w:val="0"/>
        <w:bidi w:val="0"/>
        <w:adjustRightInd/>
        <w:snapToGrid/>
        <w:spacing w:line="360" w:lineRule="auto"/>
        <w:ind w:leftChars="200"/>
        <w:jc w:val="left"/>
        <w:textAlignment w:val="auto"/>
        <w:outlineLvl w:val="9"/>
        <w:rPr>
          <w:rFonts w:hint="eastAsia" w:ascii="宋体" w:hAnsi="宋体" w:cs="宋体"/>
          <w:b/>
          <w:bCs/>
          <w:szCs w:val="21"/>
          <w:highlight w:val="none"/>
        </w:rPr>
      </w:pPr>
      <w:r>
        <w:rPr>
          <w:rFonts w:hint="eastAsia"/>
          <w:b/>
          <w:bCs/>
          <w:color w:val="FF0000"/>
          <w:highlight w:val="none"/>
          <w:lang w:val="en-US" w:eastAsia="zh-CN"/>
        </w:rPr>
        <w:t>注：代理商投标适用，或</w:t>
      </w:r>
      <w:r>
        <w:rPr>
          <w:rFonts w:hint="eastAsia" w:ascii="宋体" w:hAnsi="宋体" w:cs="宋体"/>
          <w:b/>
          <w:bCs/>
          <w:color w:val="FF0000"/>
          <w:szCs w:val="21"/>
          <w:highlight w:val="none"/>
        </w:rPr>
        <w:t>提供所投产品</w:t>
      </w:r>
      <w:r>
        <w:rPr>
          <w:rFonts w:hint="eastAsia" w:ascii="宋体" w:hAnsi="宋体" w:cs="Arial"/>
          <w:b/>
          <w:bCs/>
          <w:color w:val="FF0000"/>
          <w:szCs w:val="21"/>
          <w:highlight w:val="none"/>
        </w:rPr>
        <w:t>生产商</w:t>
      </w:r>
      <w:r>
        <w:rPr>
          <w:rFonts w:hint="eastAsia" w:ascii="宋体" w:hAnsi="宋体" w:cs="宋体"/>
          <w:b/>
          <w:bCs/>
          <w:color w:val="FF0000"/>
          <w:szCs w:val="21"/>
          <w:highlight w:val="none"/>
        </w:rPr>
        <w:t>出具的合法且在有效期内的授权书</w:t>
      </w:r>
      <w:r>
        <w:rPr>
          <w:rFonts w:hint="eastAsia" w:ascii="宋体" w:hAnsi="宋体" w:cs="宋体"/>
          <w:b/>
          <w:bCs/>
          <w:color w:val="FF0000"/>
          <w:szCs w:val="21"/>
          <w:highlight w:val="none"/>
          <w:lang w:eastAsia="zh-CN"/>
        </w:rPr>
        <w:t>，</w:t>
      </w:r>
      <w:r>
        <w:rPr>
          <w:rFonts w:hint="eastAsia" w:ascii="宋体" w:hAnsi="宋体" w:cs="宋体"/>
          <w:b/>
          <w:bCs/>
          <w:color w:val="FF0000"/>
          <w:szCs w:val="21"/>
          <w:highlight w:val="none"/>
          <w:lang w:val="en-US" w:eastAsia="zh-CN"/>
        </w:rPr>
        <w:t>生产厂家投标不适用</w:t>
      </w:r>
      <w:r>
        <w:rPr>
          <w:rFonts w:hint="eastAsia" w:ascii="宋体" w:hAnsi="宋体" w:cs="宋体"/>
          <w:b/>
          <w:bCs/>
          <w:color w:val="FF0000"/>
          <w:szCs w:val="21"/>
          <w:highlight w:val="none"/>
        </w:rPr>
        <w:t>；</w:t>
      </w:r>
    </w:p>
    <w:p w14:paraId="33852881">
      <w:pPr>
        <w:tabs>
          <w:tab w:val="left" w:pos="853"/>
        </w:tabs>
        <w:bidi w:val="0"/>
        <w:jc w:val="left"/>
        <w:rPr>
          <w:rFonts w:hint="default"/>
          <w:highlight w:val="none"/>
          <w:lang w:val="en-US" w:eastAsia="zh-CN"/>
        </w:rPr>
      </w:pPr>
    </w:p>
    <w:bookmarkEnd w:id="381"/>
    <w:bookmarkEnd w:id="382"/>
    <w:bookmarkEnd w:id="383"/>
    <w:bookmarkEnd w:id="384"/>
    <w:bookmarkEnd w:id="385"/>
    <w:bookmarkEnd w:id="386"/>
    <w:bookmarkEnd w:id="387"/>
    <w:bookmarkEnd w:id="388"/>
    <w:bookmarkEnd w:id="389"/>
    <w:bookmarkEnd w:id="390"/>
    <w:bookmarkEnd w:id="391"/>
    <w:bookmarkEnd w:id="392"/>
    <w:bookmarkEnd w:id="393"/>
    <w:p w14:paraId="67366A1F">
      <w:pPr>
        <w:spacing w:line="360" w:lineRule="auto"/>
        <w:jc w:val="center"/>
        <w:rPr>
          <w:rFonts w:hint="eastAsia" w:ascii="宋体" w:hAnsi="宋体"/>
          <w:b/>
          <w:szCs w:val="21"/>
          <w:highlight w:val="none"/>
        </w:rPr>
      </w:pPr>
    </w:p>
    <w:p w14:paraId="6A325450">
      <w:pPr>
        <w:spacing w:line="360" w:lineRule="auto"/>
        <w:jc w:val="center"/>
        <w:rPr>
          <w:rFonts w:hint="eastAsia" w:ascii="宋体" w:hAnsi="宋体"/>
          <w:b/>
          <w:szCs w:val="21"/>
          <w:highlight w:val="none"/>
        </w:rPr>
      </w:pPr>
    </w:p>
    <w:p w14:paraId="38E4EA03">
      <w:pPr>
        <w:spacing w:line="360" w:lineRule="auto"/>
        <w:jc w:val="center"/>
        <w:rPr>
          <w:rFonts w:hint="eastAsia" w:ascii="宋体" w:hAnsi="宋体"/>
          <w:b/>
          <w:szCs w:val="21"/>
          <w:highlight w:val="none"/>
        </w:rPr>
      </w:pPr>
    </w:p>
    <w:p w14:paraId="297E2FF1">
      <w:pPr>
        <w:spacing w:line="360" w:lineRule="auto"/>
        <w:jc w:val="center"/>
        <w:rPr>
          <w:rFonts w:hint="eastAsia" w:ascii="宋体" w:hAnsi="宋体"/>
          <w:b/>
          <w:szCs w:val="21"/>
          <w:highlight w:val="none"/>
        </w:rPr>
      </w:pPr>
    </w:p>
    <w:p w14:paraId="68156F76">
      <w:pPr>
        <w:spacing w:line="360" w:lineRule="auto"/>
        <w:jc w:val="center"/>
        <w:rPr>
          <w:rFonts w:hint="eastAsia" w:ascii="宋体" w:hAnsi="宋体"/>
          <w:b/>
          <w:szCs w:val="21"/>
          <w:highlight w:val="none"/>
        </w:rPr>
      </w:pPr>
    </w:p>
    <w:p w14:paraId="519CE28E">
      <w:pPr>
        <w:spacing w:line="360" w:lineRule="auto"/>
        <w:jc w:val="center"/>
        <w:rPr>
          <w:rFonts w:hint="eastAsia" w:ascii="宋体" w:hAnsi="宋体"/>
          <w:b/>
          <w:szCs w:val="21"/>
          <w:highlight w:val="none"/>
        </w:rPr>
      </w:pPr>
    </w:p>
    <w:p w14:paraId="3EA07653">
      <w:pPr>
        <w:spacing w:line="360" w:lineRule="auto"/>
        <w:jc w:val="center"/>
        <w:rPr>
          <w:rFonts w:hint="eastAsia" w:ascii="宋体" w:hAnsi="宋体"/>
          <w:b/>
          <w:szCs w:val="21"/>
          <w:highlight w:val="none"/>
        </w:rPr>
      </w:pPr>
    </w:p>
    <w:p w14:paraId="0BE3016F">
      <w:pPr>
        <w:spacing w:line="360" w:lineRule="auto"/>
        <w:jc w:val="center"/>
        <w:rPr>
          <w:rFonts w:hint="eastAsia" w:ascii="宋体" w:hAnsi="宋体"/>
          <w:b/>
          <w:szCs w:val="21"/>
          <w:highlight w:val="none"/>
        </w:rPr>
      </w:pPr>
    </w:p>
    <w:p w14:paraId="76732D26">
      <w:pPr>
        <w:spacing w:line="360" w:lineRule="auto"/>
        <w:jc w:val="center"/>
        <w:rPr>
          <w:rFonts w:hint="eastAsia" w:ascii="宋体" w:hAnsi="宋体"/>
          <w:b/>
          <w:szCs w:val="21"/>
          <w:highlight w:val="none"/>
        </w:rPr>
      </w:pPr>
    </w:p>
    <w:p w14:paraId="77DE4A98">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ascii="宋体" w:hAnsi="宋体" w:eastAsia="宋体" w:cs="Times New Roman"/>
          <w:b/>
          <w:szCs w:val="21"/>
          <w:highlight w:val="none"/>
          <w:lang w:val="en-US" w:eastAsia="zh-CN"/>
        </w:rPr>
      </w:pPr>
      <w:bookmarkStart w:id="395" w:name="_Toc8383"/>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5-4</w:t>
      </w:r>
      <w:r>
        <w:rPr>
          <w:rFonts w:hint="eastAsia" w:ascii="宋体" w:hAnsi="宋体" w:eastAsia="宋体" w:cs="Times New Roman"/>
          <w:b/>
          <w:szCs w:val="21"/>
          <w:highlight w:val="none"/>
        </w:rPr>
        <w:t xml:space="preserve">    </w:t>
      </w:r>
      <w:r>
        <w:rPr>
          <w:rFonts w:hint="eastAsia" w:ascii="宋体" w:hAnsi="宋体" w:eastAsia="宋体" w:cs="Times New Roman"/>
          <w:b/>
          <w:szCs w:val="21"/>
          <w:highlight w:val="none"/>
          <w:lang w:val="en-US" w:eastAsia="zh-CN"/>
        </w:rPr>
        <w:t>财务情况</w:t>
      </w:r>
      <w:bookmarkEnd w:id="395"/>
    </w:p>
    <w:p w14:paraId="533D5FAC">
      <w:pPr>
        <w:pStyle w:val="25"/>
        <w:tabs>
          <w:tab w:val="left" w:pos="5580"/>
        </w:tabs>
        <w:spacing w:line="360" w:lineRule="auto"/>
        <w:ind w:left="1080" w:leftChars="257" w:hanging="540"/>
        <w:jc w:val="center"/>
        <w:rPr>
          <w:rFonts w:hint="eastAsia" w:hAnsi="宋体"/>
          <w:b/>
          <w:szCs w:val="21"/>
          <w:highlight w:val="none"/>
        </w:rPr>
      </w:pPr>
    </w:p>
    <w:p w14:paraId="162BDEEA">
      <w:pPr>
        <w:pStyle w:val="25"/>
        <w:tabs>
          <w:tab w:val="left" w:pos="5580"/>
        </w:tabs>
        <w:spacing w:line="360" w:lineRule="auto"/>
        <w:ind w:left="540"/>
        <w:rPr>
          <w:rFonts w:hint="eastAsia" w:hAnsi="宋体"/>
          <w:b/>
          <w:szCs w:val="21"/>
          <w:highlight w:val="none"/>
        </w:rPr>
      </w:pPr>
    </w:p>
    <w:p w14:paraId="22AF2437">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hAnsi="宋体"/>
          <w:szCs w:val="21"/>
          <w:highlight w:val="none"/>
        </w:rPr>
        <w:t>说明：</w:t>
      </w:r>
      <w:r>
        <w:rPr>
          <w:rFonts w:hint="eastAsia" w:ascii="宋体" w:hAnsi="宋体"/>
          <w:szCs w:val="21"/>
          <w:highlight w:val="none"/>
        </w:rPr>
        <w:t>会计师事务所出具的</w:t>
      </w:r>
      <w:r>
        <w:rPr>
          <w:rFonts w:hint="eastAsia" w:ascii="宋体" w:hAnsi="宋体"/>
          <w:szCs w:val="21"/>
          <w:highlight w:val="none"/>
          <w:lang w:val="en-US" w:eastAsia="zh-CN"/>
        </w:rPr>
        <w:t>投标人</w:t>
      </w:r>
      <w:r>
        <w:rPr>
          <w:rFonts w:hint="eastAsia" w:ascii="宋体" w:hAnsi="宋体"/>
          <w:szCs w:val="21"/>
          <w:highlight w:val="none"/>
        </w:rPr>
        <w:t>上一年度财务审计报告复印件</w:t>
      </w:r>
    </w:p>
    <w:p w14:paraId="6C1463E4">
      <w:pPr>
        <w:pStyle w:val="20"/>
        <w:rPr>
          <w:rFonts w:hint="eastAsia"/>
        </w:rPr>
      </w:pPr>
    </w:p>
    <w:p w14:paraId="0C22734E">
      <w:pPr>
        <w:tabs>
          <w:tab w:val="left" w:pos="5580"/>
        </w:tabs>
        <w:spacing w:line="360" w:lineRule="auto"/>
        <w:ind w:left="1080" w:leftChars="257" w:hanging="540"/>
        <w:rPr>
          <w:rFonts w:hint="eastAsia" w:ascii="宋体" w:hAnsi="宋体"/>
          <w:szCs w:val="21"/>
          <w:highlight w:val="none"/>
        </w:rPr>
      </w:pPr>
    </w:p>
    <w:p w14:paraId="61F52EF2">
      <w:pPr>
        <w:pStyle w:val="25"/>
        <w:tabs>
          <w:tab w:val="left" w:pos="5580"/>
        </w:tabs>
        <w:spacing w:line="360" w:lineRule="auto"/>
        <w:ind w:left="1080" w:leftChars="257" w:hanging="540"/>
        <w:rPr>
          <w:rFonts w:hint="eastAsia" w:hAnsi="宋体"/>
          <w:szCs w:val="21"/>
          <w:highlight w:val="none"/>
        </w:rPr>
      </w:pPr>
    </w:p>
    <w:p w14:paraId="0D75BBBF">
      <w:pPr>
        <w:spacing w:line="360" w:lineRule="auto"/>
        <w:jc w:val="center"/>
        <w:rPr>
          <w:rFonts w:hint="eastAsia" w:ascii="宋体" w:hAnsi="宋体"/>
          <w:szCs w:val="21"/>
          <w:highlight w:val="none"/>
        </w:rPr>
      </w:pPr>
      <w:r>
        <w:rPr>
          <w:rFonts w:ascii="宋体" w:hAnsi="宋体"/>
          <w:szCs w:val="21"/>
          <w:highlight w:val="none"/>
        </w:rPr>
        <w:br w:type="page"/>
      </w:r>
    </w:p>
    <w:p w14:paraId="00CFACE6">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bookmarkStart w:id="396" w:name="_Toc17911"/>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5-5</w:t>
      </w:r>
      <w:r>
        <w:rPr>
          <w:rFonts w:hint="eastAsia" w:ascii="宋体" w:hAnsi="宋体" w:eastAsia="宋体" w:cs="Times New Roman"/>
          <w:b/>
          <w:szCs w:val="21"/>
          <w:highlight w:val="none"/>
        </w:rPr>
        <w:t xml:space="preserve">    依法缴纳税收和社会保障资金的记录</w:t>
      </w:r>
      <w:bookmarkEnd w:id="396"/>
    </w:p>
    <w:p w14:paraId="5967AD26">
      <w:pPr>
        <w:pStyle w:val="25"/>
        <w:tabs>
          <w:tab w:val="left" w:pos="5580"/>
        </w:tabs>
        <w:spacing w:line="360" w:lineRule="auto"/>
        <w:ind w:left="1080" w:leftChars="257" w:hanging="540"/>
        <w:rPr>
          <w:rFonts w:hint="eastAsia" w:hAnsi="宋体"/>
          <w:szCs w:val="21"/>
          <w:highlight w:val="none"/>
        </w:rPr>
      </w:pPr>
    </w:p>
    <w:p w14:paraId="109530D3">
      <w:pPr>
        <w:pStyle w:val="25"/>
        <w:tabs>
          <w:tab w:val="left" w:pos="5580"/>
        </w:tabs>
        <w:spacing w:line="360" w:lineRule="auto"/>
        <w:ind w:left="1080" w:leftChars="257" w:hanging="540"/>
        <w:rPr>
          <w:rFonts w:hint="eastAsia" w:hAnsi="宋体"/>
          <w:szCs w:val="21"/>
          <w:highlight w:val="none"/>
        </w:rPr>
      </w:pPr>
    </w:p>
    <w:p w14:paraId="4CFFF0D4">
      <w:pPr>
        <w:pStyle w:val="25"/>
        <w:tabs>
          <w:tab w:val="left" w:pos="5580"/>
        </w:tabs>
        <w:spacing w:line="360" w:lineRule="auto"/>
        <w:ind w:left="1080" w:leftChars="257" w:hanging="540"/>
        <w:rPr>
          <w:rFonts w:hint="eastAsia" w:hAnsi="宋体"/>
          <w:szCs w:val="21"/>
          <w:highlight w:val="none"/>
        </w:rPr>
      </w:pPr>
    </w:p>
    <w:p w14:paraId="5B820614">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说明：</w:t>
      </w:r>
      <w:r>
        <w:rPr>
          <w:rFonts w:hint="eastAsia" w:ascii="宋体" w:hAnsi="宋体"/>
          <w:szCs w:val="21"/>
          <w:highlight w:val="none"/>
        </w:rPr>
        <w:t>投标截止日前6个月内任意连续3个月缴纳税收和社会保障资金的证明材料</w:t>
      </w:r>
    </w:p>
    <w:p w14:paraId="74193CAF">
      <w:pPr>
        <w:spacing w:line="360" w:lineRule="auto"/>
        <w:jc w:val="center"/>
        <w:rPr>
          <w:rFonts w:hint="eastAsia" w:ascii="宋体" w:hAnsi="宋体"/>
          <w:b/>
          <w:szCs w:val="21"/>
          <w:highlight w:val="none"/>
        </w:rPr>
      </w:pPr>
    </w:p>
    <w:p w14:paraId="29257DE3">
      <w:pPr>
        <w:spacing w:line="360" w:lineRule="auto"/>
        <w:jc w:val="center"/>
        <w:rPr>
          <w:rFonts w:hint="eastAsia" w:ascii="宋体" w:hAnsi="宋体"/>
          <w:b/>
          <w:szCs w:val="21"/>
          <w:highlight w:val="none"/>
        </w:rPr>
      </w:pPr>
    </w:p>
    <w:p w14:paraId="1DCB7185">
      <w:pPr>
        <w:spacing w:line="360" w:lineRule="auto"/>
        <w:jc w:val="center"/>
        <w:rPr>
          <w:rFonts w:hint="eastAsia" w:ascii="宋体" w:hAnsi="宋体"/>
          <w:b/>
          <w:szCs w:val="21"/>
          <w:highlight w:val="none"/>
        </w:rPr>
      </w:pPr>
    </w:p>
    <w:p w14:paraId="4E9E4066">
      <w:pPr>
        <w:spacing w:line="360" w:lineRule="auto"/>
        <w:jc w:val="center"/>
        <w:rPr>
          <w:rFonts w:hint="eastAsia" w:ascii="宋体" w:hAnsi="宋体"/>
          <w:b/>
          <w:szCs w:val="21"/>
          <w:highlight w:val="none"/>
        </w:rPr>
      </w:pPr>
    </w:p>
    <w:p w14:paraId="3CC1C576">
      <w:pPr>
        <w:spacing w:line="360" w:lineRule="auto"/>
        <w:jc w:val="center"/>
        <w:rPr>
          <w:rFonts w:hint="eastAsia" w:ascii="宋体" w:hAnsi="宋体"/>
          <w:b/>
          <w:szCs w:val="21"/>
          <w:highlight w:val="none"/>
        </w:rPr>
      </w:pPr>
    </w:p>
    <w:p w14:paraId="1DCEDDBA">
      <w:pPr>
        <w:spacing w:line="360" w:lineRule="auto"/>
        <w:jc w:val="center"/>
        <w:rPr>
          <w:rFonts w:hint="eastAsia" w:ascii="宋体" w:hAnsi="宋体"/>
          <w:b/>
          <w:szCs w:val="21"/>
          <w:highlight w:val="none"/>
        </w:rPr>
      </w:pPr>
    </w:p>
    <w:p w14:paraId="67FDE1FD">
      <w:pPr>
        <w:spacing w:line="360" w:lineRule="auto"/>
        <w:jc w:val="center"/>
        <w:rPr>
          <w:rFonts w:hint="eastAsia" w:ascii="宋体" w:hAnsi="宋体"/>
          <w:b/>
          <w:szCs w:val="21"/>
          <w:highlight w:val="none"/>
        </w:rPr>
      </w:pPr>
    </w:p>
    <w:p w14:paraId="3CC205F5">
      <w:pPr>
        <w:spacing w:line="360" w:lineRule="auto"/>
        <w:jc w:val="center"/>
        <w:rPr>
          <w:rFonts w:hint="eastAsia" w:ascii="宋体" w:hAnsi="宋体"/>
          <w:b/>
          <w:szCs w:val="21"/>
          <w:highlight w:val="none"/>
        </w:rPr>
      </w:pPr>
    </w:p>
    <w:p w14:paraId="33E09832">
      <w:pPr>
        <w:spacing w:line="360" w:lineRule="auto"/>
        <w:jc w:val="center"/>
        <w:rPr>
          <w:rFonts w:hint="eastAsia" w:ascii="宋体" w:hAnsi="宋体"/>
          <w:b/>
          <w:szCs w:val="21"/>
          <w:highlight w:val="none"/>
        </w:rPr>
      </w:pPr>
    </w:p>
    <w:p w14:paraId="40687E60">
      <w:pPr>
        <w:spacing w:line="360" w:lineRule="auto"/>
        <w:jc w:val="center"/>
        <w:rPr>
          <w:rFonts w:hint="eastAsia" w:ascii="宋体" w:hAnsi="宋体"/>
          <w:b/>
          <w:szCs w:val="21"/>
          <w:highlight w:val="none"/>
        </w:rPr>
      </w:pPr>
    </w:p>
    <w:p w14:paraId="5474FB17">
      <w:pPr>
        <w:spacing w:line="360" w:lineRule="auto"/>
        <w:jc w:val="center"/>
        <w:rPr>
          <w:rFonts w:hint="eastAsia" w:ascii="宋体" w:hAnsi="宋体"/>
          <w:b/>
          <w:szCs w:val="21"/>
          <w:highlight w:val="none"/>
        </w:rPr>
      </w:pPr>
    </w:p>
    <w:p w14:paraId="2B7CE7C1">
      <w:pPr>
        <w:spacing w:line="360" w:lineRule="auto"/>
        <w:jc w:val="center"/>
        <w:rPr>
          <w:rFonts w:hint="eastAsia" w:ascii="宋体" w:hAnsi="宋体"/>
          <w:b/>
          <w:szCs w:val="21"/>
          <w:highlight w:val="none"/>
        </w:rPr>
      </w:pPr>
    </w:p>
    <w:p w14:paraId="67B17F75">
      <w:pPr>
        <w:spacing w:line="360" w:lineRule="auto"/>
        <w:jc w:val="center"/>
        <w:rPr>
          <w:rFonts w:hint="eastAsia" w:ascii="宋体" w:hAnsi="宋体"/>
          <w:b/>
          <w:szCs w:val="21"/>
          <w:highlight w:val="none"/>
        </w:rPr>
      </w:pPr>
    </w:p>
    <w:p w14:paraId="72A73660">
      <w:pPr>
        <w:spacing w:line="360" w:lineRule="auto"/>
        <w:jc w:val="center"/>
        <w:rPr>
          <w:rFonts w:hint="eastAsia" w:ascii="宋体" w:hAnsi="宋体"/>
          <w:b/>
          <w:szCs w:val="21"/>
          <w:highlight w:val="none"/>
        </w:rPr>
      </w:pPr>
    </w:p>
    <w:p w14:paraId="1B168E81">
      <w:pPr>
        <w:spacing w:line="360" w:lineRule="auto"/>
        <w:jc w:val="center"/>
        <w:rPr>
          <w:rFonts w:hint="eastAsia" w:ascii="宋体" w:hAnsi="宋体"/>
          <w:b/>
          <w:szCs w:val="21"/>
          <w:highlight w:val="none"/>
        </w:rPr>
      </w:pPr>
    </w:p>
    <w:p w14:paraId="22DD57C2">
      <w:pPr>
        <w:spacing w:line="360" w:lineRule="auto"/>
        <w:jc w:val="center"/>
        <w:rPr>
          <w:rFonts w:hint="eastAsia" w:ascii="宋体" w:hAnsi="宋体"/>
          <w:b/>
          <w:szCs w:val="21"/>
          <w:highlight w:val="none"/>
        </w:rPr>
      </w:pPr>
    </w:p>
    <w:p w14:paraId="17ACE3C5">
      <w:pPr>
        <w:spacing w:line="360" w:lineRule="auto"/>
        <w:jc w:val="center"/>
        <w:rPr>
          <w:rFonts w:hint="eastAsia" w:ascii="宋体" w:hAnsi="宋体"/>
          <w:b/>
          <w:szCs w:val="21"/>
          <w:highlight w:val="none"/>
        </w:rPr>
      </w:pPr>
    </w:p>
    <w:p w14:paraId="64339820">
      <w:pPr>
        <w:spacing w:line="360" w:lineRule="auto"/>
        <w:jc w:val="center"/>
        <w:rPr>
          <w:rFonts w:hint="eastAsia" w:ascii="宋体" w:hAnsi="宋体"/>
          <w:b/>
          <w:szCs w:val="21"/>
          <w:highlight w:val="none"/>
        </w:rPr>
      </w:pPr>
    </w:p>
    <w:p w14:paraId="279BD505">
      <w:pPr>
        <w:spacing w:line="360" w:lineRule="auto"/>
        <w:jc w:val="center"/>
        <w:rPr>
          <w:rFonts w:hint="eastAsia" w:ascii="宋体" w:hAnsi="宋体"/>
          <w:b/>
          <w:szCs w:val="21"/>
          <w:highlight w:val="none"/>
        </w:rPr>
      </w:pPr>
    </w:p>
    <w:p w14:paraId="75679DD9">
      <w:pPr>
        <w:spacing w:line="360" w:lineRule="auto"/>
        <w:jc w:val="center"/>
        <w:rPr>
          <w:rFonts w:hint="eastAsia" w:ascii="宋体" w:hAnsi="宋体"/>
          <w:b/>
          <w:szCs w:val="21"/>
          <w:highlight w:val="none"/>
        </w:rPr>
      </w:pPr>
    </w:p>
    <w:p w14:paraId="6B5328FA">
      <w:pPr>
        <w:spacing w:line="360" w:lineRule="auto"/>
        <w:jc w:val="center"/>
        <w:rPr>
          <w:rFonts w:hint="eastAsia" w:ascii="宋体" w:hAnsi="宋体"/>
          <w:b/>
          <w:szCs w:val="21"/>
          <w:highlight w:val="none"/>
        </w:rPr>
      </w:pPr>
    </w:p>
    <w:p w14:paraId="74FAB5A1">
      <w:pPr>
        <w:spacing w:line="360" w:lineRule="auto"/>
        <w:jc w:val="center"/>
        <w:rPr>
          <w:rFonts w:hint="eastAsia" w:ascii="宋体" w:hAnsi="宋体"/>
          <w:b/>
          <w:szCs w:val="21"/>
          <w:highlight w:val="none"/>
        </w:rPr>
      </w:pPr>
    </w:p>
    <w:p w14:paraId="6AA129EF">
      <w:pPr>
        <w:spacing w:line="360" w:lineRule="auto"/>
        <w:jc w:val="center"/>
        <w:rPr>
          <w:rFonts w:hint="eastAsia" w:ascii="宋体" w:hAnsi="宋体"/>
          <w:b/>
          <w:szCs w:val="21"/>
          <w:highlight w:val="none"/>
        </w:rPr>
      </w:pPr>
    </w:p>
    <w:p w14:paraId="6EDFEE98">
      <w:pPr>
        <w:spacing w:line="360" w:lineRule="auto"/>
        <w:jc w:val="center"/>
        <w:rPr>
          <w:rFonts w:hint="eastAsia" w:ascii="宋体" w:hAnsi="宋体"/>
          <w:b/>
          <w:szCs w:val="21"/>
          <w:highlight w:val="none"/>
        </w:rPr>
      </w:pPr>
    </w:p>
    <w:p w14:paraId="734A442A">
      <w:pPr>
        <w:spacing w:line="360" w:lineRule="auto"/>
        <w:jc w:val="center"/>
        <w:rPr>
          <w:rFonts w:hint="eastAsia" w:ascii="宋体" w:hAnsi="宋体"/>
          <w:b/>
          <w:szCs w:val="21"/>
          <w:highlight w:val="none"/>
        </w:rPr>
      </w:pPr>
    </w:p>
    <w:p w14:paraId="00E92004">
      <w:pPr>
        <w:spacing w:line="360" w:lineRule="auto"/>
        <w:jc w:val="center"/>
        <w:rPr>
          <w:rFonts w:hint="eastAsia" w:ascii="宋体" w:hAnsi="宋体"/>
          <w:b/>
          <w:szCs w:val="21"/>
          <w:highlight w:val="none"/>
        </w:rPr>
      </w:pPr>
    </w:p>
    <w:p w14:paraId="4A02DC19">
      <w:pPr>
        <w:spacing w:line="360" w:lineRule="auto"/>
        <w:jc w:val="center"/>
        <w:rPr>
          <w:rFonts w:hint="eastAsia" w:ascii="宋体" w:hAnsi="宋体"/>
          <w:b/>
          <w:szCs w:val="21"/>
          <w:highlight w:val="none"/>
        </w:rPr>
      </w:pPr>
    </w:p>
    <w:p w14:paraId="20F727A0">
      <w:pPr>
        <w:spacing w:line="360" w:lineRule="auto"/>
        <w:jc w:val="center"/>
        <w:rPr>
          <w:rFonts w:hint="eastAsia" w:ascii="宋体" w:hAnsi="宋体"/>
          <w:b/>
          <w:szCs w:val="21"/>
          <w:highlight w:val="none"/>
        </w:rPr>
      </w:pPr>
    </w:p>
    <w:p w14:paraId="6F0E6A9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b/>
          <w:szCs w:val="21"/>
          <w:highlight w:val="none"/>
        </w:rPr>
      </w:pPr>
    </w:p>
    <w:p w14:paraId="04D9B3B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szCs w:val="21"/>
          <w:highlight w:val="none"/>
        </w:rPr>
      </w:pPr>
      <w:bookmarkStart w:id="397" w:name="_Toc21274"/>
      <w:r>
        <w:rPr>
          <w:rFonts w:hint="eastAsia" w:ascii="宋体" w:hAnsi="宋体"/>
          <w:b/>
          <w:szCs w:val="21"/>
          <w:highlight w:val="none"/>
        </w:rPr>
        <w:t>附件</w:t>
      </w:r>
      <w:r>
        <w:rPr>
          <w:rFonts w:hint="eastAsia" w:ascii="宋体" w:hAnsi="宋体"/>
          <w:b/>
          <w:szCs w:val="21"/>
          <w:highlight w:val="none"/>
          <w:lang w:val="en-US" w:eastAsia="zh-CN"/>
        </w:rPr>
        <w:t>5-6</w:t>
      </w:r>
      <w:r>
        <w:rPr>
          <w:rFonts w:hint="eastAsia" w:ascii="宋体" w:hAnsi="宋体"/>
          <w:b/>
          <w:szCs w:val="21"/>
          <w:highlight w:val="none"/>
        </w:rPr>
        <w:t xml:space="preserve">    参加招标采购活动前3年内在经营活动中没有重大违法记录的书面声明</w:t>
      </w:r>
      <w:bookmarkEnd w:id="397"/>
    </w:p>
    <w:p w14:paraId="3619F191">
      <w:pPr>
        <w:pStyle w:val="25"/>
        <w:tabs>
          <w:tab w:val="left" w:pos="5580"/>
        </w:tabs>
        <w:spacing w:line="360" w:lineRule="auto"/>
        <w:ind w:left="1080" w:leftChars="257" w:hanging="540"/>
        <w:jc w:val="center"/>
        <w:rPr>
          <w:rFonts w:hint="eastAsia" w:hAnsi="宋体"/>
          <w:b/>
          <w:szCs w:val="21"/>
          <w:highlight w:val="none"/>
        </w:rPr>
      </w:pPr>
    </w:p>
    <w:p w14:paraId="46840346">
      <w:pPr>
        <w:pStyle w:val="25"/>
        <w:tabs>
          <w:tab w:val="left" w:pos="5580"/>
        </w:tabs>
        <w:spacing w:line="360" w:lineRule="auto"/>
        <w:ind w:left="1080" w:leftChars="257" w:hanging="540"/>
        <w:rPr>
          <w:rFonts w:hint="eastAsia" w:hAnsi="宋体"/>
          <w:szCs w:val="21"/>
          <w:highlight w:val="none"/>
        </w:rPr>
      </w:pPr>
    </w:p>
    <w:p w14:paraId="1F797BF3">
      <w:pPr>
        <w:pStyle w:val="25"/>
        <w:tabs>
          <w:tab w:val="left" w:pos="5580"/>
        </w:tabs>
        <w:spacing w:line="360" w:lineRule="auto"/>
        <w:ind w:left="1080" w:leftChars="257" w:hanging="540"/>
        <w:rPr>
          <w:rFonts w:hint="eastAsia" w:hAnsi="宋体"/>
          <w:szCs w:val="21"/>
          <w:highlight w:val="none"/>
        </w:rPr>
      </w:pPr>
    </w:p>
    <w:p w14:paraId="126B9157">
      <w:pPr>
        <w:tabs>
          <w:tab w:val="left" w:pos="5580"/>
        </w:tabs>
        <w:spacing w:line="360" w:lineRule="auto"/>
        <w:rPr>
          <w:rFonts w:ascii="宋体" w:hAnsi="宋体"/>
          <w:szCs w:val="21"/>
          <w:highlight w:val="none"/>
          <w:u w:val="single"/>
        </w:rPr>
      </w:pPr>
      <w:r>
        <w:rPr>
          <w:rFonts w:hint="eastAsia" w:ascii="宋体" w:hAnsi="宋体"/>
          <w:szCs w:val="21"/>
          <w:highlight w:val="none"/>
        </w:rPr>
        <w:t>致：</w:t>
      </w:r>
      <w:r>
        <w:rPr>
          <w:rFonts w:hint="eastAsia" w:ascii="宋体" w:hAnsi="宋体"/>
          <w:szCs w:val="21"/>
          <w:highlight w:val="none"/>
          <w:lang w:val="zh-CN"/>
        </w:rPr>
        <w:t>国药集团扬州威克生物工程有限公司</w:t>
      </w:r>
    </w:p>
    <w:p w14:paraId="17E2ED24">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我公司在参加本项目</w:t>
      </w:r>
      <w:r>
        <w:rPr>
          <w:rFonts w:ascii="宋体" w:hAnsi="宋体"/>
          <w:szCs w:val="21"/>
          <w:highlight w:val="none"/>
        </w:rPr>
        <w:t>活动中，做出如下</w:t>
      </w:r>
      <w:r>
        <w:rPr>
          <w:rFonts w:hint="eastAsia" w:ascii="宋体" w:hAnsi="宋体"/>
          <w:szCs w:val="21"/>
          <w:highlight w:val="none"/>
        </w:rPr>
        <w:t>承诺</w:t>
      </w:r>
      <w:r>
        <w:rPr>
          <w:rFonts w:ascii="宋体" w:hAnsi="宋体"/>
          <w:szCs w:val="21"/>
          <w:highlight w:val="none"/>
        </w:rPr>
        <w:t>：</w:t>
      </w:r>
    </w:p>
    <w:p w14:paraId="26BC0087">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一、</w:t>
      </w:r>
      <w:r>
        <w:rPr>
          <w:rFonts w:ascii="宋体" w:hAnsi="宋体"/>
          <w:szCs w:val="21"/>
          <w:highlight w:val="none"/>
        </w:rPr>
        <w:t>参加本</w:t>
      </w:r>
      <w:r>
        <w:rPr>
          <w:rFonts w:hint="eastAsia" w:ascii="宋体" w:hAnsi="宋体"/>
          <w:szCs w:val="21"/>
          <w:highlight w:val="none"/>
        </w:rPr>
        <w:t>项目</w:t>
      </w:r>
      <w:r>
        <w:rPr>
          <w:rFonts w:ascii="宋体" w:hAnsi="宋体"/>
          <w:szCs w:val="21"/>
          <w:highlight w:val="none"/>
        </w:rPr>
        <w:t>活动前三年内，在经营活动中没有重</w:t>
      </w:r>
      <w:r>
        <w:rPr>
          <w:rFonts w:hint="eastAsia" w:ascii="宋体" w:hAnsi="宋体"/>
          <w:szCs w:val="21"/>
          <w:highlight w:val="none"/>
        </w:rPr>
        <w:t>大违法记录</w:t>
      </w:r>
      <w:r>
        <w:rPr>
          <w:rFonts w:ascii="宋体" w:hAnsi="宋体"/>
          <w:szCs w:val="21"/>
          <w:highlight w:val="none"/>
        </w:rPr>
        <w:t>。</w:t>
      </w:r>
    </w:p>
    <w:p w14:paraId="52C08748">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二</w:t>
      </w:r>
      <w:r>
        <w:rPr>
          <w:rFonts w:ascii="宋体" w:hAnsi="宋体"/>
          <w:szCs w:val="21"/>
          <w:highlight w:val="none"/>
        </w:rPr>
        <w:t>、</w:t>
      </w:r>
      <w:r>
        <w:rPr>
          <w:rFonts w:hint="eastAsia" w:ascii="宋体" w:hAnsi="宋体"/>
          <w:szCs w:val="21"/>
          <w:highlight w:val="none"/>
        </w:rPr>
        <w:t>提供的</w:t>
      </w:r>
      <w:r>
        <w:rPr>
          <w:rFonts w:ascii="宋体" w:hAnsi="宋体"/>
          <w:szCs w:val="21"/>
          <w:highlight w:val="none"/>
        </w:rPr>
        <w:t>相关文件均真实、有效。</w:t>
      </w:r>
    </w:p>
    <w:p w14:paraId="48C28B6D">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若查实</w:t>
      </w:r>
      <w:r>
        <w:rPr>
          <w:rFonts w:ascii="宋体" w:hAnsi="宋体"/>
          <w:szCs w:val="21"/>
          <w:highlight w:val="none"/>
        </w:rPr>
        <w:t>我公司提供的资料及上述承诺不属实，则</w:t>
      </w:r>
      <w:r>
        <w:rPr>
          <w:rFonts w:hint="eastAsia" w:ascii="宋体" w:hAnsi="宋体"/>
          <w:szCs w:val="21"/>
          <w:highlight w:val="none"/>
        </w:rPr>
        <w:t>招标</w:t>
      </w:r>
      <w:r>
        <w:rPr>
          <w:rFonts w:ascii="宋体" w:hAnsi="宋体"/>
          <w:szCs w:val="21"/>
          <w:highlight w:val="none"/>
        </w:rPr>
        <w:t>人有权取消我公司</w:t>
      </w:r>
      <w:r>
        <w:rPr>
          <w:rFonts w:hint="eastAsia" w:ascii="宋体" w:hAnsi="宋体"/>
          <w:szCs w:val="21"/>
          <w:highlight w:val="none"/>
        </w:rPr>
        <w:t>的</w:t>
      </w:r>
      <w:r>
        <w:rPr>
          <w:rFonts w:ascii="宋体" w:hAnsi="宋体"/>
          <w:szCs w:val="21"/>
          <w:highlight w:val="none"/>
        </w:rPr>
        <w:t>投标及中标资格，且我公司将无条件承担由此给本次</w:t>
      </w:r>
      <w:r>
        <w:rPr>
          <w:rFonts w:hint="eastAsia" w:ascii="宋体" w:hAnsi="宋体"/>
          <w:szCs w:val="21"/>
          <w:highlight w:val="none"/>
        </w:rPr>
        <w:t>招标</w:t>
      </w:r>
      <w:r>
        <w:rPr>
          <w:rFonts w:ascii="宋体" w:hAnsi="宋体"/>
          <w:szCs w:val="21"/>
          <w:highlight w:val="none"/>
        </w:rPr>
        <w:t>采购活动带来的一切经济损失。</w:t>
      </w:r>
    </w:p>
    <w:p w14:paraId="00157060">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特此</w:t>
      </w:r>
      <w:r>
        <w:rPr>
          <w:rFonts w:ascii="宋体" w:hAnsi="宋体"/>
          <w:szCs w:val="21"/>
          <w:highlight w:val="none"/>
        </w:rPr>
        <w:t>声明。</w:t>
      </w:r>
    </w:p>
    <w:p w14:paraId="3C713C0E">
      <w:pPr>
        <w:widowControl/>
        <w:spacing w:line="360" w:lineRule="auto"/>
        <w:ind w:firstLine="420" w:firstLineChars="200"/>
        <w:jc w:val="left"/>
        <w:rPr>
          <w:rFonts w:ascii="宋体" w:hAnsi="宋体"/>
          <w:szCs w:val="21"/>
          <w:highlight w:val="none"/>
        </w:rPr>
      </w:pPr>
    </w:p>
    <w:p w14:paraId="54F2B6C1">
      <w:pPr>
        <w:widowControl/>
        <w:spacing w:line="360" w:lineRule="auto"/>
        <w:ind w:firstLine="420" w:firstLineChars="200"/>
        <w:jc w:val="left"/>
        <w:rPr>
          <w:rFonts w:ascii="宋体" w:hAnsi="宋体"/>
          <w:szCs w:val="21"/>
          <w:highlight w:val="none"/>
        </w:rPr>
      </w:pPr>
    </w:p>
    <w:p w14:paraId="4E32670D">
      <w:pPr>
        <w:widowControl/>
        <w:spacing w:line="360" w:lineRule="auto"/>
        <w:ind w:firstLine="420" w:firstLineChars="200"/>
        <w:jc w:val="left"/>
        <w:rPr>
          <w:rFonts w:hint="eastAsia" w:ascii="宋体" w:hAnsi="宋体"/>
          <w:szCs w:val="21"/>
          <w:highlight w:val="none"/>
        </w:rPr>
      </w:pPr>
    </w:p>
    <w:p w14:paraId="6CA68C0D">
      <w:pPr>
        <w:spacing w:line="360" w:lineRule="auto"/>
        <w:ind w:firstLine="3360" w:firstLineChars="1600"/>
        <w:jc w:val="right"/>
        <w:rPr>
          <w:rFonts w:ascii="宋体" w:hAnsi="宋体"/>
          <w:highlight w:val="none"/>
          <w:u w:val="single"/>
        </w:rPr>
      </w:pPr>
      <w:r>
        <w:rPr>
          <w:rFonts w:hint="eastAsia" w:ascii="宋体" w:hAnsi="宋体"/>
          <w:highlight w:val="none"/>
        </w:rPr>
        <w:t>投标人代表签字：</w:t>
      </w:r>
      <w:r>
        <w:rPr>
          <w:rFonts w:ascii="宋体" w:hAnsi="宋体"/>
          <w:highlight w:val="none"/>
        </w:rPr>
        <w:t>________________________</w:t>
      </w:r>
    </w:p>
    <w:p w14:paraId="1669BAAE">
      <w:pPr>
        <w:spacing w:line="360" w:lineRule="auto"/>
        <w:ind w:firstLine="1600"/>
        <w:jc w:val="right"/>
        <w:rPr>
          <w:rFonts w:ascii="宋体" w:hAnsi="宋体"/>
          <w:highlight w:val="none"/>
        </w:rPr>
      </w:pPr>
      <w:r>
        <w:rPr>
          <w:rFonts w:hint="eastAsia" w:ascii="宋体" w:hAnsi="宋体"/>
          <w:highlight w:val="none"/>
        </w:rPr>
        <w:t>投标人名称（盖章）：</w:t>
      </w:r>
      <w:r>
        <w:rPr>
          <w:rFonts w:ascii="宋体" w:hAnsi="宋体"/>
          <w:highlight w:val="none"/>
        </w:rPr>
        <w:t>____________________</w:t>
      </w:r>
    </w:p>
    <w:p w14:paraId="4478508A">
      <w:pPr>
        <w:spacing w:line="360" w:lineRule="auto"/>
        <w:ind w:firstLine="1600"/>
        <w:jc w:val="right"/>
        <w:rPr>
          <w:rFonts w:ascii="宋体" w:hAnsi="宋体"/>
          <w:szCs w:val="21"/>
          <w:highlight w:val="none"/>
        </w:rPr>
      </w:pPr>
      <w:r>
        <w:rPr>
          <w:rFonts w:hint="eastAsia" w:ascii="宋体" w:hAnsi="宋体"/>
          <w:highlight w:val="none"/>
        </w:rPr>
        <w:t>日期：</w:t>
      </w:r>
      <w:r>
        <w:rPr>
          <w:rFonts w:ascii="宋体" w:hAnsi="宋体"/>
          <w:highlight w:val="none"/>
        </w:rPr>
        <w:t>__________________________________</w:t>
      </w:r>
    </w:p>
    <w:p w14:paraId="2106D25D">
      <w:pPr>
        <w:spacing w:line="360" w:lineRule="auto"/>
        <w:ind w:left="1080" w:leftChars="257" w:hanging="540"/>
        <w:jc w:val="center"/>
        <w:rPr>
          <w:rFonts w:hint="eastAsia" w:ascii="宋体" w:hAnsi="宋体"/>
          <w:szCs w:val="21"/>
          <w:highlight w:val="none"/>
        </w:rPr>
      </w:pPr>
      <w:r>
        <w:rPr>
          <w:rFonts w:ascii="宋体" w:hAnsi="宋体"/>
          <w:szCs w:val="21"/>
          <w:highlight w:val="none"/>
        </w:rPr>
        <w:br w:type="page"/>
      </w:r>
    </w:p>
    <w:p w14:paraId="1D196E7B">
      <w:pPr>
        <w:pStyle w:val="5"/>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hint="eastAsia" w:ascii="宋体" w:hAnsi="宋体"/>
          <w:sz w:val="21"/>
          <w:szCs w:val="21"/>
          <w:highlight w:val="none"/>
        </w:rPr>
      </w:pPr>
      <w:bookmarkStart w:id="398" w:name="_Toc77685377"/>
      <w:bookmarkStart w:id="399" w:name="_Toc25918"/>
      <w:r>
        <w:rPr>
          <w:rFonts w:hint="eastAsia" w:ascii="宋体" w:hAnsi="宋体"/>
          <w:sz w:val="21"/>
          <w:szCs w:val="21"/>
          <w:highlight w:val="none"/>
        </w:rPr>
        <w:t>附件</w:t>
      </w:r>
      <w:r>
        <w:rPr>
          <w:rFonts w:hint="eastAsia" w:ascii="宋体" w:hAnsi="宋体"/>
          <w:sz w:val="21"/>
          <w:szCs w:val="21"/>
          <w:highlight w:val="none"/>
          <w:lang w:val="en-US" w:eastAsia="zh-CN"/>
        </w:rPr>
        <w:t xml:space="preserve">5-7 </w:t>
      </w:r>
      <w:r>
        <w:rPr>
          <w:rFonts w:hint="eastAsia" w:ascii="宋体" w:hAnsi="宋体"/>
          <w:sz w:val="21"/>
          <w:szCs w:val="21"/>
          <w:highlight w:val="none"/>
        </w:rPr>
        <w:t>近三年类似项目业绩一览表</w:t>
      </w:r>
      <w:bookmarkEnd w:id="398"/>
      <w:bookmarkEnd w:id="399"/>
    </w:p>
    <w:p w14:paraId="1B40374F">
      <w:pPr>
        <w:pStyle w:val="20"/>
        <w:rPr>
          <w:rFonts w:hint="eastAsia"/>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鸡血清</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w:t>
      </w:r>
      <w:r>
        <w:rPr>
          <w:rFonts w:hint="eastAsia" w:hAnsi="宋体"/>
          <w:szCs w:val="21"/>
          <w:highlight w:val="none"/>
          <w:u w:val="single"/>
          <w:lang w:val="en-US" w:eastAsia="zh-CN"/>
        </w:rPr>
        <w:t>26</w:t>
      </w:r>
      <w:r>
        <w:rPr>
          <w:rFonts w:hint="eastAsia" w:hAnsi="宋体"/>
          <w:szCs w:val="21"/>
          <w:highlight w:val="none"/>
          <w:u w:val="single"/>
          <w:lang w:eastAsia="zh-CN"/>
        </w:rPr>
        <w:t>-0</w:t>
      </w:r>
      <w:r>
        <w:rPr>
          <w:rFonts w:hint="eastAsia" w:hAnsi="宋体"/>
          <w:szCs w:val="21"/>
          <w:highlight w:val="none"/>
          <w:u w:val="single"/>
          <w:lang w:val="en-US" w:eastAsia="zh-CN"/>
        </w:rPr>
        <w:t>25</w:t>
      </w:r>
      <w:r>
        <w:rPr>
          <w:rFonts w:hint="eastAsia" w:hAnsi="宋体"/>
          <w:szCs w:val="21"/>
          <w:highlight w:val="none"/>
          <w:u w:val="single"/>
        </w:rPr>
        <w:t xml:space="preserve">                  </w:t>
      </w:r>
    </w:p>
    <w:tbl>
      <w:tblPr>
        <w:tblStyle w:val="5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4"/>
        <w:gridCol w:w="2035"/>
        <w:gridCol w:w="3043"/>
        <w:gridCol w:w="1641"/>
        <w:gridCol w:w="1827"/>
      </w:tblGrid>
      <w:tr w14:paraId="29C9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581" w:type="pct"/>
            <w:noWrap w:val="0"/>
            <w:vAlign w:val="center"/>
          </w:tcPr>
          <w:p w14:paraId="28C4345D">
            <w:pPr>
              <w:spacing w:line="360" w:lineRule="auto"/>
              <w:jc w:val="center"/>
              <w:rPr>
                <w:rFonts w:hint="eastAsia" w:ascii="宋体" w:hAnsi="宋体"/>
                <w:b/>
                <w:bCs/>
                <w:szCs w:val="21"/>
                <w:highlight w:val="none"/>
              </w:rPr>
            </w:pPr>
            <w:r>
              <w:rPr>
                <w:rFonts w:hint="eastAsia" w:ascii="宋体" w:hAnsi="宋体"/>
                <w:b/>
                <w:bCs/>
                <w:szCs w:val="21"/>
                <w:highlight w:val="none"/>
              </w:rPr>
              <w:t>序号</w:t>
            </w:r>
          </w:p>
        </w:tc>
        <w:tc>
          <w:tcPr>
            <w:tcW w:w="1052" w:type="pct"/>
            <w:noWrap w:val="0"/>
            <w:vAlign w:val="center"/>
          </w:tcPr>
          <w:p w14:paraId="21162C2D">
            <w:pPr>
              <w:spacing w:line="360" w:lineRule="auto"/>
              <w:jc w:val="center"/>
              <w:rPr>
                <w:rFonts w:hint="eastAsia" w:ascii="宋体" w:hAnsi="宋体"/>
                <w:b/>
                <w:bCs/>
                <w:szCs w:val="21"/>
                <w:highlight w:val="none"/>
              </w:rPr>
            </w:pPr>
            <w:r>
              <w:rPr>
                <w:rFonts w:hint="eastAsia" w:ascii="宋体" w:hAnsi="宋体"/>
                <w:b/>
                <w:bCs/>
                <w:szCs w:val="21"/>
                <w:highlight w:val="none"/>
              </w:rPr>
              <w:t>委托人名称</w:t>
            </w:r>
          </w:p>
        </w:tc>
        <w:tc>
          <w:tcPr>
            <w:tcW w:w="1573" w:type="pct"/>
            <w:noWrap w:val="0"/>
            <w:vAlign w:val="center"/>
          </w:tcPr>
          <w:p w14:paraId="77A7BEC7">
            <w:pPr>
              <w:spacing w:line="360" w:lineRule="auto"/>
              <w:jc w:val="center"/>
              <w:rPr>
                <w:rFonts w:hint="eastAsia" w:ascii="宋体" w:hAnsi="宋体"/>
                <w:b/>
                <w:bCs/>
                <w:szCs w:val="21"/>
                <w:highlight w:val="none"/>
              </w:rPr>
            </w:pPr>
            <w:r>
              <w:rPr>
                <w:rFonts w:hint="eastAsia" w:ascii="宋体" w:hAnsi="宋体"/>
                <w:b/>
                <w:bCs/>
                <w:szCs w:val="21"/>
                <w:highlight w:val="none"/>
              </w:rPr>
              <w:t>项目（产品）名称</w:t>
            </w:r>
          </w:p>
        </w:tc>
        <w:tc>
          <w:tcPr>
            <w:tcW w:w="848" w:type="pct"/>
            <w:noWrap w:val="0"/>
            <w:vAlign w:val="center"/>
          </w:tcPr>
          <w:p w14:paraId="3FD90079">
            <w:pPr>
              <w:spacing w:line="360" w:lineRule="auto"/>
              <w:jc w:val="center"/>
              <w:rPr>
                <w:rFonts w:hint="eastAsia" w:ascii="宋体" w:hAnsi="宋体"/>
                <w:b/>
                <w:bCs/>
                <w:szCs w:val="21"/>
                <w:highlight w:val="none"/>
              </w:rPr>
            </w:pPr>
            <w:r>
              <w:rPr>
                <w:rFonts w:hint="eastAsia" w:ascii="宋体" w:hAnsi="宋体"/>
                <w:b/>
                <w:bCs/>
                <w:szCs w:val="21"/>
                <w:highlight w:val="none"/>
              </w:rPr>
              <w:t>签约时间</w:t>
            </w:r>
          </w:p>
        </w:tc>
        <w:tc>
          <w:tcPr>
            <w:tcW w:w="944" w:type="pct"/>
            <w:noWrap w:val="0"/>
            <w:vAlign w:val="center"/>
          </w:tcPr>
          <w:p w14:paraId="267C582B">
            <w:pPr>
              <w:spacing w:line="360" w:lineRule="auto"/>
              <w:jc w:val="center"/>
              <w:rPr>
                <w:rFonts w:hint="eastAsia" w:ascii="宋体" w:hAnsi="宋体"/>
                <w:b/>
                <w:bCs/>
                <w:szCs w:val="21"/>
                <w:highlight w:val="none"/>
              </w:rPr>
            </w:pPr>
            <w:r>
              <w:rPr>
                <w:rFonts w:hint="eastAsia" w:ascii="宋体" w:hAnsi="宋体"/>
                <w:b/>
                <w:bCs/>
                <w:szCs w:val="21"/>
                <w:highlight w:val="none"/>
              </w:rPr>
              <w:t>联系人及联系方式</w:t>
            </w:r>
          </w:p>
        </w:tc>
      </w:tr>
      <w:tr w14:paraId="0DB67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2019A80C">
            <w:pPr>
              <w:spacing w:line="360" w:lineRule="auto"/>
              <w:jc w:val="center"/>
              <w:rPr>
                <w:rFonts w:hint="eastAsia" w:ascii="宋体" w:hAnsi="宋体"/>
                <w:szCs w:val="21"/>
                <w:highlight w:val="none"/>
              </w:rPr>
            </w:pPr>
            <w:r>
              <w:rPr>
                <w:rFonts w:hint="eastAsia" w:ascii="宋体" w:hAnsi="宋体"/>
                <w:szCs w:val="21"/>
                <w:highlight w:val="none"/>
              </w:rPr>
              <w:t>1</w:t>
            </w:r>
          </w:p>
        </w:tc>
        <w:tc>
          <w:tcPr>
            <w:tcW w:w="1052" w:type="pct"/>
            <w:noWrap w:val="0"/>
            <w:vAlign w:val="center"/>
          </w:tcPr>
          <w:p w14:paraId="3DD00756">
            <w:pPr>
              <w:spacing w:line="360" w:lineRule="auto"/>
              <w:jc w:val="center"/>
              <w:rPr>
                <w:rFonts w:hint="eastAsia" w:ascii="宋体" w:hAnsi="宋体"/>
                <w:b/>
                <w:bCs/>
                <w:szCs w:val="21"/>
                <w:highlight w:val="none"/>
              </w:rPr>
            </w:pPr>
          </w:p>
        </w:tc>
        <w:tc>
          <w:tcPr>
            <w:tcW w:w="1573" w:type="pct"/>
            <w:noWrap w:val="0"/>
            <w:vAlign w:val="center"/>
          </w:tcPr>
          <w:p w14:paraId="5ED2E06B">
            <w:pPr>
              <w:spacing w:line="360" w:lineRule="auto"/>
              <w:jc w:val="center"/>
              <w:rPr>
                <w:rFonts w:hint="eastAsia" w:ascii="宋体" w:hAnsi="宋体"/>
                <w:b/>
                <w:bCs/>
                <w:szCs w:val="21"/>
                <w:highlight w:val="none"/>
              </w:rPr>
            </w:pPr>
          </w:p>
        </w:tc>
        <w:tc>
          <w:tcPr>
            <w:tcW w:w="848" w:type="pct"/>
            <w:noWrap w:val="0"/>
            <w:vAlign w:val="center"/>
          </w:tcPr>
          <w:p w14:paraId="5893F8A9">
            <w:pPr>
              <w:spacing w:line="360" w:lineRule="auto"/>
              <w:jc w:val="center"/>
              <w:rPr>
                <w:rFonts w:hint="eastAsia" w:ascii="宋体" w:hAnsi="宋体"/>
                <w:b/>
                <w:bCs/>
                <w:szCs w:val="21"/>
                <w:highlight w:val="none"/>
              </w:rPr>
            </w:pPr>
          </w:p>
        </w:tc>
        <w:tc>
          <w:tcPr>
            <w:tcW w:w="944" w:type="pct"/>
            <w:noWrap w:val="0"/>
            <w:vAlign w:val="center"/>
          </w:tcPr>
          <w:p w14:paraId="347F344A">
            <w:pPr>
              <w:spacing w:line="360" w:lineRule="auto"/>
              <w:jc w:val="center"/>
              <w:rPr>
                <w:rFonts w:hint="eastAsia" w:ascii="宋体" w:hAnsi="宋体"/>
                <w:b/>
                <w:bCs/>
                <w:szCs w:val="21"/>
                <w:highlight w:val="none"/>
              </w:rPr>
            </w:pPr>
          </w:p>
        </w:tc>
      </w:tr>
      <w:tr w14:paraId="3165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81" w:type="pct"/>
            <w:noWrap w:val="0"/>
            <w:vAlign w:val="center"/>
          </w:tcPr>
          <w:p w14:paraId="1C37CBEE">
            <w:pPr>
              <w:spacing w:line="360" w:lineRule="auto"/>
              <w:jc w:val="center"/>
              <w:rPr>
                <w:rFonts w:hint="eastAsia" w:ascii="宋体" w:hAnsi="宋体"/>
                <w:szCs w:val="21"/>
                <w:highlight w:val="none"/>
              </w:rPr>
            </w:pPr>
            <w:r>
              <w:rPr>
                <w:rFonts w:hint="eastAsia" w:ascii="宋体" w:hAnsi="宋体"/>
                <w:szCs w:val="21"/>
                <w:highlight w:val="none"/>
              </w:rPr>
              <w:t>2</w:t>
            </w:r>
          </w:p>
        </w:tc>
        <w:tc>
          <w:tcPr>
            <w:tcW w:w="1052" w:type="pct"/>
            <w:noWrap w:val="0"/>
            <w:vAlign w:val="center"/>
          </w:tcPr>
          <w:p w14:paraId="01ADB2C0">
            <w:pPr>
              <w:spacing w:line="360" w:lineRule="auto"/>
              <w:jc w:val="center"/>
              <w:rPr>
                <w:rFonts w:hint="eastAsia" w:ascii="宋体" w:hAnsi="宋体"/>
                <w:b/>
                <w:bCs/>
                <w:szCs w:val="21"/>
                <w:highlight w:val="none"/>
              </w:rPr>
            </w:pPr>
          </w:p>
        </w:tc>
        <w:tc>
          <w:tcPr>
            <w:tcW w:w="1573" w:type="pct"/>
            <w:noWrap w:val="0"/>
            <w:vAlign w:val="center"/>
          </w:tcPr>
          <w:p w14:paraId="48AEA9AB">
            <w:pPr>
              <w:spacing w:line="360" w:lineRule="auto"/>
              <w:jc w:val="center"/>
              <w:rPr>
                <w:rFonts w:hint="eastAsia" w:ascii="宋体" w:hAnsi="宋体"/>
                <w:b/>
                <w:bCs/>
                <w:szCs w:val="21"/>
                <w:highlight w:val="none"/>
              </w:rPr>
            </w:pPr>
          </w:p>
        </w:tc>
        <w:tc>
          <w:tcPr>
            <w:tcW w:w="848" w:type="pct"/>
            <w:noWrap w:val="0"/>
            <w:vAlign w:val="center"/>
          </w:tcPr>
          <w:p w14:paraId="3CE92328">
            <w:pPr>
              <w:spacing w:line="360" w:lineRule="auto"/>
              <w:jc w:val="center"/>
              <w:rPr>
                <w:rFonts w:hint="eastAsia" w:ascii="宋体" w:hAnsi="宋体"/>
                <w:b/>
                <w:bCs/>
                <w:szCs w:val="21"/>
                <w:highlight w:val="none"/>
              </w:rPr>
            </w:pPr>
          </w:p>
        </w:tc>
        <w:tc>
          <w:tcPr>
            <w:tcW w:w="944" w:type="pct"/>
            <w:noWrap w:val="0"/>
            <w:vAlign w:val="center"/>
          </w:tcPr>
          <w:p w14:paraId="57465001">
            <w:pPr>
              <w:spacing w:line="360" w:lineRule="auto"/>
              <w:jc w:val="center"/>
              <w:rPr>
                <w:rFonts w:hint="eastAsia" w:ascii="宋体" w:hAnsi="宋体"/>
                <w:b/>
                <w:bCs/>
                <w:szCs w:val="21"/>
                <w:highlight w:val="none"/>
              </w:rPr>
            </w:pPr>
          </w:p>
        </w:tc>
      </w:tr>
      <w:tr w14:paraId="7E65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76C27DB9">
            <w:pPr>
              <w:spacing w:line="360" w:lineRule="auto"/>
              <w:jc w:val="center"/>
              <w:rPr>
                <w:rFonts w:hint="eastAsia" w:ascii="宋体" w:hAnsi="宋体"/>
                <w:szCs w:val="21"/>
                <w:highlight w:val="none"/>
              </w:rPr>
            </w:pPr>
            <w:r>
              <w:rPr>
                <w:rFonts w:hint="eastAsia" w:ascii="宋体" w:hAnsi="宋体"/>
                <w:szCs w:val="21"/>
                <w:highlight w:val="none"/>
              </w:rPr>
              <w:t>3</w:t>
            </w:r>
          </w:p>
        </w:tc>
        <w:tc>
          <w:tcPr>
            <w:tcW w:w="1052" w:type="pct"/>
            <w:noWrap w:val="0"/>
            <w:vAlign w:val="center"/>
          </w:tcPr>
          <w:p w14:paraId="497BE17D">
            <w:pPr>
              <w:spacing w:line="360" w:lineRule="auto"/>
              <w:jc w:val="center"/>
              <w:rPr>
                <w:rFonts w:hint="eastAsia" w:ascii="宋体" w:hAnsi="宋体"/>
                <w:b/>
                <w:bCs/>
                <w:szCs w:val="21"/>
                <w:highlight w:val="none"/>
              </w:rPr>
            </w:pPr>
          </w:p>
        </w:tc>
        <w:tc>
          <w:tcPr>
            <w:tcW w:w="1573" w:type="pct"/>
            <w:noWrap w:val="0"/>
            <w:vAlign w:val="center"/>
          </w:tcPr>
          <w:p w14:paraId="2AEB3368">
            <w:pPr>
              <w:spacing w:line="360" w:lineRule="auto"/>
              <w:jc w:val="center"/>
              <w:rPr>
                <w:rFonts w:hint="eastAsia" w:ascii="宋体" w:hAnsi="宋体"/>
                <w:b/>
                <w:bCs/>
                <w:szCs w:val="21"/>
                <w:highlight w:val="none"/>
              </w:rPr>
            </w:pPr>
          </w:p>
        </w:tc>
        <w:tc>
          <w:tcPr>
            <w:tcW w:w="848" w:type="pct"/>
            <w:noWrap w:val="0"/>
            <w:vAlign w:val="center"/>
          </w:tcPr>
          <w:p w14:paraId="71F35EAB">
            <w:pPr>
              <w:spacing w:line="360" w:lineRule="auto"/>
              <w:jc w:val="center"/>
              <w:rPr>
                <w:rFonts w:hint="eastAsia" w:ascii="宋体" w:hAnsi="宋体"/>
                <w:b/>
                <w:bCs/>
                <w:szCs w:val="21"/>
                <w:highlight w:val="none"/>
              </w:rPr>
            </w:pPr>
          </w:p>
        </w:tc>
        <w:tc>
          <w:tcPr>
            <w:tcW w:w="944" w:type="pct"/>
            <w:noWrap w:val="0"/>
            <w:vAlign w:val="center"/>
          </w:tcPr>
          <w:p w14:paraId="4943BD5B">
            <w:pPr>
              <w:spacing w:line="360" w:lineRule="auto"/>
              <w:jc w:val="center"/>
              <w:rPr>
                <w:rFonts w:hint="eastAsia" w:ascii="宋体" w:hAnsi="宋体"/>
                <w:b/>
                <w:bCs/>
                <w:szCs w:val="21"/>
                <w:highlight w:val="none"/>
              </w:rPr>
            </w:pPr>
          </w:p>
        </w:tc>
      </w:tr>
      <w:tr w14:paraId="7B96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81" w:type="pct"/>
            <w:noWrap w:val="0"/>
            <w:vAlign w:val="center"/>
          </w:tcPr>
          <w:p w14:paraId="5CE4D149">
            <w:pPr>
              <w:spacing w:line="360" w:lineRule="auto"/>
              <w:jc w:val="center"/>
              <w:rPr>
                <w:rFonts w:hint="eastAsia" w:ascii="宋体" w:hAnsi="宋体"/>
                <w:szCs w:val="21"/>
                <w:highlight w:val="none"/>
              </w:rPr>
            </w:pPr>
            <w:r>
              <w:rPr>
                <w:rFonts w:hint="eastAsia" w:ascii="宋体" w:hAnsi="宋体"/>
                <w:szCs w:val="21"/>
                <w:highlight w:val="none"/>
              </w:rPr>
              <w:t>4</w:t>
            </w:r>
          </w:p>
        </w:tc>
        <w:tc>
          <w:tcPr>
            <w:tcW w:w="1052" w:type="pct"/>
            <w:noWrap w:val="0"/>
            <w:vAlign w:val="center"/>
          </w:tcPr>
          <w:p w14:paraId="700840DC">
            <w:pPr>
              <w:spacing w:line="360" w:lineRule="auto"/>
              <w:jc w:val="center"/>
              <w:rPr>
                <w:rFonts w:hint="eastAsia" w:ascii="宋体" w:hAnsi="宋体"/>
                <w:b/>
                <w:bCs/>
                <w:szCs w:val="21"/>
                <w:highlight w:val="none"/>
              </w:rPr>
            </w:pPr>
          </w:p>
        </w:tc>
        <w:tc>
          <w:tcPr>
            <w:tcW w:w="1573" w:type="pct"/>
            <w:noWrap w:val="0"/>
            <w:vAlign w:val="center"/>
          </w:tcPr>
          <w:p w14:paraId="0C724585">
            <w:pPr>
              <w:spacing w:line="360" w:lineRule="auto"/>
              <w:jc w:val="center"/>
              <w:rPr>
                <w:rFonts w:hint="eastAsia" w:ascii="宋体" w:hAnsi="宋体"/>
                <w:b/>
                <w:bCs/>
                <w:szCs w:val="21"/>
                <w:highlight w:val="none"/>
              </w:rPr>
            </w:pPr>
          </w:p>
        </w:tc>
        <w:tc>
          <w:tcPr>
            <w:tcW w:w="848" w:type="pct"/>
            <w:noWrap w:val="0"/>
            <w:vAlign w:val="center"/>
          </w:tcPr>
          <w:p w14:paraId="44006C3F">
            <w:pPr>
              <w:spacing w:line="360" w:lineRule="auto"/>
              <w:jc w:val="center"/>
              <w:rPr>
                <w:rFonts w:hint="eastAsia" w:ascii="宋体" w:hAnsi="宋体"/>
                <w:b/>
                <w:bCs/>
                <w:szCs w:val="21"/>
                <w:highlight w:val="none"/>
              </w:rPr>
            </w:pPr>
          </w:p>
        </w:tc>
        <w:tc>
          <w:tcPr>
            <w:tcW w:w="944" w:type="pct"/>
            <w:noWrap w:val="0"/>
            <w:vAlign w:val="center"/>
          </w:tcPr>
          <w:p w14:paraId="6FE62CD3">
            <w:pPr>
              <w:spacing w:line="360" w:lineRule="auto"/>
              <w:jc w:val="center"/>
              <w:rPr>
                <w:rFonts w:hint="eastAsia" w:ascii="宋体" w:hAnsi="宋体"/>
                <w:b/>
                <w:bCs/>
                <w:szCs w:val="21"/>
                <w:highlight w:val="none"/>
              </w:rPr>
            </w:pPr>
          </w:p>
        </w:tc>
      </w:tr>
      <w:tr w14:paraId="4CB6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30D51976">
            <w:pPr>
              <w:spacing w:line="360" w:lineRule="auto"/>
              <w:jc w:val="center"/>
              <w:rPr>
                <w:rFonts w:hint="eastAsia" w:ascii="宋体" w:hAnsi="宋体"/>
                <w:szCs w:val="21"/>
                <w:highlight w:val="none"/>
              </w:rPr>
            </w:pPr>
            <w:r>
              <w:rPr>
                <w:rFonts w:hint="eastAsia" w:ascii="宋体" w:hAnsi="宋体"/>
                <w:szCs w:val="21"/>
                <w:highlight w:val="none"/>
              </w:rPr>
              <w:t>5</w:t>
            </w:r>
          </w:p>
        </w:tc>
        <w:tc>
          <w:tcPr>
            <w:tcW w:w="1052" w:type="pct"/>
            <w:noWrap w:val="0"/>
            <w:vAlign w:val="center"/>
          </w:tcPr>
          <w:p w14:paraId="5119CAC7">
            <w:pPr>
              <w:spacing w:line="360" w:lineRule="auto"/>
              <w:jc w:val="center"/>
              <w:rPr>
                <w:rFonts w:hint="eastAsia" w:ascii="宋体" w:hAnsi="宋体"/>
                <w:b/>
                <w:bCs/>
                <w:szCs w:val="21"/>
                <w:highlight w:val="none"/>
              </w:rPr>
            </w:pPr>
          </w:p>
        </w:tc>
        <w:tc>
          <w:tcPr>
            <w:tcW w:w="1573" w:type="pct"/>
            <w:noWrap w:val="0"/>
            <w:vAlign w:val="center"/>
          </w:tcPr>
          <w:p w14:paraId="188E6B34">
            <w:pPr>
              <w:spacing w:line="360" w:lineRule="auto"/>
              <w:jc w:val="center"/>
              <w:rPr>
                <w:rFonts w:hint="eastAsia" w:ascii="宋体" w:hAnsi="宋体"/>
                <w:b/>
                <w:bCs/>
                <w:szCs w:val="21"/>
                <w:highlight w:val="none"/>
              </w:rPr>
            </w:pPr>
          </w:p>
        </w:tc>
        <w:tc>
          <w:tcPr>
            <w:tcW w:w="848" w:type="pct"/>
            <w:noWrap w:val="0"/>
            <w:vAlign w:val="center"/>
          </w:tcPr>
          <w:p w14:paraId="7B3653AE">
            <w:pPr>
              <w:spacing w:line="360" w:lineRule="auto"/>
              <w:jc w:val="center"/>
              <w:rPr>
                <w:rFonts w:hint="eastAsia" w:ascii="宋体" w:hAnsi="宋体"/>
                <w:b/>
                <w:bCs/>
                <w:szCs w:val="21"/>
                <w:highlight w:val="none"/>
              </w:rPr>
            </w:pPr>
          </w:p>
        </w:tc>
        <w:tc>
          <w:tcPr>
            <w:tcW w:w="944" w:type="pct"/>
            <w:noWrap w:val="0"/>
            <w:vAlign w:val="center"/>
          </w:tcPr>
          <w:p w14:paraId="7C9C57BC">
            <w:pPr>
              <w:spacing w:line="360" w:lineRule="auto"/>
              <w:jc w:val="center"/>
              <w:rPr>
                <w:rFonts w:hint="eastAsia" w:ascii="宋体" w:hAnsi="宋体"/>
                <w:b/>
                <w:bCs/>
                <w:szCs w:val="21"/>
                <w:highlight w:val="none"/>
              </w:rPr>
            </w:pPr>
          </w:p>
        </w:tc>
      </w:tr>
      <w:tr w14:paraId="0BF12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1" w:hRule="atLeast"/>
          <w:jc w:val="center"/>
        </w:trPr>
        <w:tc>
          <w:tcPr>
            <w:tcW w:w="581" w:type="pct"/>
            <w:noWrap w:val="0"/>
            <w:vAlign w:val="center"/>
          </w:tcPr>
          <w:p w14:paraId="6E56DD48">
            <w:pPr>
              <w:spacing w:line="360" w:lineRule="auto"/>
              <w:jc w:val="center"/>
              <w:rPr>
                <w:rFonts w:hint="eastAsia" w:ascii="宋体" w:hAnsi="宋体"/>
                <w:szCs w:val="21"/>
                <w:highlight w:val="none"/>
              </w:rPr>
            </w:pPr>
            <w:r>
              <w:rPr>
                <w:rFonts w:hint="eastAsia" w:ascii="宋体" w:hAnsi="宋体"/>
                <w:szCs w:val="21"/>
                <w:highlight w:val="none"/>
              </w:rPr>
              <w:t>6</w:t>
            </w:r>
          </w:p>
        </w:tc>
        <w:tc>
          <w:tcPr>
            <w:tcW w:w="1052" w:type="pct"/>
            <w:noWrap w:val="0"/>
            <w:vAlign w:val="center"/>
          </w:tcPr>
          <w:p w14:paraId="3F3E5EA0">
            <w:pPr>
              <w:spacing w:line="360" w:lineRule="auto"/>
              <w:jc w:val="center"/>
              <w:rPr>
                <w:rFonts w:hint="eastAsia" w:ascii="宋体" w:hAnsi="宋体"/>
                <w:b/>
                <w:bCs/>
                <w:szCs w:val="21"/>
                <w:highlight w:val="none"/>
              </w:rPr>
            </w:pPr>
          </w:p>
        </w:tc>
        <w:tc>
          <w:tcPr>
            <w:tcW w:w="1573" w:type="pct"/>
            <w:noWrap w:val="0"/>
            <w:vAlign w:val="center"/>
          </w:tcPr>
          <w:p w14:paraId="124DD6C2">
            <w:pPr>
              <w:spacing w:line="360" w:lineRule="auto"/>
              <w:jc w:val="center"/>
              <w:rPr>
                <w:rFonts w:hint="eastAsia" w:ascii="宋体" w:hAnsi="宋体"/>
                <w:b/>
                <w:bCs/>
                <w:szCs w:val="21"/>
                <w:highlight w:val="none"/>
              </w:rPr>
            </w:pPr>
          </w:p>
        </w:tc>
        <w:tc>
          <w:tcPr>
            <w:tcW w:w="848" w:type="pct"/>
            <w:noWrap w:val="0"/>
            <w:vAlign w:val="center"/>
          </w:tcPr>
          <w:p w14:paraId="6F804510">
            <w:pPr>
              <w:spacing w:line="360" w:lineRule="auto"/>
              <w:jc w:val="center"/>
              <w:rPr>
                <w:rFonts w:hint="eastAsia" w:ascii="宋体" w:hAnsi="宋体"/>
                <w:b/>
                <w:bCs/>
                <w:szCs w:val="21"/>
                <w:highlight w:val="none"/>
              </w:rPr>
            </w:pPr>
          </w:p>
        </w:tc>
        <w:tc>
          <w:tcPr>
            <w:tcW w:w="944" w:type="pct"/>
            <w:noWrap w:val="0"/>
            <w:vAlign w:val="center"/>
          </w:tcPr>
          <w:p w14:paraId="33D604A2">
            <w:pPr>
              <w:spacing w:line="360" w:lineRule="auto"/>
              <w:jc w:val="center"/>
              <w:rPr>
                <w:rFonts w:hint="eastAsia" w:ascii="宋体" w:hAnsi="宋体"/>
                <w:b/>
                <w:bCs/>
                <w:szCs w:val="21"/>
                <w:highlight w:val="none"/>
              </w:rPr>
            </w:pPr>
          </w:p>
        </w:tc>
      </w:tr>
      <w:tr w14:paraId="0E5E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70C81F3C">
            <w:pPr>
              <w:spacing w:line="360" w:lineRule="auto"/>
              <w:jc w:val="center"/>
              <w:rPr>
                <w:rFonts w:hint="eastAsia" w:ascii="宋体" w:hAnsi="宋体"/>
                <w:szCs w:val="21"/>
                <w:highlight w:val="none"/>
              </w:rPr>
            </w:pPr>
            <w:r>
              <w:rPr>
                <w:rFonts w:ascii="宋体" w:hAnsi="宋体"/>
                <w:szCs w:val="21"/>
                <w:highlight w:val="none"/>
              </w:rPr>
              <w:t>…</w:t>
            </w:r>
          </w:p>
        </w:tc>
        <w:tc>
          <w:tcPr>
            <w:tcW w:w="1052" w:type="pct"/>
            <w:noWrap w:val="0"/>
            <w:vAlign w:val="center"/>
          </w:tcPr>
          <w:p w14:paraId="37FA8EB4">
            <w:pPr>
              <w:spacing w:line="360" w:lineRule="auto"/>
              <w:jc w:val="center"/>
              <w:rPr>
                <w:rFonts w:hint="eastAsia" w:ascii="宋体" w:hAnsi="宋体"/>
                <w:b/>
                <w:bCs/>
                <w:szCs w:val="21"/>
                <w:highlight w:val="none"/>
              </w:rPr>
            </w:pPr>
          </w:p>
        </w:tc>
        <w:tc>
          <w:tcPr>
            <w:tcW w:w="1573" w:type="pct"/>
            <w:noWrap w:val="0"/>
            <w:vAlign w:val="center"/>
          </w:tcPr>
          <w:p w14:paraId="5312DB75">
            <w:pPr>
              <w:spacing w:line="360" w:lineRule="auto"/>
              <w:jc w:val="center"/>
              <w:rPr>
                <w:rFonts w:hint="eastAsia" w:ascii="宋体" w:hAnsi="宋体"/>
                <w:b/>
                <w:bCs/>
                <w:szCs w:val="21"/>
                <w:highlight w:val="none"/>
              </w:rPr>
            </w:pPr>
          </w:p>
        </w:tc>
        <w:tc>
          <w:tcPr>
            <w:tcW w:w="848" w:type="pct"/>
            <w:noWrap w:val="0"/>
            <w:vAlign w:val="center"/>
          </w:tcPr>
          <w:p w14:paraId="2C187063">
            <w:pPr>
              <w:spacing w:line="360" w:lineRule="auto"/>
              <w:jc w:val="center"/>
              <w:rPr>
                <w:rFonts w:hint="eastAsia" w:ascii="宋体" w:hAnsi="宋体"/>
                <w:b/>
                <w:bCs/>
                <w:szCs w:val="21"/>
                <w:highlight w:val="none"/>
              </w:rPr>
            </w:pPr>
          </w:p>
        </w:tc>
        <w:tc>
          <w:tcPr>
            <w:tcW w:w="944" w:type="pct"/>
            <w:noWrap w:val="0"/>
            <w:vAlign w:val="center"/>
          </w:tcPr>
          <w:p w14:paraId="7FA9D6C9">
            <w:pPr>
              <w:spacing w:line="360" w:lineRule="auto"/>
              <w:jc w:val="center"/>
              <w:rPr>
                <w:rFonts w:hint="eastAsia" w:ascii="宋体" w:hAnsi="宋体"/>
                <w:b/>
                <w:bCs/>
                <w:szCs w:val="21"/>
                <w:highlight w:val="none"/>
              </w:rPr>
            </w:pPr>
          </w:p>
        </w:tc>
      </w:tr>
    </w:tbl>
    <w:p w14:paraId="7C88830B">
      <w:pPr>
        <w:pStyle w:val="25"/>
        <w:tabs>
          <w:tab w:val="left" w:pos="5580"/>
        </w:tabs>
        <w:spacing w:before="240" w:beforeLines="100" w:line="360" w:lineRule="auto"/>
        <w:jc w:val="left"/>
        <w:rPr>
          <w:rFonts w:hAnsi="宋体"/>
          <w:b/>
          <w:bCs/>
          <w:szCs w:val="21"/>
          <w:highlight w:val="none"/>
        </w:rPr>
      </w:pPr>
      <w:r>
        <w:rPr>
          <w:rFonts w:hint="eastAsia" w:hAnsi="宋体"/>
          <w:b/>
          <w:bCs/>
          <w:szCs w:val="21"/>
          <w:highlight w:val="none"/>
        </w:rPr>
        <w:t>注：提供投标人近三年（投标截止之日前三年内）与本次采购货物的项目业绩，并提供合同复印件证明材料</w:t>
      </w:r>
      <w:r>
        <w:rPr>
          <w:rFonts w:hint="eastAsia" w:hAnsi="宋体"/>
          <w:b/>
          <w:bCs/>
          <w:szCs w:val="21"/>
          <w:highlight w:val="none"/>
          <w:lang w:eastAsia="zh-CN"/>
        </w:rPr>
        <w:t>（</w:t>
      </w:r>
      <w:r>
        <w:rPr>
          <w:rFonts w:hint="eastAsia" w:hAnsi="宋体"/>
          <w:b/>
          <w:bCs/>
          <w:szCs w:val="21"/>
          <w:highlight w:val="none"/>
          <w:lang w:val="en-US" w:eastAsia="zh-CN"/>
        </w:rPr>
        <w:t>保密信息可隐去）</w:t>
      </w:r>
      <w:r>
        <w:rPr>
          <w:rFonts w:hint="eastAsia" w:hAnsi="宋体"/>
          <w:b/>
          <w:bCs/>
          <w:szCs w:val="21"/>
          <w:highlight w:val="none"/>
        </w:rPr>
        <w:t>。</w:t>
      </w:r>
    </w:p>
    <w:p w14:paraId="48A1C8B3">
      <w:pPr>
        <w:spacing w:line="520" w:lineRule="exact"/>
        <w:rPr>
          <w:rFonts w:ascii="宋体" w:hAnsi="宋体"/>
          <w:b/>
          <w:bCs/>
          <w:szCs w:val="21"/>
          <w:highlight w:val="none"/>
        </w:rPr>
      </w:pPr>
    </w:p>
    <w:p w14:paraId="72128AE1">
      <w:pPr>
        <w:spacing w:line="520" w:lineRule="exact"/>
        <w:rPr>
          <w:rFonts w:ascii="宋体" w:hAnsi="宋体"/>
          <w:b/>
          <w:bCs/>
          <w:szCs w:val="21"/>
          <w:highlight w:val="none"/>
        </w:rPr>
      </w:pPr>
    </w:p>
    <w:p w14:paraId="4E641B69">
      <w:pPr>
        <w:spacing w:line="520" w:lineRule="exact"/>
        <w:rPr>
          <w:rFonts w:hint="eastAsia" w:ascii="宋体" w:hAnsi="宋体"/>
          <w:b/>
          <w:bCs/>
          <w:szCs w:val="21"/>
          <w:highlight w:val="none"/>
        </w:rPr>
      </w:pPr>
    </w:p>
    <w:p w14:paraId="6F27EE89">
      <w:pPr>
        <w:spacing w:line="360" w:lineRule="auto"/>
        <w:ind w:firstLine="3360" w:firstLineChars="1600"/>
        <w:jc w:val="right"/>
        <w:rPr>
          <w:rFonts w:ascii="宋体" w:hAnsi="宋体"/>
          <w:highlight w:val="none"/>
          <w:u w:val="single"/>
        </w:rPr>
      </w:pPr>
      <w:r>
        <w:rPr>
          <w:rFonts w:hint="eastAsia" w:ascii="宋体" w:hAnsi="宋体"/>
          <w:highlight w:val="none"/>
        </w:rPr>
        <w:t>投标人代表签字：</w:t>
      </w:r>
      <w:r>
        <w:rPr>
          <w:rFonts w:ascii="宋体" w:hAnsi="宋体"/>
          <w:highlight w:val="none"/>
        </w:rPr>
        <w:t>________________________</w:t>
      </w:r>
    </w:p>
    <w:p w14:paraId="7403F8DB">
      <w:pPr>
        <w:spacing w:line="360" w:lineRule="auto"/>
        <w:ind w:firstLine="1600"/>
        <w:jc w:val="right"/>
        <w:rPr>
          <w:rFonts w:ascii="宋体" w:hAnsi="宋体"/>
          <w:highlight w:val="none"/>
        </w:rPr>
      </w:pPr>
      <w:r>
        <w:rPr>
          <w:rFonts w:hint="eastAsia" w:ascii="宋体" w:hAnsi="宋体"/>
          <w:highlight w:val="none"/>
        </w:rPr>
        <w:t>投标人名称（盖章）：</w:t>
      </w:r>
      <w:r>
        <w:rPr>
          <w:rFonts w:ascii="宋体" w:hAnsi="宋体"/>
          <w:highlight w:val="none"/>
        </w:rPr>
        <w:t>____________________</w:t>
      </w:r>
    </w:p>
    <w:p w14:paraId="3C9BC226">
      <w:pPr>
        <w:spacing w:line="360" w:lineRule="auto"/>
        <w:ind w:firstLine="1600"/>
        <w:jc w:val="right"/>
        <w:rPr>
          <w:rFonts w:ascii="宋体" w:hAnsi="宋体"/>
          <w:b/>
          <w:bCs/>
          <w:szCs w:val="21"/>
          <w:highlight w:val="none"/>
        </w:rPr>
      </w:pPr>
      <w:r>
        <w:rPr>
          <w:rFonts w:hint="eastAsia" w:ascii="宋体" w:hAnsi="宋体"/>
          <w:highlight w:val="none"/>
        </w:rPr>
        <w:t>日期：</w:t>
      </w:r>
      <w:r>
        <w:rPr>
          <w:rFonts w:ascii="宋体" w:hAnsi="宋体"/>
          <w:highlight w:val="none"/>
        </w:rPr>
        <w:t>__________________________________</w:t>
      </w:r>
    </w:p>
    <w:p w14:paraId="2F1D95C6">
      <w:pPr>
        <w:spacing w:line="360" w:lineRule="auto"/>
        <w:jc w:val="center"/>
        <w:rPr>
          <w:rFonts w:hint="eastAsia" w:ascii="宋体" w:hAnsi="宋体"/>
          <w:b/>
          <w:szCs w:val="21"/>
          <w:highlight w:val="none"/>
        </w:rPr>
      </w:pPr>
    </w:p>
    <w:p w14:paraId="28E75E2B">
      <w:pPr>
        <w:spacing w:line="360" w:lineRule="auto"/>
        <w:jc w:val="center"/>
        <w:rPr>
          <w:rFonts w:hint="eastAsia" w:ascii="宋体" w:hAnsi="宋体"/>
          <w:b/>
          <w:szCs w:val="21"/>
          <w:highlight w:val="none"/>
        </w:rPr>
      </w:pPr>
    </w:p>
    <w:p w14:paraId="4A88CDD1">
      <w:pPr>
        <w:spacing w:line="360" w:lineRule="auto"/>
        <w:jc w:val="center"/>
        <w:rPr>
          <w:rFonts w:hint="eastAsia" w:ascii="宋体" w:hAnsi="宋体"/>
          <w:b/>
          <w:szCs w:val="21"/>
          <w:highlight w:val="none"/>
        </w:rPr>
      </w:pPr>
    </w:p>
    <w:p w14:paraId="705F08C1">
      <w:pPr>
        <w:spacing w:line="360" w:lineRule="auto"/>
        <w:jc w:val="center"/>
        <w:rPr>
          <w:rFonts w:hint="eastAsia" w:ascii="宋体" w:hAnsi="宋体"/>
          <w:b/>
          <w:szCs w:val="21"/>
          <w:highlight w:val="none"/>
        </w:rPr>
      </w:pPr>
    </w:p>
    <w:p w14:paraId="4AEB1EE6">
      <w:pPr>
        <w:spacing w:line="360" w:lineRule="auto"/>
        <w:jc w:val="center"/>
        <w:rPr>
          <w:rFonts w:hint="eastAsia" w:ascii="宋体" w:hAnsi="宋体"/>
          <w:b/>
          <w:szCs w:val="21"/>
          <w:highlight w:val="none"/>
        </w:rPr>
      </w:pPr>
    </w:p>
    <w:p w14:paraId="571BD3F1">
      <w:pPr>
        <w:spacing w:line="360" w:lineRule="auto"/>
        <w:jc w:val="center"/>
        <w:rPr>
          <w:rFonts w:hint="eastAsia" w:ascii="宋体" w:hAnsi="宋体"/>
          <w:b/>
          <w:szCs w:val="21"/>
          <w:highlight w:val="none"/>
        </w:rPr>
      </w:pPr>
    </w:p>
    <w:p w14:paraId="3D10F113">
      <w:pPr>
        <w:spacing w:line="360" w:lineRule="auto"/>
        <w:jc w:val="center"/>
        <w:rPr>
          <w:rFonts w:hint="eastAsia" w:ascii="宋体" w:hAnsi="宋体"/>
          <w:b/>
          <w:szCs w:val="21"/>
          <w:highlight w:val="none"/>
        </w:rPr>
      </w:pPr>
    </w:p>
    <w:p w14:paraId="0A3EE99C">
      <w:pPr>
        <w:spacing w:line="360" w:lineRule="auto"/>
        <w:jc w:val="center"/>
        <w:rPr>
          <w:rFonts w:hint="eastAsia" w:ascii="宋体" w:hAnsi="宋体"/>
          <w:b/>
          <w:szCs w:val="21"/>
          <w:highlight w:val="none"/>
        </w:rPr>
      </w:pPr>
    </w:p>
    <w:p w14:paraId="1219EFE1">
      <w:pPr>
        <w:spacing w:line="360" w:lineRule="auto"/>
        <w:jc w:val="center"/>
        <w:rPr>
          <w:rFonts w:hint="eastAsia" w:ascii="宋体" w:hAnsi="宋体"/>
          <w:b/>
          <w:szCs w:val="21"/>
          <w:highlight w:val="none"/>
        </w:rPr>
      </w:pPr>
    </w:p>
    <w:p w14:paraId="407ABDC6">
      <w:pPr>
        <w:spacing w:line="360" w:lineRule="auto"/>
        <w:jc w:val="center"/>
        <w:rPr>
          <w:rFonts w:hint="eastAsia" w:ascii="宋体" w:hAnsi="宋体"/>
          <w:b/>
          <w:szCs w:val="21"/>
          <w:highlight w:val="none"/>
        </w:rPr>
      </w:pPr>
    </w:p>
    <w:p w14:paraId="4C575A09">
      <w:pPr>
        <w:spacing w:line="360" w:lineRule="auto"/>
        <w:jc w:val="center"/>
        <w:rPr>
          <w:rFonts w:hint="eastAsia" w:ascii="宋体" w:hAnsi="宋体"/>
          <w:b/>
          <w:szCs w:val="21"/>
          <w:highlight w:val="none"/>
        </w:rPr>
      </w:pPr>
    </w:p>
    <w:p w14:paraId="38292FF0">
      <w:pPr>
        <w:spacing w:line="360" w:lineRule="auto"/>
        <w:jc w:val="center"/>
        <w:rPr>
          <w:rFonts w:hint="eastAsia" w:ascii="宋体" w:hAnsi="宋体"/>
          <w:b/>
          <w:szCs w:val="21"/>
          <w:highlight w:val="none"/>
        </w:rPr>
      </w:pPr>
    </w:p>
    <w:p w14:paraId="50FCB263">
      <w:pPr>
        <w:spacing w:line="360" w:lineRule="auto"/>
        <w:jc w:val="center"/>
        <w:rPr>
          <w:rFonts w:hint="eastAsia" w:ascii="宋体" w:hAnsi="宋体"/>
          <w:b/>
          <w:szCs w:val="21"/>
          <w:highlight w:val="none"/>
        </w:rPr>
      </w:pPr>
    </w:p>
    <w:p w14:paraId="7159C63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bCs/>
          <w:szCs w:val="21"/>
          <w:highlight w:val="none"/>
        </w:rPr>
      </w:pPr>
      <w:bookmarkStart w:id="400" w:name="_Toc12888"/>
      <w:r>
        <w:rPr>
          <w:rFonts w:hint="eastAsia" w:ascii="宋体" w:hAnsi="宋体"/>
          <w:b/>
          <w:szCs w:val="21"/>
          <w:highlight w:val="none"/>
        </w:rPr>
        <w:t>附件</w:t>
      </w:r>
      <w:r>
        <w:rPr>
          <w:rFonts w:hint="eastAsia" w:ascii="宋体" w:hAnsi="宋体"/>
          <w:b/>
          <w:szCs w:val="21"/>
          <w:highlight w:val="none"/>
          <w:lang w:val="en-US" w:eastAsia="zh-CN"/>
        </w:rPr>
        <w:t>5-8</w:t>
      </w:r>
      <w:r>
        <w:rPr>
          <w:rFonts w:hint="eastAsia" w:ascii="宋体" w:hAnsi="宋体"/>
          <w:b/>
          <w:szCs w:val="21"/>
          <w:highlight w:val="none"/>
        </w:rPr>
        <w:t xml:space="preserve">   招标文件</w:t>
      </w:r>
      <w:r>
        <w:rPr>
          <w:rFonts w:hint="eastAsia" w:ascii="宋体" w:hAnsi="宋体"/>
          <w:b/>
          <w:bCs/>
          <w:szCs w:val="21"/>
          <w:highlight w:val="none"/>
        </w:rPr>
        <w:t>要求的其他资格证明文件</w:t>
      </w:r>
      <w:bookmarkEnd w:id="400"/>
    </w:p>
    <w:p w14:paraId="249F0133">
      <w:pPr>
        <w:spacing w:line="360" w:lineRule="auto"/>
        <w:ind w:left="1080" w:leftChars="257" w:hanging="540"/>
        <w:jc w:val="center"/>
        <w:rPr>
          <w:rFonts w:hint="eastAsia" w:ascii="宋体" w:hAnsi="宋体"/>
          <w:b/>
          <w:bCs/>
          <w:szCs w:val="21"/>
          <w:highlight w:val="none"/>
        </w:rPr>
      </w:pPr>
    </w:p>
    <w:p w14:paraId="3F0B9EFD">
      <w:pPr>
        <w:spacing w:line="360" w:lineRule="auto"/>
        <w:ind w:left="1080" w:leftChars="257" w:hanging="540"/>
        <w:jc w:val="center"/>
        <w:rPr>
          <w:rFonts w:hint="eastAsia" w:ascii="宋体" w:hAnsi="宋体"/>
          <w:b/>
          <w:bCs/>
          <w:szCs w:val="21"/>
          <w:highlight w:val="none"/>
        </w:rPr>
      </w:pPr>
    </w:p>
    <w:p w14:paraId="7D93FEFA">
      <w:pPr>
        <w:spacing w:line="360" w:lineRule="auto"/>
        <w:ind w:left="1080" w:leftChars="257" w:hanging="540"/>
        <w:jc w:val="center"/>
        <w:rPr>
          <w:rFonts w:hint="eastAsia" w:ascii="宋体" w:hAnsi="宋体"/>
          <w:b/>
          <w:bCs/>
          <w:szCs w:val="21"/>
          <w:highlight w:val="none"/>
        </w:rPr>
      </w:pPr>
    </w:p>
    <w:p w14:paraId="7C9A51B8">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说明：</w:t>
      </w:r>
      <w:r>
        <w:rPr>
          <w:rFonts w:hint="eastAsia" w:hAnsi="宋体"/>
          <w:szCs w:val="21"/>
          <w:highlight w:val="none"/>
          <w:lang w:val="en-US" w:eastAsia="zh-CN"/>
        </w:rPr>
        <w:t>1.必备：投标人行业资质证书及文件</w:t>
      </w:r>
    </w:p>
    <w:p w14:paraId="41A7CCE4">
      <w:pPr>
        <w:pStyle w:val="25"/>
        <w:tabs>
          <w:tab w:val="left" w:pos="5580"/>
        </w:tabs>
        <w:spacing w:line="360" w:lineRule="auto"/>
        <w:ind w:left="1147" w:leftChars="546" w:firstLine="90" w:firstLineChars="43"/>
        <w:rPr>
          <w:rFonts w:hint="eastAsia" w:hAnsi="宋体"/>
          <w:szCs w:val="21"/>
          <w:highlight w:val="none"/>
        </w:rPr>
      </w:pPr>
      <w:r>
        <w:rPr>
          <w:rFonts w:hint="eastAsia" w:hAnsi="宋体"/>
          <w:szCs w:val="21"/>
          <w:highlight w:val="none"/>
          <w:lang w:val="en-US" w:eastAsia="zh-CN"/>
        </w:rPr>
        <w:t>2.其他：投标人认为可以证明其实力的</w:t>
      </w:r>
      <w:r>
        <w:rPr>
          <w:rFonts w:hint="eastAsia" w:hAnsi="宋体"/>
          <w:szCs w:val="21"/>
          <w:highlight w:val="none"/>
        </w:rPr>
        <w:t>其他资格证明文件。</w:t>
      </w:r>
    </w:p>
    <w:p w14:paraId="14C71D20">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 xml:space="preserve">      </w:t>
      </w:r>
      <w:r>
        <w:rPr>
          <w:rFonts w:hint="eastAsia" w:hAnsi="宋体"/>
          <w:szCs w:val="21"/>
          <w:highlight w:val="none"/>
          <w:lang w:val="en-US" w:eastAsia="zh-CN"/>
        </w:rPr>
        <w:t>3</w:t>
      </w:r>
      <w:r>
        <w:rPr>
          <w:rFonts w:hint="eastAsia" w:hAnsi="宋体"/>
          <w:szCs w:val="21"/>
          <w:highlight w:val="none"/>
        </w:rPr>
        <w:t>.复印件上应加盖本单位公章（自然人投标的无需盖章，需要签字）。</w:t>
      </w:r>
    </w:p>
    <w:p w14:paraId="2569EC8E">
      <w:pPr>
        <w:pStyle w:val="25"/>
        <w:tabs>
          <w:tab w:val="left" w:pos="5580"/>
        </w:tabs>
        <w:spacing w:line="360" w:lineRule="auto"/>
        <w:ind w:left="1260" w:leftChars="344" w:hanging="538"/>
        <w:rPr>
          <w:rFonts w:hint="eastAsia" w:hAnsi="宋体"/>
          <w:szCs w:val="21"/>
          <w:highlight w:val="none"/>
        </w:rPr>
      </w:pPr>
      <w:r>
        <w:rPr>
          <w:rFonts w:hint="eastAsia" w:hAnsi="宋体"/>
          <w:szCs w:val="21"/>
          <w:highlight w:val="none"/>
        </w:rPr>
        <w:t xml:space="preserve">   </w:t>
      </w:r>
    </w:p>
    <w:p w14:paraId="58530FCC">
      <w:pPr>
        <w:rPr>
          <w:rFonts w:hint="eastAsia"/>
          <w:highlight w:val="none"/>
        </w:rPr>
      </w:pPr>
      <w:r>
        <w:rPr>
          <w:highlight w:val="none"/>
        </w:rPr>
        <w:br w:type="page"/>
      </w:r>
    </w:p>
    <w:p w14:paraId="5EA10B32">
      <w:pPr>
        <w:jc w:val="center"/>
        <w:rPr>
          <w:rFonts w:hint="eastAsia" w:ascii="宋体" w:hAnsi="宋体"/>
          <w:b/>
          <w:szCs w:val="21"/>
          <w:highlight w:val="none"/>
        </w:rPr>
      </w:pPr>
    </w:p>
    <w:p w14:paraId="4787C133">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宋体" w:hAnsi="宋体"/>
          <w:b/>
          <w:szCs w:val="21"/>
          <w:highlight w:val="none"/>
        </w:rPr>
      </w:pPr>
      <w:bookmarkStart w:id="401" w:name="_Toc31300"/>
      <w:r>
        <w:rPr>
          <w:rFonts w:hint="eastAsia" w:ascii="宋体" w:hAnsi="宋体"/>
          <w:b/>
          <w:szCs w:val="21"/>
          <w:highlight w:val="none"/>
        </w:rPr>
        <w:t>附件</w:t>
      </w:r>
      <w:r>
        <w:rPr>
          <w:rFonts w:hint="eastAsia" w:ascii="宋体" w:hAnsi="宋体"/>
          <w:b/>
          <w:szCs w:val="21"/>
          <w:highlight w:val="none"/>
          <w:lang w:val="en-US" w:eastAsia="zh-CN"/>
        </w:rPr>
        <w:t>6</w:t>
      </w:r>
      <w:r>
        <w:rPr>
          <w:rFonts w:ascii="宋体" w:hAnsi="宋体"/>
          <w:b/>
          <w:szCs w:val="21"/>
          <w:highlight w:val="none"/>
        </w:rPr>
        <w:t xml:space="preserve">  </w:t>
      </w:r>
      <w:r>
        <w:rPr>
          <w:rFonts w:hint="eastAsia" w:ascii="宋体" w:hAnsi="宋体"/>
          <w:b/>
          <w:szCs w:val="21"/>
          <w:highlight w:val="none"/>
        </w:rPr>
        <w:t>反商业贿赂承诺书</w:t>
      </w:r>
      <w:bookmarkEnd w:id="401"/>
    </w:p>
    <w:p w14:paraId="53D1EE63">
      <w:pPr>
        <w:spacing w:line="360" w:lineRule="auto"/>
        <w:ind w:firstLine="540"/>
        <w:rPr>
          <w:rFonts w:hint="eastAsia" w:ascii="宋体" w:hAnsi="宋体"/>
          <w:bCs/>
          <w:szCs w:val="21"/>
          <w:highlight w:val="none"/>
        </w:rPr>
      </w:pPr>
    </w:p>
    <w:p w14:paraId="1E6894B2">
      <w:pPr>
        <w:spacing w:line="360" w:lineRule="auto"/>
        <w:ind w:firstLine="540"/>
        <w:rPr>
          <w:rFonts w:hint="eastAsia" w:ascii="宋体" w:hAnsi="宋体"/>
          <w:bCs/>
          <w:szCs w:val="21"/>
          <w:highlight w:val="none"/>
        </w:rPr>
      </w:pPr>
    </w:p>
    <w:p w14:paraId="059284F6">
      <w:pPr>
        <w:spacing w:line="360" w:lineRule="auto"/>
        <w:ind w:firstLine="540"/>
        <w:rPr>
          <w:rFonts w:ascii="宋体" w:hAnsi="宋体"/>
          <w:bCs/>
          <w:szCs w:val="21"/>
          <w:highlight w:val="none"/>
        </w:rPr>
      </w:pPr>
      <w:r>
        <w:rPr>
          <w:rFonts w:hint="eastAsia" w:ascii="宋体" w:hAnsi="宋体"/>
          <w:bCs/>
          <w:szCs w:val="21"/>
          <w:highlight w:val="none"/>
        </w:rPr>
        <w:t>我公司承诺：</w:t>
      </w:r>
    </w:p>
    <w:p w14:paraId="2A8E3C3E">
      <w:pPr>
        <w:spacing w:line="360" w:lineRule="auto"/>
        <w:ind w:firstLine="540"/>
        <w:rPr>
          <w:rFonts w:ascii="宋体" w:hAnsi="宋体"/>
          <w:bCs/>
          <w:szCs w:val="21"/>
          <w:highlight w:val="none"/>
        </w:rPr>
      </w:pPr>
      <w:r>
        <w:rPr>
          <w:rFonts w:hint="eastAsia" w:ascii="宋体" w:hAnsi="宋体"/>
          <w:bCs/>
          <w:szCs w:val="21"/>
          <w:highlight w:val="none"/>
        </w:rPr>
        <w:t>在</w:t>
      </w:r>
      <w:r>
        <w:rPr>
          <w:rFonts w:ascii="宋体" w:hAnsi="宋体"/>
          <w:bCs/>
          <w:szCs w:val="21"/>
          <w:highlight w:val="none"/>
        </w:rPr>
        <w:t xml:space="preserve"> </w:t>
      </w:r>
      <w:r>
        <w:rPr>
          <w:rFonts w:hint="eastAsia" w:ascii="宋体" w:hAnsi="宋体"/>
          <w:bCs/>
          <w:szCs w:val="21"/>
          <w:highlight w:val="none"/>
        </w:rPr>
        <w:t>（投标项目名称）</w:t>
      </w:r>
      <w:r>
        <w:rPr>
          <w:rFonts w:ascii="宋体" w:hAnsi="宋体"/>
          <w:bCs/>
          <w:szCs w:val="21"/>
          <w:highlight w:val="none"/>
        </w:rPr>
        <w:t xml:space="preserve">              </w:t>
      </w:r>
      <w:r>
        <w:rPr>
          <w:rFonts w:hint="eastAsia" w:ascii="宋体" w:hAnsi="宋体"/>
          <w:bCs/>
          <w:szCs w:val="21"/>
          <w:highlight w:val="none"/>
        </w:rPr>
        <w:t>招标活动中，我公司保证做到：</w:t>
      </w:r>
    </w:p>
    <w:p w14:paraId="70E9E97E">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一、公平竞争参加本次招标活动。严格遵守国家相关法律法规规定，不使用不正当手段妨碍、排挤其他投标单位，不串标、围标；按照招标文件规定的方式投标，不隐瞒真实投标资质；保证不恶意竞标，也不会以其他人名义投标或者以其他方式弄虚作假，骗取中标；不谋取非法利益，不给甲方造成损失。</w:t>
      </w:r>
    </w:p>
    <w:p w14:paraId="4BF4706D">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二、杜绝任何形式的商业贿赂行为。不以任何理由向甲方相关工作人员、招标采购机构工作人员、评审专家及其亲属提供礼品礼金、有价证券、支付凭证、回扣、佣金、咨询费、劳务费、赞助费、宣传费或其他贵重物品等；不以任何理由为甲方相关工作人员、招标采购机构工作人员、评审专家及其亲属报销各种消费凭证；不以任何考察名义安排甲方相关工作人员、招标采购机构工作人员、评审专家及其亲属出国（境）、旅游；不以任何理由为甲方相关工作人员、招标采购机构工作人员、评审专家及其亲属安排有可能影响公正履职的宴请、健身、娱乐等活动。</w:t>
      </w:r>
    </w:p>
    <w:p w14:paraId="3B655378">
      <w:pPr>
        <w:widowControl/>
        <w:tabs>
          <w:tab w:val="left" w:pos="0"/>
        </w:tabs>
        <w:spacing w:line="360" w:lineRule="auto"/>
        <w:jc w:val="left"/>
        <w:rPr>
          <w:rFonts w:ascii="宋体" w:hAnsi="宋体"/>
          <w:bCs/>
          <w:szCs w:val="21"/>
          <w:highlight w:val="none"/>
        </w:rPr>
      </w:pPr>
      <w:r>
        <w:rPr>
          <w:rFonts w:hint="eastAsia" w:ascii="宋体" w:hAnsi="宋体"/>
          <w:bCs/>
          <w:szCs w:val="21"/>
          <w:highlight w:val="none"/>
        </w:rPr>
        <w:t>如自愿给予甲方优惠，须在投标书或合同书中注明。</w:t>
      </w:r>
    </w:p>
    <w:p w14:paraId="3940E757">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三、如中标，承诺书在合同期内继续生效。</w:t>
      </w:r>
    </w:p>
    <w:p w14:paraId="5E457BAA">
      <w:pPr>
        <w:widowControl/>
        <w:tabs>
          <w:tab w:val="left" w:pos="0"/>
        </w:tabs>
        <w:spacing w:line="360" w:lineRule="auto"/>
        <w:ind w:firstLine="709"/>
        <w:jc w:val="left"/>
        <w:rPr>
          <w:rFonts w:ascii="宋体" w:hAnsi="宋体"/>
          <w:bCs/>
          <w:szCs w:val="21"/>
          <w:highlight w:val="none"/>
        </w:rPr>
      </w:pPr>
      <w:r>
        <w:rPr>
          <w:rFonts w:hint="eastAsia" w:ascii="宋体" w:hAnsi="宋体"/>
          <w:bCs/>
          <w:szCs w:val="21"/>
          <w:highlight w:val="none"/>
        </w:rPr>
        <w:t>四、若出现违反承诺行为，我公司及参与投标的工作人员愿意接受按照国家法律法规等有关规定给予的处罚，并赔偿给甲方造成的经济损失。</w:t>
      </w:r>
    </w:p>
    <w:p w14:paraId="7DAF4A1D">
      <w:pPr>
        <w:widowControl/>
        <w:tabs>
          <w:tab w:val="left" w:pos="0"/>
        </w:tabs>
        <w:spacing w:line="360" w:lineRule="auto"/>
        <w:ind w:firstLine="709"/>
        <w:jc w:val="left"/>
        <w:rPr>
          <w:rFonts w:ascii="宋体" w:hAnsi="宋体"/>
          <w:bCs/>
          <w:szCs w:val="21"/>
          <w:highlight w:val="none"/>
        </w:rPr>
      </w:pPr>
      <w:r>
        <w:rPr>
          <w:rFonts w:hint="eastAsia" w:ascii="宋体" w:hAnsi="宋体"/>
          <w:bCs/>
          <w:szCs w:val="21"/>
          <w:highlight w:val="none"/>
        </w:rPr>
        <w:t>五、如果贵公司人员在业务活动中有违规、违纪、违法行为，我方将采取有效措施防止其继续发生，并及时向贵公司纪检监察部门举报，积极配合贵公司的调查取证工作</w:t>
      </w:r>
      <w:r>
        <w:rPr>
          <w:rFonts w:ascii="宋体" w:hAnsi="宋体"/>
          <w:bCs/>
          <w:szCs w:val="21"/>
          <w:highlight w:val="none"/>
        </w:rPr>
        <w:t>,</w:t>
      </w:r>
      <w:r>
        <w:rPr>
          <w:rFonts w:hint="eastAsia" w:ascii="宋体" w:hAnsi="宋体"/>
          <w:bCs/>
          <w:szCs w:val="21"/>
          <w:highlight w:val="none"/>
        </w:rPr>
        <w:t>提供必要的协助和便利条件。</w:t>
      </w:r>
    </w:p>
    <w:p w14:paraId="0789BCC5">
      <w:pPr>
        <w:spacing w:line="360" w:lineRule="auto"/>
        <w:ind w:firstLine="540"/>
        <w:rPr>
          <w:rFonts w:ascii="宋体" w:hAnsi="宋体"/>
          <w:bCs/>
          <w:szCs w:val="21"/>
          <w:highlight w:val="none"/>
        </w:rPr>
      </w:pPr>
    </w:p>
    <w:p w14:paraId="4AAFA0F7">
      <w:pPr>
        <w:spacing w:line="360" w:lineRule="auto"/>
        <w:ind w:firstLine="540"/>
        <w:rPr>
          <w:rFonts w:ascii="宋体" w:hAnsi="宋体"/>
          <w:bCs/>
          <w:szCs w:val="21"/>
          <w:highlight w:val="none"/>
        </w:rPr>
      </w:pPr>
      <w:r>
        <w:rPr>
          <w:rFonts w:hint="eastAsia" w:ascii="宋体" w:hAnsi="宋体"/>
          <w:bCs/>
          <w:szCs w:val="21"/>
          <w:highlight w:val="none"/>
        </w:rPr>
        <w:t>公司法定代表人（签字）：</w:t>
      </w:r>
    </w:p>
    <w:p w14:paraId="07A0AAD8">
      <w:pPr>
        <w:spacing w:line="360" w:lineRule="auto"/>
        <w:ind w:firstLine="540"/>
        <w:rPr>
          <w:rFonts w:ascii="宋体" w:hAnsi="宋体"/>
          <w:bCs/>
          <w:szCs w:val="21"/>
          <w:highlight w:val="none"/>
        </w:rPr>
      </w:pPr>
      <w:r>
        <w:rPr>
          <w:rFonts w:hint="eastAsia" w:ascii="宋体" w:hAnsi="宋体"/>
          <w:bCs/>
          <w:szCs w:val="21"/>
          <w:highlight w:val="none"/>
        </w:rPr>
        <w:t>法定代表人授权代表（签字）：</w:t>
      </w:r>
    </w:p>
    <w:p w14:paraId="4C4740D1">
      <w:pPr>
        <w:spacing w:line="360" w:lineRule="auto"/>
        <w:ind w:firstLine="540"/>
        <w:rPr>
          <w:rFonts w:ascii="宋体" w:hAnsi="宋体"/>
          <w:bCs/>
          <w:szCs w:val="21"/>
          <w:highlight w:val="none"/>
        </w:rPr>
      </w:pPr>
      <w:r>
        <w:rPr>
          <w:rFonts w:hint="eastAsia" w:ascii="宋体" w:hAnsi="宋体"/>
          <w:bCs/>
          <w:szCs w:val="21"/>
          <w:highlight w:val="none"/>
        </w:rPr>
        <w:t>投标经办人（签字）：</w:t>
      </w:r>
    </w:p>
    <w:p w14:paraId="3A3B92D8">
      <w:pPr>
        <w:spacing w:line="360" w:lineRule="auto"/>
        <w:ind w:firstLine="540"/>
        <w:rPr>
          <w:rFonts w:ascii="宋体" w:hAnsi="宋体"/>
          <w:bCs/>
          <w:szCs w:val="21"/>
          <w:highlight w:val="none"/>
        </w:rPr>
      </w:pPr>
      <w:r>
        <w:rPr>
          <w:rFonts w:ascii="宋体" w:hAnsi="宋体"/>
          <w:bCs/>
          <w:szCs w:val="21"/>
          <w:highlight w:val="none"/>
        </w:rPr>
        <w:t xml:space="preserve">                            </w:t>
      </w:r>
      <w:r>
        <w:rPr>
          <w:rFonts w:hint="eastAsia" w:ascii="宋体" w:hAnsi="宋体"/>
          <w:bCs/>
          <w:szCs w:val="21"/>
          <w:highlight w:val="none"/>
        </w:rPr>
        <w:t xml:space="preserve">            </w:t>
      </w:r>
      <w:r>
        <w:rPr>
          <w:rFonts w:ascii="宋体" w:hAnsi="宋体"/>
          <w:bCs/>
          <w:szCs w:val="21"/>
          <w:highlight w:val="none"/>
        </w:rPr>
        <w:t xml:space="preserve">    </w:t>
      </w:r>
      <w:r>
        <w:rPr>
          <w:rFonts w:hint="eastAsia" w:ascii="宋体" w:hAnsi="宋体"/>
          <w:bCs/>
          <w:szCs w:val="21"/>
          <w:highlight w:val="none"/>
        </w:rPr>
        <w:t>（公司公章）</w:t>
      </w:r>
    </w:p>
    <w:p w14:paraId="6CC3D61C">
      <w:pPr>
        <w:pStyle w:val="25"/>
        <w:spacing w:line="360" w:lineRule="auto"/>
        <w:rPr>
          <w:rFonts w:hint="eastAsia" w:hAnsi="宋体"/>
          <w:bCs/>
          <w:szCs w:val="21"/>
          <w:highlight w:val="none"/>
        </w:rPr>
      </w:pPr>
      <w:r>
        <w:rPr>
          <w:rFonts w:hAnsi="宋体"/>
          <w:bCs/>
          <w:szCs w:val="21"/>
          <w:highlight w:val="none"/>
        </w:rPr>
        <w:t xml:space="preserve">                                </w:t>
      </w:r>
      <w:r>
        <w:rPr>
          <w:rFonts w:hint="eastAsia" w:hAnsi="宋体"/>
          <w:bCs/>
          <w:szCs w:val="21"/>
          <w:highlight w:val="none"/>
        </w:rPr>
        <w:t xml:space="preserve">                            </w:t>
      </w:r>
      <w:r>
        <w:rPr>
          <w:rFonts w:hAnsi="宋体"/>
          <w:bCs/>
          <w:szCs w:val="21"/>
          <w:highlight w:val="none"/>
        </w:rPr>
        <w:t xml:space="preserve"> </w:t>
      </w:r>
      <w:r>
        <w:rPr>
          <w:rFonts w:hint="eastAsia" w:hAnsi="宋体"/>
          <w:bCs/>
          <w:szCs w:val="21"/>
          <w:highlight w:val="none"/>
        </w:rPr>
        <w:t>年</w:t>
      </w:r>
      <w:r>
        <w:rPr>
          <w:rFonts w:hAnsi="宋体"/>
          <w:bCs/>
          <w:szCs w:val="21"/>
          <w:highlight w:val="none"/>
        </w:rPr>
        <w:t xml:space="preserve">  </w:t>
      </w:r>
      <w:r>
        <w:rPr>
          <w:rFonts w:hint="eastAsia" w:hAnsi="宋体"/>
          <w:bCs/>
          <w:szCs w:val="21"/>
          <w:highlight w:val="none"/>
        </w:rPr>
        <w:t>月</w:t>
      </w:r>
      <w:r>
        <w:rPr>
          <w:rFonts w:hAnsi="宋体"/>
          <w:bCs/>
          <w:szCs w:val="21"/>
          <w:highlight w:val="none"/>
        </w:rPr>
        <w:t xml:space="preserve">  </w:t>
      </w:r>
      <w:r>
        <w:rPr>
          <w:rFonts w:hint="eastAsia" w:hAnsi="宋体"/>
          <w:bCs/>
          <w:szCs w:val="21"/>
          <w:highlight w:val="none"/>
        </w:rPr>
        <w:t>日</w:t>
      </w:r>
    </w:p>
    <w:p w14:paraId="5A41E671">
      <w:pPr>
        <w:pStyle w:val="25"/>
        <w:spacing w:line="360" w:lineRule="auto"/>
        <w:rPr>
          <w:rFonts w:hint="eastAsia" w:hAnsi="宋体" w:cs="楷体_GB2312"/>
          <w:kern w:val="0"/>
          <w:szCs w:val="21"/>
          <w:highlight w:val="none"/>
        </w:rPr>
      </w:pPr>
    </w:p>
    <w:p w14:paraId="7E362AB3">
      <w:pPr>
        <w:pStyle w:val="25"/>
        <w:spacing w:line="360" w:lineRule="auto"/>
        <w:rPr>
          <w:rFonts w:hint="eastAsia" w:hAnsi="宋体" w:cs="楷体_GB2312"/>
          <w:kern w:val="0"/>
          <w:szCs w:val="21"/>
          <w:highlight w:val="none"/>
        </w:rPr>
      </w:pPr>
    </w:p>
    <w:p w14:paraId="72B42FF4">
      <w:pPr>
        <w:pStyle w:val="25"/>
        <w:spacing w:line="360" w:lineRule="auto"/>
        <w:rPr>
          <w:rFonts w:hint="eastAsia" w:hAnsi="宋体" w:cs="楷体_GB2312"/>
          <w:kern w:val="0"/>
          <w:szCs w:val="21"/>
          <w:highlight w:val="none"/>
        </w:rPr>
      </w:pPr>
    </w:p>
    <w:p w14:paraId="2087CAD2">
      <w:pPr>
        <w:pStyle w:val="25"/>
        <w:spacing w:line="360" w:lineRule="auto"/>
        <w:rPr>
          <w:rFonts w:hint="eastAsia" w:hAnsi="宋体" w:cs="楷体_GB2312"/>
          <w:kern w:val="0"/>
          <w:szCs w:val="21"/>
          <w:highlight w:val="none"/>
        </w:rPr>
      </w:pPr>
    </w:p>
    <w:p w14:paraId="309AFE03">
      <w:pPr>
        <w:pStyle w:val="25"/>
        <w:spacing w:line="360" w:lineRule="auto"/>
        <w:rPr>
          <w:rFonts w:hint="eastAsia" w:hAnsi="宋体" w:cs="楷体_GB2312"/>
          <w:kern w:val="0"/>
          <w:szCs w:val="21"/>
          <w:highlight w:val="none"/>
        </w:rPr>
      </w:pPr>
    </w:p>
    <w:p w14:paraId="1BE1594E">
      <w:pPr>
        <w:pStyle w:val="25"/>
        <w:spacing w:line="360" w:lineRule="auto"/>
        <w:rPr>
          <w:rFonts w:hint="eastAsia" w:hAnsi="宋体" w:cs="楷体_GB2312"/>
          <w:kern w:val="0"/>
          <w:szCs w:val="21"/>
          <w:highlight w:val="none"/>
        </w:rPr>
      </w:pPr>
    </w:p>
    <w:p w14:paraId="09854CB1">
      <w:pPr>
        <w:pStyle w:val="25"/>
        <w:spacing w:line="360" w:lineRule="auto"/>
        <w:rPr>
          <w:rFonts w:hint="eastAsia" w:hAnsi="宋体" w:cs="楷体_GB2312"/>
          <w:kern w:val="0"/>
          <w:szCs w:val="21"/>
          <w:highlight w:val="none"/>
        </w:rPr>
      </w:pPr>
    </w:p>
    <w:p w14:paraId="2AAC4A2E">
      <w:pPr>
        <w:pStyle w:val="25"/>
        <w:spacing w:line="360" w:lineRule="auto"/>
        <w:rPr>
          <w:rFonts w:hint="eastAsia" w:hAnsi="宋体" w:cs="楷体_GB2312"/>
          <w:kern w:val="0"/>
          <w:szCs w:val="21"/>
          <w:highlight w:val="none"/>
        </w:rPr>
      </w:pPr>
    </w:p>
    <w:p w14:paraId="4AC8EF24">
      <w:pPr>
        <w:pStyle w:val="4"/>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ascii="宋体" w:hAnsi="宋体" w:eastAsia="宋体"/>
          <w:sz w:val="21"/>
          <w:szCs w:val="21"/>
          <w:highlight w:val="none"/>
        </w:rPr>
      </w:pPr>
      <w:bookmarkStart w:id="402" w:name="_Toc15610"/>
      <w:bookmarkStart w:id="403" w:name="_Toc1930"/>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7</w:t>
      </w:r>
      <w:r>
        <w:rPr>
          <w:rFonts w:hint="eastAsia" w:ascii="宋体" w:hAnsi="宋体" w:eastAsia="宋体"/>
          <w:sz w:val="21"/>
          <w:szCs w:val="21"/>
          <w:highlight w:val="none"/>
        </w:rPr>
        <w:t xml:space="preserve"> 详细的实施方案</w:t>
      </w:r>
      <w:bookmarkEnd w:id="402"/>
      <w:bookmarkEnd w:id="403"/>
    </w:p>
    <w:p w14:paraId="5A49D327">
      <w:pPr>
        <w:pStyle w:val="25"/>
        <w:spacing w:line="360" w:lineRule="auto"/>
        <w:jc w:val="center"/>
        <w:rPr>
          <w:rFonts w:hint="eastAsia" w:hAnsi="宋体" w:cs="楷体_GB2312"/>
          <w:kern w:val="0"/>
          <w:szCs w:val="21"/>
          <w:highlight w:val="none"/>
        </w:rPr>
      </w:pPr>
      <w:r>
        <w:rPr>
          <w:rFonts w:hint="eastAsia"/>
          <w:highlight w:val="none"/>
        </w:rPr>
        <w:t>（根据项目具体情况自拟</w:t>
      </w:r>
      <w:r>
        <w:rPr>
          <w:rFonts w:hint="eastAsia"/>
          <w:highlight w:val="none"/>
          <w:lang w:eastAsia="zh-CN"/>
        </w:rPr>
        <w:t>，</w:t>
      </w:r>
      <w:r>
        <w:rPr>
          <w:rFonts w:hint="eastAsia"/>
          <w:highlight w:val="none"/>
          <w:lang w:val="en-US" w:eastAsia="zh-CN"/>
        </w:rPr>
        <w:t>包括上年度产品生产规模、产品情况、质量承诺等</w:t>
      </w:r>
      <w:r>
        <w:rPr>
          <w:rFonts w:hint="eastAsia"/>
          <w:highlight w:val="none"/>
        </w:rPr>
        <w:t>）</w:t>
      </w:r>
    </w:p>
    <w:p w14:paraId="20269BBD">
      <w:pPr>
        <w:pStyle w:val="25"/>
        <w:spacing w:line="360" w:lineRule="auto"/>
        <w:rPr>
          <w:rFonts w:hint="eastAsia" w:hAnsi="宋体" w:cs="楷体_GB2312"/>
          <w:kern w:val="0"/>
          <w:szCs w:val="21"/>
          <w:highlight w:val="none"/>
        </w:rPr>
      </w:pPr>
    </w:p>
    <w:p w14:paraId="5428B069">
      <w:pPr>
        <w:pStyle w:val="4"/>
        <w:keepNext/>
        <w:keepLines/>
        <w:pageBreakBefore w:val="0"/>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hint="eastAsia" w:ascii="宋体" w:hAnsi="宋体" w:eastAsia="宋体"/>
          <w:sz w:val="21"/>
          <w:szCs w:val="21"/>
          <w:highlight w:val="none"/>
        </w:rPr>
        <w:sectPr>
          <w:headerReference r:id="rId12" w:type="default"/>
          <w:footerReference r:id="rId13" w:type="default"/>
          <w:pgSz w:w="11906" w:h="16838"/>
          <w:pgMar w:top="1440" w:right="1080" w:bottom="1440" w:left="1080" w:header="454" w:footer="624" w:gutter="284"/>
          <w:pgNumType w:fmt="decimal"/>
          <w:cols w:space="720" w:num="1"/>
          <w:docGrid w:linePitch="319" w:charSpace="0"/>
        </w:sectPr>
      </w:pPr>
      <w:bookmarkStart w:id="404" w:name="_Toc3766"/>
      <w:bookmarkStart w:id="405" w:name="_Toc109736075"/>
      <w:bookmarkStart w:id="406" w:name="_Toc216582826"/>
      <w:bookmarkStart w:id="407" w:name="_Toc219175639"/>
      <w:bookmarkStart w:id="408" w:name="_Toc218935355"/>
      <w:bookmarkStart w:id="409" w:name="_Toc220229434"/>
    </w:p>
    <w:p w14:paraId="5F397449">
      <w:pPr>
        <w:pStyle w:val="4"/>
        <w:keepNext/>
        <w:keepLines/>
        <w:pageBreakBefore w:val="0"/>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ascii="宋体" w:hAnsi="宋体" w:eastAsia="宋体"/>
          <w:sz w:val="21"/>
          <w:szCs w:val="21"/>
          <w:highlight w:val="none"/>
        </w:rPr>
      </w:pPr>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8</w:t>
      </w:r>
      <w:r>
        <w:rPr>
          <w:rFonts w:hint="eastAsia" w:ascii="宋体" w:hAnsi="宋体" w:eastAsia="宋体"/>
          <w:sz w:val="21"/>
          <w:szCs w:val="21"/>
          <w:highlight w:val="none"/>
        </w:rPr>
        <w:t xml:space="preserve"> 售后服务方案及承诺</w:t>
      </w:r>
      <w:bookmarkEnd w:id="404"/>
    </w:p>
    <w:p w14:paraId="61AF9CF7">
      <w:pPr>
        <w:spacing w:before="50" w:after="50" w:line="360" w:lineRule="auto"/>
        <w:jc w:val="center"/>
        <w:rPr>
          <w:rFonts w:hint="eastAsia"/>
          <w:highlight w:val="none"/>
        </w:rPr>
      </w:pPr>
      <w:r>
        <w:rPr>
          <w:rFonts w:hint="eastAsia"/>
          <w:highlight w:val="none"/>
        </w:rPr>
        <w:t>（详细方案根据项目具体情况自拟）</w:t>
      </w:r>
    </w:p>
    <w:p w14:paraId="363276BC">
      <w:pPr>
        <w:pStyle w:val="3"/>
        <w:autoSpaceDE w:val="0"/>
        <w:autoSpaceDN w:val="0"/>
        <w:adjustRightInd w:val="0"/>
        <w:spacing w:before="0" w:after="0" w:line="360" w:lineRule="auto"/>
        <w:jc w:val="center"/>
        <w:outlineLvl w:val="9"/>
        <w:rPr>
          <w:rFonts w:hint="eastAsia" w:ascii="宋体" w:hAnsi="宋体" w:cs="宋体"/>
          <w:sz w:val="28"/>
          <w:szCs w:val="28"/>
          <w:highlight w:val="none"/>
        </w:rPr>
      </w:pPr>
    </w:p>
    <w:p w14:paraId="0CD5CFBC">
      <w:pPr>
        <w:pStyle w:val="3"/>
        <w:tabs>
          <w:tab w:val="left" w:pos="1828"/>
        </w:tabs>
        <w:autoSpaceDE w:val="0"/>
        <w:autoSpaceDN w:val="0"/>
        <w:adjustRightInd w:val="0"/>
        <w:spacing w:before="0" w:after="0" w:line="360" w:lineRule="auto"/>
        <w:jc w:val="left"/>
        <w:outlineLvl w:val="9"/>
        <w:rPr>
          <w:rFonts w:hint="eastAsia" w:ascii="宋体" w:hAnsi="宋体" w:cs="宋体"/>
          <w:sz w:val="28"/>
          <w:szCs w:val="28"/>
          <w:highlight w:val="none"/>
          <w:lang w:eastAsia="zh-CN"/>
        </w:rPr>
        <w:sectPr>
          <w:pgSz w:w="11906" w:h="16838"/>
          <w:pgMar w:top="1440" w:right="1080" w:bottom="1440" w:left="1080" w:header="454" w:footer="624" w:gutter="284"/>
          <w:pgNumType w:fmt="decimal"/>
          <w:cols w:space="720" w:num="1"/>
          <w:docGrid w:linePitch="319" w:charSpace="0"/>
        </w:sectPr>
      </w:pPr>
      <w:r>
        <w:rPr>
          <w:rFonts w:hint="eastAsia" w:ascii="宋体" w:hAnsi="宋体" w:cs="宋体"/>
          <w:sz w:val="28"/>
          <w:szCs w:val="28"/>
          <w:highlight w:val="none"/>
          <w:lang w:eastAsia="zh-CN"/>
        </w:rPr>
        <w:tab/>
      </w:r>
    </w:p>
    <w:p w14:paraId="326B6B9F">
      <w:pPr>
        <w:rPr>
          <w:rFonts w:hint="eastAsia"/>
          <w:highlight w:val="none"/>
          <w:lang w:eastAsia="zh-CN"/>
        </w:rPr>
      </w:pPr>
    </w:p>
    <w:p w14:paraId="13343C72">
      <w:pPr>
        <w:pStyle w:val="4"/>
        <w:tabs>
          <w:tab w:val="left" w:pos="5580"/>
        </w:tabs>
        <w:spacing w:before="120" w:beforeLines="50" w:after="120" w:afterLines="50" w:line="360" w:lineRule="auto"/>
        <w:jc w:val="center"/>
        <w:rPr>
          <w:rFonts w:ascii="宋体" w:hAnsi="宋体" w:eastAsia="宋体"/>
          <w:sz w:val="21"/>
          <w:szCs w:val="21"/>
          <w:highlight w:val="none"/>
        </w:rPr>
      </w:pPr>
      <w:bookmarkStart w:id="410" w:name="_Toc20055"/>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9</w:t>
      </w:r>
      <w:r>
        <w:rPr>
          <w:rFonts w:hint="eastAsia" w:ascii="宋体" w:hAnsi="宋体" w:eastAsia="宋体"/>
          <w:sz w:val="21"/>
          <w:szCs w:val="21"/>
          <w:highlight w:val="none"/>
        </w:rPr>
        <w:t xml:space="preserve"> 投标人认为需要提供的其它材料</w:t>
      </w:r>
      <w:bookmarkEnd w:id="410"/>
    </w:p>
    <w:p w14:paraId="25D8A74E">
      <w:pPr>
        <w:spacing w:before="50" w:after="50" w:line="360" w:lineRule="auto"/>
        <w:jc w:val="center"/>
        <w:rPr>
          <w:rFonts w:hint="eastAsia"/>
          <w:highlight w:val="none"/>
          <w:lang w:val="en-US" w:eastAsia="zh-CN"/>
        </w:rPr>
      </w:pPr>
      <w:r>
        <w:rPr>
          <w:rFonts w:hint="eastAsia"/>
          <w:highlight w:val="none"/>
        </w:rPr>
        <w:t>（</w:t>
      </w:r>
      <w:r>
        <w:rPr>
          <w:rFonts w:hint="eastAsia"/>
          <w:highlight w:val="none"/>
          <w:lang w:val="en-US" w:eastAsia="zh-CN"/>
        </w:rPr>
        <w:t>必备：企业介绍</w:t>
      </w:r>
    </w:p>
    <w:p w14:paraId="50A97475">
      <w:pPr>
        <w:spacing w:before="50" w:after="50" w:line="360" w:lineRule="auto"/>
        <w:jc w:val="center"/>
        <w:rPr>
          <w:rFonts w:hint="eastAsia"/>
          <w:highlight w:val="none"/>
        </w:rPr>
      </w:pPr>
      <w:r>
        <w:rPr>
          <w:rFonts w:hint="eastAsia"/>
          <w:highlight w:val="none"/>
          <w:lang w:val="en-US" w:eastAsia="zh-CN"/>
        </w:rPr>
        <w:t>其他：</w:t>
      </w:r>
      <w:r>
        <w:rPr>
          <w:rFonts w:hint="eastAsia"/>
          <w:highlight w:val="none"/>
        </w:rPr>
        <w:t>提供投标人认为能提升自身竞争力的相关材料</w:t>
      </w:r>
      <w:r>
        <w:rPr>
          <w:rFonts w:hint="eastAsia"/>
          <w:highlight w:val="none"/>
          <w:lang w:eastAsia="zh-CN"/>
        </w:rPr>
        <w:t>，</w:t>
      </w:r>
      <w:r>
        <w:rPr>
          <w:rFonts w:hint="eastAsia"/>
          <w:highlight w:val="none"/>
          <w:lang w:val="en-US" w:eastAsia="zh-CN"/>
        </w:rPr>
        <w:t>质量检测报告等</w:t>
      </w:r>
      <w:r>
        <w:rPr>
          <w:rFonts w:hint="eastAsia"/>
          <w:highlight w:val="none"/>
        </w:rPr>
        <w:t>）</w:t>
      </w:r>
    </w:p>
    <w:p w14:paraId="7E363E72">
      <w:pPr>
        <w:spacing w:before="50" w:after="50" w:line="360" w:lineRule="auto"/>
        <w:jc w:val="center"/>
        <w:rPr>
          <w:rFonts w:hint="eastAsia"/>
          <w:highlight w:val="none"/>
        </w:rPr>
        <w:sectPr>
          <w:pgSz w:w="11906" w:h="16838"/>
          <w:pgMar w:top="1440" w:right="1080" w:bottom="1440" w:left="1080" w:header="454" w:footer="624" w:gutter="284"/>
          <w:pgNumType w:fmt="decimal"/>
          <w:cols w:space="720" w:num="1"/>
          <w:docGrid w:linePitch="319" w:charSpace="0"/>
        </w:sectPr>
      </w:pPr>
    </w:p>
    <w:p w14:paraId="78E6A61B">
      <w:pPr>
        <w:keepNext w:val="0"/>
        <w:keepLines w:val="0"/>
        <w:pageBreakBefore w:val="0"/>
        <w:widowControl/>
        <w:kinsoku/>
        <w:wordWrap/>
        <w:overflowPunct/>
        <w:topLinePunct w:val="0"/>
        <w:autoSpaceDE/>
        <w:autoSpaceDN/>
        <w:bidi w:val="0"/>
        <w:adjustRightInd/>
        <w:snapToGrid/>
        <w:jc w:val="center"/>
        <w:textAlignment w:val="center"/>
        <w:outlineLvl w:val="1"/>
        <w:rPr>
          <w:rFonts w:hint="eastAsia" w:ascii="宋体" w:hAnsi="宋体" w:cs="宋体"/>
          <w:b/>
          <w:bCs/>
          <w:szCs w:val="21"/>
          <w:highlight w:val="none"/>
        </w:rPr>
      </w:pPr>
      <w:bookmarkStart w:id="411" w:name="_Toc10658"/>
      <w:r>
        <w:rPr>
          <w:rStyle w:val="205"/>
          <w:rFonts w:hint="eastAsia"/>
          <w:b/>
          <w:color w:val="auto"/>
          <w:sz w:val="21"/>
          <w:szCs w:val="21"/>
          <w:highlight w:val="none"/>
        </w:rPr>
        <w:t>附件</w:t>
      </w:r>
      <w:r>
        <w:rPr>
          <w:rStyle w:val="205"/>
          <w:rFonts w:hint="eastAsia" w:eastAsia="宋体"/>
          <w:b/>
          <w:color w:val="auto"/>
          <w:sz w:val="21"/>
          <w:szCs w:val="21"/>
          <w:highlight w:val="none"/>
          <w:lang w:val="en-US" w:eastAsia="zh-CN"/>
        </w:rPr>
        <w:t>10</w:t>
      </w:r>
      <w:r>
        <w:rPr>
          <w:rStyle w:val="205"/>
          <w:rFonts w:hint="eastAsia"/>
          <w:b/>
          <w:color w:val="auto"/>
          <w:sz w:val="21"/>
          <w:szCs w:val="21"/>
          <w:highlight w:val="none"/>
        </w:rPr>
        <w:t xml:space="preserve"> 不参与围标串标承诺书</w:t>
      </w:r>
      <w:bookmarkEnd w:id="411"/>
    </w:p>
    <w:p w14:paraId="7FF9B562">
      <w:pPr>
        <w:pStyle w:val="204"/>
        <w:spacing w:after="120"/>
        <w:ind w:firstLine="422"/>
        <w:rPr>
          <w:rFonts w:hint="eastAsia" w:ascii="宋体" w:hAnsi="宋体" w:eastAsia="宋体"/>
          <w:b/>
          <w:bCs/>
          <w:kern w:val="0"/>
          <w:sz w:val="21"/>
          <w:szCs w:val="21"/>
          <w:highlight w:val="none"/>
          <w:lang w:val="en-US" w:bidi="ar"/>
        </w:rPr>
      </w:pPr>
    </w:p>
    <w:p w14:paraId="2702975B">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本人作为经授权的投标人代表，清楚知晓我单位参与的</w:t>
      </w:r>
      <w:r>
        <w:rPr>
          <w:rFonts w:hint="eastAsia" w:ascii="宋体" w:hAnsi="宋体" w:cs="宋体"/>
          <w:kern w:val="0"/>
          <w:szCs w:val="21"/>
          <w:highlight w:val="none"/>
          <w:u w:val="single"/>
          <w:lang w:bidi="ar"/>
        </w:rPr>
        <w:t xml:space="preserve">        </w:t>
      </w:r>
      <w:r>
        <w:rPr>
          <w:rFonts w:hint="eastAsia" w:ascii="宋体" w:hAnsi="宋体" w:cs="宋体"/>
          <w:kern w:val="0"/>
          <w:szCs w:val="21"/>
          <w:highlight w:val="none"/>
          <w:lang w:bidi="ar"/>
        </w:rPr>
        <w:t>项目投标活动，对以下事项作出承诺：</w:t>
      </w:r>
    </w:p>
    <w:p w14:paraId="43543FAC">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一、我单位和我本人遵循公开、公平、公正、诚实守信的原则，依法依规参与本项目竞标。</w:t>
      </w:r>
    </w:p>
    <w:p w14:paraId="64DA009E">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二、我单位和我本人在本项目招标投标活动中，未参与围标串标。</w:t>
      </w:r>
    </w:p>
    <w:p w14:paraId="2FC726D3">
      <w:pPr>
        <w:widowControl/>
        <w:spacing w:line="360" w:lineRule="auto"/>
        <w:jc w:val="left"/>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    三、我单位如被查实在本项目招标投标活动中存在围标串标的，递交投标文件行为作为实施串通投标违法行为的关键环节，本人承担直接责任人员法律责任，接受相应行政处罚和失信惩戒。</w:t>
      </w:r>
    </w:p>
    <w:p w14:paraId="1FD6A426">
      <w:pPr>
        <w:pStyle w:val="204"/>
        <w:spacing w:after="120"/>
        <w:ind w:firstLine="480"/>
        <w:rPr>
          <w:rFonts w:hint="eastAsia"/>
          <w:highlight w:val="none"/>
        </w:rPr>
      </w:pPr>
    </w:p>
    <w:p w14:paraId="056433CD">
      <w:pPr>
        <w:pStyle w:val="204"/>
        <w:spacing w:after="120"/>
        <w:ind w:firstLine="480"/>
        <w:rPr>
          <w:rFonts w:hint="eastAsia"/>
          <w:highlight w:val="none"/>
        </w:rPr>
      </w:pPr>
    </w:p>
    <w:p w14:paraId="2C9F713A">
      <w:pPr>
        <w:spacing w:line="360" w:lineRule="auto"/>
        <w:jc w:val="right"/>
        <w:rPr>
          <w:rFonts w:hint="eastAsia" w:ascii="宋体" w:hAnsi="宋体" w:cs="宋体"/>
          <w:szCs w:val="21"/>
          <w:highlight w:val="none"/>
          <w:u w:val="single"/>
        </w:rPr>
      </w:pPr>
      <w:r>
        <w:rPr>
          <w:rFonts w:hint="eastAsia" w:ascii="宋体" w:hAnsi="宋体" w:cs="宋体"/>
          <w:szCs w:val="21"/>
          <w:highlight w:val="none"/>
        </w:rPr>
        <w:t>投标单位：</w:t>
      </w:r>
      <w:r>
        <w:rPr>
          <w:rFonts w:hint="eastAsia" w:ascii="宋体" w:hAnsi="宋体" w:cs="宋体"/>
          <w:szCs w:val="21"/>
          <w:highlight w:val="none"/>
          <w:u w:val="single"/>
        </w:rPr>
        <w:t xml:space="preserve">        （全称并加盖公章）</w:t>
      </w:r>
    </w:p>
    <w:p w14:paraId="04CB08F8">
      <w:pPr>
        <w:spacing w:line="360" w:lineRule="auto"/>
        <w:jc w:val="right"/>
        <w:rPr>
          <w:rFonts w:hint="eastAsia" w:ascii="宋体" w:hAnsi="宋体" w:cs="宋体"/>
          <w:szCs w:val="21"/>
          <w:highlight w:val="none"/>
          <w:u w:val="single"/>
        </w:rPr>
      </w:pPr>
      <w:r>
        <w:rPr>
          <w:rFonts w:hint="eastAsia" w:ascii="宋体" w:hAnsi="宋体" w:cs="宋体"/>
          <w:szCs w:val="21"/>
          <w:highlight w:val="none"/>
        </w:rPr>
        <w:t>授权委托人：</w:t>
      </w:r>
      <w:r>
        <w:rPr>
          <w:rFonts w:hint="eastAsia" w:ascii="宋体" w:hAnsi="宋体" w:cs="宋体"/>
          <w:szCs w:val="21"/>
          <w:highlight w:val="none"/>
          <w:u w:val="single"/>
        </w:rPr>
        <w:t xml:space="preserve">          （签字或盖章）</w:t>
      </w:r>
    </w:p>
    <w:p w14:paraId="4582D289">
      <w:pPr>
        <w:spacing w:line="360" w:lineRule="auto"/>
        <w:jc w:val="right"/>
        <w:rPr>
          <w:rFonts w:hint="eastAsia" w:ascii="宋体" w:hAnsi="宋体" w:cs="宋体"/>
          <w:szCs w:val="21"/>
          <w:highlight w:val="none"/>
          <w:u w:val="single"/>
        </w:rPr>
      </w:pPr>
      <w:r>
        <w:rPr>
          <w:rFonts w:hint="eastAsia" w:ascii="宋体" w:hAnsi="宋体" w:cs="宋体"/>
          <w:szCs w:val="21"/>
          <w:highlight w:val="none"/>
        </w:rPr>
        <w:t>日期：</w:t>
      </w:r>
      <w:r>
        <w:rPr>
          <w:rFonts w:hint="eastAsia" w:ascii="宋体" w:hAnsi="宋体" w:cs="宋体"/>
          <w:szCs w:val="21"/>
          <w:highlight w:val="none"/>
          <w:u w:val="single"/>
        </w:rPr>
        <w:t xml:space="preserve">    年    月    日</w:t>
      </w:r>
    </w:p>
    <w:p w14:paraId="1EA6B016">
      <w:pPr>
        <w:spacing w:before="50" w:after="50" w:line="360" w:lineRule="auto"/>
        <w:jc w:val="center"/>
        <w:rPr>
          <w:rFonts w:hint="eastAsia"/>
          <w:highlight w:val="none"/>
        </w:rPr>
      </w:pPr>
    </w:p>
    <w:p w14:paraId="08DA53BF">
      <w:pPr>
        <w:pStyle w:val="204"/>
        <w:spacing w:after="120"/>
        <w:ind w:firstLine="480"/>
        <w:rPr>
          <w:rFonts w:hint="eastAsia"/>
          <w:highlight w:val="none"/>
        </w:rPr>
        <w:sectPr>
          <w:pgSz w:w="11906" w:h="16838"/>
          <w:pgMar w:top="1440" w:right="1080" w:bottom="1440" w:left="1080" w:header="454" w:footer="624" w:gutter="284"/>
          <w:pgNumType w:fmt="decimal"/>
          <w:cols w:space="720" w:num="1"/>
          <w:docGrid w:linePitch="319" w:charSpace="0"/>
        </w:sectPr>
      </w:pPr>
    </w:p>
    <w:p w14:paraId="70DED7EA">
      <w:pPr>
        <w:pStyle w:val="3"/>
        <w:keepNext/>
        <w:keepLines/>
        <w:pageBreakBefore w:val="0"/>
        <w:widowControl w:val="0"/>
        <w:kinsoku/>
        <w:wordWrap/>
        <w:overflowPunct/>
        <w:topLinePunct w:val="0"/>
        <w:autoSpaceDE w:val="0"/>
        <w:autoSpaceDN w:val="0"/>
        <w:bidi w:val="0"/>
        <w:adjustRightInd w:val="0"/>
        <w:snapToGrid/>
        <w:spacing w:before="0" w:after="0" w:line="360" w:lineRule="auto"/>
        <w:jc w:val="center"/>
        <w:textAlignment w:val="auto"/>
        <w:rPr>
          <w:rFonts w:hint="eastAsia" w:ascii="宋体" w:hAnsi="宋体" w:cs="宋体"/>
          <w:sz w:val="28"/>
          <w:szCs w:val="28"/>
          <w:highlight w:val="none"/>
        </w:rPr>
      </w:pPr>
      <w:bookmarkStart w:id="412" w:name="_Toc24364"/>
      <w:r>
        <w:rPr>
          <w:rFonts w:hint="eastAsia" w:ascii="宋体" w:hAnsi="宋体" w:cs="宋体"/>
          <w:sz w:val="28"/>
          <w:szCs w:val="28"/>
          <w:highlight w:val="none"/>
        </w:rPr>
        <w:t>第五章 评标方法和标准</w:t>
      </w:r>
      <w:bookmarkEnd w:id="405"/>
      <w:bookmarkEnd w:id="406"/>
      <w:bookmarkEnd w:id="407"/>
      <w:bookmarkEnd w:id="408"/>
      <w:bookmarkEnd w:id="409"/>
      <w:bookmarkEnd w:id="412"/>
    </w:p>
    <w:p w14:paraId="0A6A1CD4">
      <w:pPr>
        <w:pStyle w:val="20"/>
        <w:spacing w:line="360" w:lineRule="auto"/>
        <w:ind w:firstLine="472" w:firstLineChars="225"/>
        <w:rPr>
          <w:rFonts w:hint="eastAsia" w:ascii="宋体" w:hAnsi="宋体" w:cs="宋体"/>
          <w:szCs w:val="21"/>
          <w:highlight w:val="none"/>
        </w:rPr>
      </w:pPr>
      <w:r>
        <w:rPr>
          <w:rFonts w:hint="eastAsia" w:ascii="宋体" w:hAnsi="宋体" w:cs="宋体"/>
          <w:szCs w:val="21"/>
          <w:highlight w:val="none"/>
        </w:rPr>
        <w:t>本项目将按照招标文件第一章投标人须知中“五 开标及评标”、“六 确定中标”及本章的规定评标。</w:t>
      </w:r>
      <w:bookmarkStart w:id="413" w:name="_Toc109736076"/>
      <w:bookmarkStart w:id="414" w:name="_Toc24902"/>
    </w:p>
    <w:tbl>
      <w:tblPr>
        <w:tblStyle w:val="51"/>
        <w:tblpPr w:leftFromText="180" w:rightFromText="180" w:vertAnchor="text" w:horzAnchor="page" w:tblpX="1506" w:tblpY="637"/>
        <w:tblOverlap w:val="never"/>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8"/>
        <w:gridCol w:w="2442"/>
        <w:gridCol w:w="4473"/>
        <w:gridCol w:w="1274"/>
      </w:tblGrid>
      <w:tr w14:paraId="1B2A39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5000" w:type="pct"/>
            <w:gridSpan w:val="4"/>
            <w:tcBorders>
              <w:bottom w:val="single" w:color="000000" w:sz="4" w:space="0"/>
            </w:tcBorders>
            <w:shd w:val="clear" w:color="auto" w:fill="auto"/>
            <w:vAlign w:val="center"/>
          </w:tcPr>
          <w:p w14:paraId="53F01BAF">
            <w:pPr>
              <w:keepNext w:val="0"/>
              <w:keepLines w:val="0"/>
              <w:widowControl/>
              <w:suppressLineNumbers w:val="0"/>
              <w:jc w:val="center"/>
              <w:textAlignment w:val="center"/>
              <w:rPr>
                <w:rFonts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本项目评分标准</w:t>
            </w:r>
          </w:p>
        </w:tc>
      </w:tr>
      <w:tr w14:paraId="7234BA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591" w:type="pct"/>
            <w:tcBorders>
              <w:top w:val="single" w:color="000000" w:sz="4" w:space="0"/>
              <w:bottom w:val="single" w:color="000000" w:sz="4" w:space="0"/>
              <w:right w:val="single" w:color="000000" w:sz="4" w:space="0"/>
            </w:tcBorders>
            <w:shd w:val="clear" w:color="auto" w:fill="auto"/>
            <w:vAlign w:val="center"/>
          </w:tcPr>
          <w:p w14:paraId="73E940A3">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C30E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评审内容</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8C60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评审细则</w:t>
            </w:r>
          </w:p>
        </w:tc>
        <w:tc>
          <w:tcPr>
            <w:tcW w:w="684" w:type="pct"/>
            <w:tcBorders>
              <w:top w:val="single" w:color="000000" w:sz="4" w:space="0"/>
              <w:left w:val="single" w:color="000000" w:sz="4" w:space="0"/>
              <w:bottom w:val="single" w:color="000000" w:sz="4" w:space="0"/>
            </w:tcBorders>
            <w:shd w:val="clear" w:color="auto" w:fill="auto"/>
            <w:vAlign w:val="center"/>
          </w:tcPr>
          <w:p w14:paraId="00F78C2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分值</w:t>
            </w:r>
          </w:p>
        </w:tc>
      </w:tr>
      <w:tr w14:paraId="4B770D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591" w:type="pct"/>
            <w:vMerge w:val="restart"/>
            <w:tcBorders>
              <w:top w:val="single" w:color="000000" w:sz="4" w:space="0"/>
              <w:bottom w:val="single" w:color="000000" w:sz="4" w:space="0"/>
              <w:right w:val="single" w:color="000000" w:sz="4" w:space="0"/>
            </w:tcBorders>
            <w:shd w:val="clear" w:color="auto" w:fill="auto"/>
            <w:vAlign w:val="center"/>
          </w:tcPr>
          <w:p w14:paraId="2929C6F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技术部分</w:t>
            </w: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BAD0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对招标文件技术规格要求以及现场交流需求满足的响应程度以及产品整体性能质量</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E7B2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投标人技术指标全部满足技术要求的得25分，根据招标技术要求和投标技术响应情况，对投标产品的技术指标，产品质量的可靠性、安全性进行评价。每有一处URS负偏离扣2分，扣完为止。（技术资料以该产品制造商出具的产品技术白皮书或公开发布的印刷资料或检测机构出具的检测报告为准。未按要求提供的视作不响应。）</w:t>
            </w:r>
          </w:p>
        </w:tc>
        <w:tc>
          <w:tcPr>
            <w:tcW w:w="684" w:type="pct"/>
            <w:tcBorders>
              <w:top w:val="single" w:color="000000" w:sz="4" w:space="0"/>
              <w:left w:val="single" w:color="000000" w:sz="4" w:space="0"/>
              <w:bottom w:val="single" w:color="000000" w:sz="4" w:space="0"/>
            </w:tcBorders>
            <w:shd w:val="clear" w:color="auto" w:fill="auto"/>
            <w:vAlign w:val="center"/>
          </w:tcPr>
          <w:p w14:paraId="4639B85A">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25</w:t>
            </w:r>
          </w:p>
        </w:tc>
      </w:tr>
      <w:tr w14:paraId="471A59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83"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6270B51B">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5D259">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企业能力</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4B1E9">
            <w:pPr>
              <w:keepNext w:val="0"/>
              <w:keepLines w:val="0"/>
              <w:widowControl/>
              <w:suppressLineNumbers w:val="0"/>
              <w:jc w:val="both"/>
              <w:textAlignment w:val="center"/>
              <w:rPr>
                <w:rFonts w:hint="default" w:ascii="宋体" w:hAnsi="宋体" w:eastAsia="微软雅黑" w:cs="宋体"/>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根据投标人履行能力（根据提供的供应商资质文件等评价），最高得5分，第二名得3分，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4" w:type="pct"/>
            <w:tcBorders>
              <w:top w:val="single" w:color="000000" w:sz="4" w:space="0"/>
              <w:left w:val="single" w:color="000000" w:sz="4" w:space="0"/>
              <w:bottom w:val="single" w:color="000000" w:sz="4" w:space="0"/>
            </w:tcBorders>
            <w:shd w:val="clear" w:color="auto" w:fill="auto"/>
            <w:vAlign w:val="center"/>
          </w:tcPr>
          <w:p w14:paraId="2DC5EC5B">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r>
      <w:tr w14:paraId="7387E1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83"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753B7E6D">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5148F">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产品质量保证</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8DADF">
            <w:pPr>
              <w:keepNext w:val="0"/>
              <w:keepLines w:val="0"/>
              <w:widowControl/>
              <w:suppressLineNumbers w:val="0"/>
              <w:jc w:val="both"/>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产品质量情况及质保承诺，最优得10分，第二得8分，依此类推，最低为2分。</w:t>
            </w:r>
          </w:p>
        </w:tc>
        <w:tc>
          <w:tcPr>
            <w:tcW w:w="684" w:type="pct"/>
            <w:tcBorders>
              <w:top w:val="single" w:color="000000" w:sz="4" w:space="0"/>
              <w:left w:val="single" w:color="000000" w:sz="4" w:space="0"/>
              <w:bottom w:val="single" w:color="000000" w:sz="4" w:space="0"/>
            </w:tcBorders>
            <w:shd w:val="clear" w:color="auto" w:fill="auto"/>
            <w:vAlign w:val="center"/>
          </w:tcPr>
          <w:p w14:paraId="5DE874C9">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r>
      <w:tr w14:paraId="61CA38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591" w:type="pct"/>
            <w:vMerge w:val="restart"/>
            <w:tcBorders>
              <w:top w:val="single" w:color="000000" w:sz="4" w:space="0"/>
              <w:bottom w:val="single" w:color="000000" w:sz="4" w:space="0"/>
              <w:right w:val="single" w:color="000000" w:sz="4" w:space="0"/>
            </w:tcBorders>
            <w:shd w:val="clear" w:color="auto" w:fill="auto"/>
            <w:vAlign w:val="center"/>
          </w:tcPr>
          <w:p w14:paraId="5ECE71F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商务部分</w:t>
            </w: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8745">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rPr>
              <w:t>付款</w:t>
            </w:r>
            <w:r>
              <w:rPr>
                <w:rFonts w:hint="eastAsia" w:ascii="微软雅黑" w:hAnsi="微软雅黑" w:eastAsia="微软雅黑" w:cs="微软雅黑"/>
                <w:i w:val="0"/>
                <w:iCs w:val="0"/>
                <w:color w:val="000000"/>
                <w:sz w:val="21"/>
                <w:szCs w:val="21"/>
                <w:highlight w:val="none"/>
                <w:u w:val="none"/>
                <w:lang w:val="en-US" w:eastAsia="zh-CN"/>
              </w:rPr>
              <w:t>条件响应情况</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60E8D">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根据对付款条件的响应，最优得3分，第二得2分，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4" w:type="pct"/>
            <w:tcBorders>
              <w:top w:val="single" w:color="000000" w:sz="4" w:space="0"/>
              <w:left w:val="single" w:color="000000" w:sz="4" w:space="0"/>
              <w:bottom w:val="single" w:color="000000" w:sz="4" w:space="0"/>
            </w:tcBorders>
            <w:shd w:val="clear" w:color="auto" w:fill="auto"/>
            <w:vAlign w:val="center"/>
          </w:tcPr>
          <w:p w14:paraId="4D8BF02E">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3</w:t>
            </w:r>
          </w:p>
        </w:tc>
      </w:tr>
      <w:tr w14:paraId="179454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00486017">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C894C">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 xml:space="preserve">类似业绩 </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63C0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根据投标货物近三年在中国境内向同行业供货同类产品的销售业绩情况，每一项类似业绩得0.5分，最高得2分（须提供项目合同等相关证明材料）</w:t>
            </w:r>
          </w:p>
        </w:tc>
        <w:tc>
          <w:tcPr>
            <w:tcW w:w="684" w:type="pct"/>
            <w:tcBorders>
              <w:top w:val="single" w:color="000000" w:sz="4" w:space="0"/>
              <w:left w:val="single" w:color="000000" w:sz="4" w:space="0"/>
              <w:bottom w:val="single" w:color="000000" w:sz="4" w:space="0"/>
            </w:tcBorders>
            <w:shd w:val="clear" w:color="auto" w:fill="auto"/>
            <w:vAlign w:val="center"/>
          </w:tcPr>
          <w:p w14:paraId="39B6619F">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r>
      <w:tr w14:paraId="64B8A7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7274C30D">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2EB6C">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供应商综合实力</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05623">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根据标书提供的财务情况、企业基本情况等综合评价，综合实力最高得3分，第二名得2分，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4" w:type="pct"/>
            <w:tcBorders>
              <w:top w:val="single" w:color="000000" w:sz="4" w:space="0"/>
              <w:left w:val="single" w:color="000000" w:sz="4" w:space="0"/>
              <w:bottom w:val="single" w:color="000000" w:sz="4" w:space="0"/>
            </w:tcBorders>
            <w:shd w:val="clear" w:color="auto" w:fill="auto"/>
            <w:vAlign w:val="center"/>
          </w:tcPr>
          <w:p w14:paraId="6451C4AA">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r>
      <w:tr w14:paraId="48D0F1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598DF5FD">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648CE">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售后服务</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815B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sz w:val="21"/>
                <w:szCs w:val="21"/>
                <w:highlight w:val="none"/>
                <w:u w:val="none"/>
              </w:rPr>
              <w:t>根据售后服务方案，包括但不限于：（1）服务内容、（2）</w:t>
            </w:r>
            <w:r>
              <w:rPr>
                <w:rFonts w:hint="eastAsia" w:ascii="微软雅黑" w:hAnsi="微软雅黑" w:eastAsia="微软雅黑" w:cs="微软雅黑"/>
                <w:i w:val="0"/>
                <w:iCs w:val="0"/>
                <w:color w:val="000000"/>
                <w:sz w:val="21"/>
                <w:szCs w:val="21"/>
                <w:highlight w:val="none"/>
                <w:u w:val="none"/>
                <w:lang w:val="en-US" w:eastAsia="zh-CN"/>
              </w:rPr>
              <w:t>服务</w:t>
            </w:r>
            <w:r>
              <w:rPr>
                <w:rFonts w:hint="eastAsia" w:ascii="微软雅黑" w:hAnsi="微软雅黑" w:eastAsia="微软雅黑" w:cs="微软雅黑"/>
                <w:i w:val="0"/>
                <w:iCs w:val="0"/>
                <w:color w:val="000000"/>
                <w:sz w:val="21"/>
                <w:szCs w:val="21"/>
                <w:highlight w:val="none"/>
                <w:u w:val="none"/>
              </w:rPr>
              <w:t>流程、（3）响应时间、（4）人员安排的全面性、科学性及对本项目的针对性进行评分。方案完整科学、对本项目的针对性强的得</w:t>
            </w:r>
            <w:r>
              <w:rPr>
                <w:rFonts w:hint="eastAsia" w:ascii="微软雅黑" w:hAnsi="微软雅黑" w:eastAsia="微软雅黑" w:cs="微软雅黑"/>
                <w:i w:val="0"/>
                <w:iCs w:val="0"/>
                <w:color w:val="000000"/>
                <w:sz w:val="21"/>
                <w:szCs w:val="21"/>
                <w:highlight w:val="none"/>
                <w:u w:val="none"/>
                <w:lang w:val="en-US" w:eastAsia="zh-CN"/>
              </w:rPr>
              <w:t>2</w:t>
            </w:r>
            <w:r>
              <w:rPr>
                <w:rFonts w:hint="eastAsia" w:ascii="微软雅黑" w:hAnsi="微软雅黑" w:eastAsia="微软雅黑" w:cs="微软雅黑"/>
                <w:i w:val="0"/>
                <w:iCs w:val="0"/>
                <w:color w:val="000000"/>
                <w:sz w:val="21"/>
                <w:szCs w:val="21"/>
                <w:highlight w:val="none"/>
                <w:u w:val="none"/>
              </w:rPr>
              <w:t>分，每缺1个内容扣</w:t>
            </w:r>
            <w:r>
              <w:rPr>
                <w:rFonts w:hint="eastAsia" w:ascii="微软雅黑" w:hAnsi="微软雅黑" w:eastAsia="微软雅黑" w:cs="微软雅黑"/>
                <w:i w:val="0"/>
                <w:iCs w:val="0"/>
                <w:color w:val="000000"/>
                <w:sz w:val="21"/>
                <w:szCs w:val="21"/>
                <w:highlight w:val="none"/>
                <w:u w:val="none"/>
                <w:lang w:val="en-US" w:eastAsia="zh-CN"/>
              </w:rPr>
              <w:t>0.5</w:t>
            </w:r>
            <w:r>
              <w:rPr>
                <w:rFonts w:hint="eastAsia" w:ascii="微软雅黑" w:hAnsi="微软雅黑" w:eastAsia="微软雅黑" w:cs="微软雅黑"/>
                <w:i w:val="0"/>
                <w:iCs w:val="0"/>
                <w:color w:val="000000"/>
                <w:sz w:val="21"/>
                <w:szCs w:val="21"/>
                <w:highlight w:val="none"/>
                <w:u w:val="none"/>
              </w:rPr>
              <w:t>分，每有1处不合理扣0.5分，未提供或不能满足本项目需求得0分。</w:t>
            </w:r>
          </w:p>
        </w:tc>
        <w:tc>
          <w:tcPr>
            <w:tcW w:w="684" w:type="pct"/>
            <w:tcBorders>
              <w:top w:val="single" w:color="000000" w:sz="4" w:space="0"/>
              <w:left w:val="single" w:color="000000" w:sz="4" w:space="0"/>
              <w:bottom w:val="single" w:color="000000" w:sz="4" w:space="0"/>
            </w:tcBorders>
            <w:shd w:val="clear" w:color="auto" w:fill="auto"/>
            <w:vAlign w:val="center"/>
          </w:tcPr>
          <w:p w14:paraId="5BB0459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2</w:t>
            </w:r>
          </w:p>
        </w:tc>
      </w:tr>
      <w:tr w14:paraId="222E95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91" w:type="pct"/>
            <w:tcBorders>
              <w:top w:val="single" w:color="000000" w:sz="4" w:space="0"/>
              <w:bottom w:val="single" w:color="000000" w:sz="4" w:space="0"/>
              <w:right w:val="single" w:color="000000" w:sz="4" w:space="0"/>
            </w:tcBorders>
            <w:shd w:val="clear" w:color="auto" w:fill="auto"/>
            <w:vAlign w:val="center"/>
          </w:tcPr>
          <w:p w14:paraId="6AE26BB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价格得分</w:t>
            </w: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5E1F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按照公司招标管理办法执行</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3FC7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1.基准价的确定。</w:t>
            </w:r>
          </w:p>
          <w:p w14:paraId="2FD4695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实质性响应招标文件要求且价格最低的投标报价为评标基准价。</w:t>
            </w:r>
          </w:p>
          <w:p w14:paraId="3D51362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2.评标价格得分计算。</w:t>
            </w:r>
          </w:p>
          <w:p w14:paraId="3CAE858D">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rPr>
            </w:pPr>
            <w:r>
              <w:rPr>
                <w:rFonts w:hint="default" w:ascii="微软雅黑" w:hAnsi="微软雅黑" w:eastAsia="微软雅黑" w:cs="微软雅黑"/>
                <w:i w:val="0"/>
                <w:iCs w:val="0"/>
                <w:color w:val="000000"/>
                <w:sz w:val="21"/>
                <w:szCs w:val="21"/>
                <w:highlight w:val="none"/>
                <w:u w:val="none"/>
                <w:lang w:val="en-US"/>
              </w:rPr>
              <w:t>评标价格分数=（评标基准价/投标报价）×价格权重（</w:t>
            </w:r>
            <w:r>
              <w:rPr>
                <w:rFonts w:hint="eastAsia" w:ascii="微软雅黑" w:hAnsi="微软雅黑" w:eastAsia="微软雅黑" w:cs="微软雅黑"/>
                <w:i w:val="0"/>
                <w:iCs w:val="0"/>
                <w:color w:val="000000"/>
                <w:sz w:val="21"/>
                <w:szCs w:val="21"/>
                <w:highlight w:val="none"/>
                <w:u w:val="none"/>
                <w:lang w:val="en-US" w:eastAsia="zh-CN"/>
              </w:rPr>
              <w:t>5</w:t>
            </w:r>
            <w:r>
              <w:rPr>
                <w:rFonts w:hint="default" w:ascii="微软雅黑" w:hAnsi="微软雅黑" w:eastAsia="微软雅黑" w:cs="微软雅黑"/>
                <w:i w:val="0"/>
                <w:iCs w:val="0"/>
                <w:color w:val="000000"/>
                <w:sz w:val="21"/>
                <w:szCs w:val="21"/>
                <w:highlight w:val="none"/>
                <w:u w:val="none"/>
                <w:lang w:val="en-US"/>
              </w:rPr>
              <w:t>0%）×100</w:t>
            </w:r>
          </w:p>
          <w:p w14:paraId="53E18B8D">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rPr>
            </w:pPr>
            <w:r>
              <w:rPr>
                <w:rFonts w:hint="default" w:ascii="微软雅黑" w:hAnsi="微软雅黑" w:eastAsia="微软雅黑" w:cs="微软雅黑"/>
                <w:i w:val="0"/>
                <w:iCs w:val="0"/>
                <w:color w:val="000000"/>
                <w:sz w:val="21"/>
                <w:szCs w:val="21"/>
                <w:highlight w:val="none"/>
                <w:u w:val="none"/>
                <w:lang w:val="en-US"/>
              </w:rPr>
              <w:t>注：分数出现小数点，保留小数点后二位，第三位小数四舍五入。本项满分为</w:t>
            </w:r>
            <w:r>
              <w:rPr>
                <w:rFonts w:hint="eastAsia" w:ascii="微软雅黑" w:hAnsi="微软雅黑" w:eastAsia="微软雅黑" w:cs="微软雅黑"/>
                <w:i w:val="0"/>
                <w:iCs w:val="0"/>
                <w:color w:val="000000"/>
                <w:sz w:val="21"/>
                <w:szCs w:val="21"/>
                <w:highlight w:val="none"/>
                <w:u w:val="none"/>
                <w:lang w:val="en-US" w:eastAsia="zh-CN"/>
              </w:rPr>
              <w:t>5</w:t>
            </w:r>
            <w:r>
              <w:rPr>
                <w:rFonts w:hint="default" w:ascii="微软雅黑" w:hAnsi="微软雅黑" w:eastAsia="微软雅黑" w:cs="微软雅黑"/>
                <w:i w:val="0"/>
                <w:iCs w:val="0"/>
                <w:color w:val="000000"/>
                <w:sz w:val="21"/>
                <w:szCs w:val="21"/>
                <w:highlight w:val="none"/>
                <w:u w:val="none"/>
                <w:lang w:val="en-US"/>
              </w:rPr>
              <w:t>0分。</w:t>
            </w:r>
          </w:p>
        </w:tc>
        <w:tc>
          <w:tcPr>
            <w:tcW w:w="684" w:type="pct"/>
            <w:tcBorders>
              <w:top w:val="single" w:color="000000" w:sz="4" w:space="0"/>
              <w:left w:val="single" w:color="000000" w:sz="4" w:space="0"/>
              <w:bottom w:val="single" w:color="000000" w:sz="4" w:space="0"/>
            </w:tcBorders>
            <w:shd w:val="clear" w:color="auto" w:fill="auto"/>
            <w:vAlign w:val="center"/>
          </w:tcPr>
          <w:p w14:paraId="1AF2722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50</w:t>
            </w:r>
          </w:p>
        </w:tc>
      </w:tr>
      <w:tr w14:paraId="1D592F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591" w:type="pct"/>
            <w:tcBorders>
              <w:top w:val="single" w:color="000000" w:sz="4" w:space="0"/>
              <w:right w:val="single" w:color="000000" w:sz="4" w:space="0"/>
            </w:tcBorders>
            <w:shd w:val="clear" w:color="auto" w:fill="auto"/>
            <w:vAlign w:val="center"/>
          </w:tcPr>
          <w:p w14:paraId="3239C22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合计</w:t>
            </w:r>
          </w:p>
        </w:tc>
        <w:tc>
          <w:tcPr>
            <w:tcW w:w="1315" w:type="pct"/>
            <w:tcBorders>
              <w:top w:val="single" w:color="000000" w:sz="4" w:space="0"/>
              <w:left w:val="single" w:color="000000" w:sz="4" w:space="0"/>
              <w:right w:val="single" w:color="000000" w:sz="4" w:space="0"/>
            </w:tcBorders>
            <w:shd w:val="clear" w:color="auto" w:fill="auto"/>
            <w:noWrap/>
            <w:vAlign w:val="bottom"/>
          </w:tcPr>
          <w:p w14:paraId="063957E6">
            <w:pPr>
              <w:rPr>
                <w:rFonts w:hint="eastAsia" w:ascii="等线" w:hAnsi="等线" w:eastAsia="等线" w:cs="等线"/>
                <w:i w:val="0"/>
                <w:iCs w:val="0"/>
                <w:color w:val="000000"/>
                <w:sz w:val="21"/>
                <w:szCs w:val="21"/>
                <w:highlight w:val="none"/>
                <w:u w:val="none"/>
              </w:rPr>
            </w:pPr>
          </w:p>
        </w:tc>
        <w:tc>
          <w:tcPr>
            <w:tcW w:w="2408" w:type="pct"/>
            <w:tcBorders>
              <w:top w:val="single" w:color="000000" w:sz="4" w:space="0"/>
              <w:left w:val="single" w:color="000000" w:sz="4" w:space="0"/>
              <w:right w:val="single" w:color="000000" w:sz="4" w:space="0"/>
            </w:tcBorders>
            <w:shd w:val="clear" w:color="auto" w:fill="auto"/>
            <w:noWrap/>
            <w:vAlign w:val="bottom"/>
          </w:tcPr>
          <w:p w14:paraId="11E6D8B0">
            <w:pPr>
              <w:rPr>
                <w:rFonts w:hint="eastAsia" w:ascii="等线" w:hAnsi="等线" w:eastAsia="等线" w:cs="等线"/>
                <w:i w:val="0"/>
                <w:iCs w:val="0"/>
                <w:color w:val="000000"/>
                <w:sz w:val="21"/>
                <w:szCs w:val="21"/>
                <w:highlight w:val="none"/>
                <w:u w:val="none"/>
              </w:rPr>
            </w:pPr>
          </w:p>
        </w:tc>
        <w:tc>
          <w:tcPr>
            <w:tcW w:w="684" w:type="pct"/>
            <w:tcBorders>
              <w:top w:val="single" w:color="000000" w:sz="4" w:space="0"/>
              <w:left w:val="single" w:color="000000" w:sz="4" w:space="0"/>
            </w:tcBorders>
            <w:shd w:val="clear" w:color="auto" w:fill="auto"/>
            <w:vAlign w:val="center"/>
          </w:tcPr>
          <w:p w14:paraId="215A17A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100</w:t>
            </w:r>
          </w:p>
        </w:tc>
      </w:tr>
    </w:tbl>
    <w:p w14:paraId="1F56AF5A">
      <w:pPr>
        <w:pStyle w:val="20"/>
        <w:spacing w:line="360" w:lineRule="auto"/>
        <w:rPr>
          <w:rFonts w:hint="eastAsia" w:ascii="宋体" w:hAnsi="宋体" w:cs="宋体"/>
          <w:szCs w:val="21"/>
          <w:highlight w:val="none"/>
        </w:rPr>
        <w:sectPr>
          <w:headerReference r:id="rId15" w:type="first"/>
          <w:footerReference r:id="rId17" w:type="first"/>
          <w:headerReference r:id="rId14" w:type="default"/>
          <w:footerReference r:id="rId16" w:type="default"/>
          <w:pgSz w:w="11907" w:h="16840"/>
          <w:pgMar w:top="1418" w:right="1418" w:bottom="1418" w:left="1418" w:header="567" w:footer="851" w:gutter="0"/>
          <w:pgNumType w:fmt="decimal"/>
          <w:cols w:space="720" w:num="1"/>
          <w:titlePg/>
          <w:docGrid w:linePitch="271" w:charSpace="0"/>
        </w:sectPr>
      </w:pPr>
    </w:p>
    <w:p w14:paraId="7DEF1DFC">
      <w:pPr>
        <w:widowControl/>
        <w:jc w:val="center"/>
        <w:rPr>
          <w:rFonts w:hint="eastAsia" w:ascii="宋体" w:hAnsi="宋体" w:cs="宋体"/>
          <w:b/>
          <w:bCs/>
          <w:sz w:val="28"/>
          <w:szCs w:val="28"/>
          <w:highlight w:val="none"/>
        </w:rPr>
      </w:pPr>
      <w:r>
        <w:rPr>
          <w:rFonts w:hint="eastAsia" w:ascii="宋体" w:hAnsi="宋体" w:cs="宋体"/>
          <w:b/>
          <w:bCs/>
          <w:sz w:val="28"/>
          <w:szCs w:val="28"/>
          <w:highlight w:val="none"/>
        </w:rPr>
        <w:t>第六章  货物技术要求</w:t>
      </w:r>
      <w:bookmarkEnd w:id="413"/>
      <w:bookmarkEnd w:id="414"/>
    </w:p>
    <w:p w14:paraId="5586674C">
      <w:pPr>
        <w:keepNext/>
        <w:numPr>
          <w:ilvl w:val="0"/>
          <w:numId w:val="15"/>
        </w:numPr>
        <w:spacing w:before="240" w:beforeLines="0" w:after="60" w:afterLines="0"/>
        <w:jc w:val="both"/>
        <w:outlineLvl w:val="0"/>
        <w:rPr>
          <w:rFonts w:hint="eastAsia" w:ascii="宋体" w:hAnsi="宋体" w:eastAsia="宋体" w:cs="Times New Roman"/>
          <w:b/>
          <w:caps w:val="0"/>
          <w:kern w:val="28"/>
          <w:sz w:val="30"/>
          <w:szCs w:val="30"/>
          <w:lang w:val="fr-FR" w:eastAsia="zh-CN" w:bidi="ar-SA"/>
        </w:rPr>
      </w:pPr>
      <w:bookmarkStart w:id="415" w:name="_Toc18725"/>
      <w:bookmarkStart w:id="416" w:name="_Toc1561"/>
      <w:bookmarkStart w:id="417" w:name="_Toc188181412"/>
      <w:bookmarkStart w:id="418" w:name="_Toc61418267"/>
      <w:r>
        <w:rPr>
          <w:rFonts w:hint="eastAsia" w:ascii="宋体" w:hAnsi="宋体" w:eastAsia="宋体" w:cs="Times New Roman"/>
          <w:b/>
          <w:caps w:val="0"/>
          <w:kern w:val="28"/>
          <w:sz w:val="30"/>
          <w:szCs w:val="30"/>
          <w:lang w:val="fr-FR" w:eastAsia="zh-CN" w:bidi="ar-SA"/>
        </w:rPr>
        <w:t>目的</w:t>
      </w:r>
      <w:bookmarkEnd w:id="415"/>
      <w:bookmarkEnd w:id="416"/>
    </w:p>
    <w:bookmarkEnd w:id="417"/>
    <w:bookmarkEnd w:id="418"/>
    <w:p w14:paraId="7921A08A">
      <w:pPr>
        <w:widowControl/>
        <w:spacing w:before="120" w:beforeLines="50"/>
        <w:ind w:firstLine="400" w:firstLineChars="200"/>
        <w:jc w:val="left"/>
        <w:rPr>
          <w:rFonts w:hint="eastAsia" w:ascii="宋体" w:hAnsi="宋体" w:eastAsia="宋体" w:cs="Times New Roman"/>
          <w:kern w:val="0"/>
          <w:sz w:val="20"/>
          <w:szCs w:val="20"/>
          <w:lang w:val="fr-FR"/>
        </w:rPr>
      </w:pPr>
      <w:bookmarkStart w:id="419" w:name="_Hlk528847756"/>
      <w:bookmarkStart w:id="420" w:name="_Toc28598"/>
      <w:r>
        <w:rPr>
          <w:rFonts w:ascii="宋体" w:hAnsi="宋体" w:eastAsia="宋体" w:cs="Times New Roman"/>
          <w:kern w:val="0"/>
          <w:sz w:val="20"/>
          <w:szCs w:val="20"/>
          <w:lang w:val="fr-FR"/>
        </w:rPr>
        <w:t>本</w:t>
      </w:r>
      <w:r>
        <w:rPr>
          <w:rFonts w:hint="eastAsia" w:ascii="宋体" w:hAnsi="宋体" w:eastAsia="宋体" w:cs="Times New Roman"/>
          <w:kern w:val="0"/>
          <w:sz w:val="20"/>
          <w:szCs w:val="20"/>
          <w:lang w:val="fr-FR"/>
        </w:rPr>
        <w:t>URS</w:t>
      </w:r>
      <w:r>
        <w:rPr>
          <w:rFonts w:ascii="宋体" w:hAnsi="宋体" w:eastAsia="宋体" w:cs="Times New Roman"/>
          <w:kern w:val="0"/>
          <w:sz w:val="20"/>
          <w:szCs w:val="20"/>
          <w:lang w:val="fr-FR"/>
        </w:rPr>
        <w:t>文件旨在以文件的形式描述</w:t>
      </w:r>
      <w:r>
        <w:rPr>
          <w:rFonts w:hint="eastAsia" w:ascii="宋体" w:hAnsi="宋体" w:eastAsia="宋体" w:cs="Times New Roman"/>
          <w:kern w:val="0"/>
          <w:sz w:val="20"/>
          <w:szCs w:val="20"/>
          <w:lang w:val="en-US" w:eastAsia="zh-CN"/>
        </w:rPr>
        <w:t>灭活苗抗原生产用鸡</w:t>
      </w:r>
      <w:r>
        <w:rPr>
          <w:rFonts w:hint="eastAsia" w:ascii="宋体" w:hAnsi="宋体" w:eastAsia="宋体" w:cs="Times New Roman"/>
          <w:kern w:val="0"/>
          <w:sz w:val="20"/>
          <w:szCs w:val="20"/>
          <w:lang w:val="en-US"/>
        </w:rPr>
        <w:t>血清</w:t>
      </w:r>
      <w:r>
        <w:rPr>
          <w:rFonts w:ascii="宋体" w:hAnsi="宋体" w:eastAsia="宋体" w:cs="Times New Roman"/>
          <w:kern w:val="0"/>
          <w:sz w:val="20"/>
          <w:szCs w:val="20"/>
          <w:lang w:val="fr-FR"/>
        </w:rPr>
        <w:t>需要。包括</w:t>
      </w:r>
      <w:r>
        <w:rPr>
          <w:rFonts w:hint="eastAsia" w:ascii="宋体" w:hAnsi="宋体" w:eastAsia="宋体" w:cs="Times New Roman"/>
          <w:kern w:val="0"/>
          <w:sz w:val="20"/>
          <w:szCs w:val="20"/>
          <w:lang w:val="en-US" w:eastAsia="zh-CN"/>
        </w:rPr>
        <w:t>产品</w:t>
      </w:r>
      <w:r>
        <w:rPr>
          <w:rFonts w:hint="eastAsia" w:ascii="宋体" w:hAnsi="宋体" w:eastAsia="宋体" w:cs="Times New Roman"/>
          <w:kern w:val="0"/>
          <w:sz w:val="20"/>
          <w:szCs w:val="20"/>
          <w:lang w:val="en-US"/>
        </w:rPr>
        <w:t>性状</w:t>
      </w:r>
      <w:r>
        <w:rPr>
          <w:rFonts w:ascii="宋体" w:hAnsi="宋体" w:eastAsia="宋体" w:cs="Times New Roman"/>
          <w:kern w:val="0"/>
          <w:sz w:val="20"/>
          <w:szCs w:val="20"/>
          <w:lang w:val="fr-FR"/>
        </w:rPr>
        <w:t>、</w:t>
      </w:r>
      <w:r>
        <w:rPr>
          <w:rFonts w:hint="eastAsia" w:ascii="宋体" w:hAnsi="宋体" w:eastAsia="宋体" w:cs="Times New Roman"/>
          <w:kern w:val="0"/>
          <w:sz w:val="20"/>
          <w:szCs w:val="20"/>
          <w:lang w:val="en-US"/>
        </w:rPr>
        <w:t>无菌检测</w:t>
      </w:r>
      <w:r>
        <w:rPr>
          <w:rFonts w:ascii="宋体" w:hAnsi="宋体" w:eastAsia="宋体" w:cs="Times New Roman"/>
          <w:kern w:val="0"/>
          <w:sz w:val="20"/>
          <w:szCs w:val="20"/>
          <w:lang w:val="fr-FR"/>
        </w:rPr>
        <w:t>、</w:t>
      </w:r>
      <w:r>
        <w:rPr>
          <w:rFonts w:hint="eastAsia" w:ascii="宋体" w:hAnsi="宋体" w:eastAsia="宋体" w:cs="Times New Roman"/>
          <w:kern w:val="0"/>
          <w:sz w:val="20"/>
          <w:szCs w:val="20"/>
          <w:lang w:val="en-US"/>
        </w:rPr>
        <w:t>支原体检测</w:t>
      </w:r>
      <w:r>
        <w:rPr>
          <w:rFonts w:ascii="宋体" w:hAnsi="宋体" w:eastAsia="宋体" w:cs="Times New Roman"/>
          <w:kern w:val="0"/>
          <w:sz w:val="20"/>
          <w:szCs w:val="20"/>
          <w:lang w:val="fr-FR"/>
        </w:rPr>
        <w:t>、</w:t>
      </w:r>
      <w:r>
        <w:rPr>
          <w:rFonts w:hint="eastAsia" w:ascii="宋体" w:hAnsi="宋体" w:eastAsia="宋体" w:cs="Times New Roman"/>
          <w:kern w:val="0"/>
          <w:sz w:val="20"/>
          <w:szCs w:val="20"/>
          <w:lang w:val="en-US"/>
        </w:rPr>
        <w:t>外源病毒检验</w:t>
      </w:r>
      <w:r>
        <w:rPr>
          <w:rFonts w:ascii="宋体" w:hAnsi="宋体" w:eastAsia="宋体" w:cs="Times New Roman"/>
          <w:kern w:val="0"/>
          <w:sz w:val="20"/>
          <w:szCs w:val="20"/>
          <w:lang w:val="fr-FR"/>
        </w:rPr>
        <w:t>等方面</w:t>
      </w:r>
      <w:r>
        <w:rPr>
          <w:rFonts w:hint="eastAsia" w:ascii="宋体" w:hAnsi="宋体" w:eastAsia="宋体" w:cs="Times New Roman"/>
          <w:kern w:val="0"/>
          <w:sz w:val="20"/>
          <w:szCs w:val="20"/>
          <w:lang w:val="fr-FR"/>
        </w:rPr>
        <w:t>，</w:t>
      </w:r>
      <w:r>
        <w:rPr>
          <w:rFonts w:ascii="宋体" w:hAnsi="宋体" w:eastAsia="宋体" w:cs="Times New Roman"/>
          <w:kern w:val="0"/>
          <w:sz w:val="20"/>
          <w:szCs w:val="20"/>
          <w:lang w:val="fr-FR"/>
        </w:rPr>
        <w:t>是合同等商业行为后续技术、质量体系工作的基础</w:t>
      </w:r>
      <w:r>
        <w:rPr>
          <w:rFonts w:hint="eastAsia" w:ascii="宋体" w:hAnsi="宋体" w:eastAsia="宋体" w:cs="Times New Roman"/>
          <w:kern w:val="0"/>
          <w:sz w:val="20"/>
          <w:szCs w:val="20"/>
          <w:lang w:val="fr-FR"/>
        </w:rPr>
        <w:t>，并</w:t>
      </w:r>
      <w:r>
        <w:rPr>
          <w:rFonts w:ascii="宋体" w:hAnsi="宋体" w:eastAsia="宋体" w:cs="Times New Roman"/>
          <w:kern w:val="0"/>
          <w:sz w:val="20"/>
          <w:szCs w:val="20"/>
          <w:lang w:val="fr-FR"/>
        </w:rPr>
        <w:t>将作为</w:t>
      </w:r>
      <w:r>
        <w:rPr>
          <w:rFonts w:hint="eastAsia" w:ascii="宋体" w:hAnsi="宋体" w:eastAsia="宋体" w:cs="Times New Roman"/>
          <w:kern w:val="0"/>
          <w:sz w:val="20"/>
          <w:szCs w:val="20"/>
          <w:lang w:val="en-US"/>
        </w:rPr>
        <w:t>最后</w:t>
      </w:r>
      <w:r>
        <w:rPr>
          <w:rFonts w:ascii="宋体" w:hAnsi="宋体" w:eastAsia="宋体" w:cs="Times New Roman"/>
          <w:kern w:val="0"/>
          <w:sz w:val="20"/>
          <w:szCs w:val="20"/>
          <w:lang w:val="fr-FR"/>
        </w:rPr>
        <w:t>验收的依据。</w:t>
      </w:r>
      <w:r>
        <w:rPr>
          <w:rFonts w:hint="eastAsia" w:ascii="宋体" w:hAnsi="宋体" w:eastAsia="宋体" w:cs="Times New Roman"/>
          <w:kern w:val="0"/>
          <w:sz w:val="20"/>
          <w:szCs w:val="20"/>
          <w:lang w:val="fr-FR"/>
        </w:rPr>
        <w:t>以</w:t>
      </w:r>
      <w:r>
        <w:rPr>
          <w:rFonts w:ascii="宋体" w:hAnsi="宋体" w:eastAsia="宋体" w:cs="Times New Roman"/>
          <w:kern w:val="0"/>
          <w:sz w:val="20"/>
          <w:szCs w:val="20"/>
          <w:lang w:val="fr-FR"/>
        </w:rPr>
        <w:t>保证制造商所提供的产品符合我公司的所有要求。</w:t>
      </w:r>
    </w:p>
    <w:bookmarkEnd w:id="419"/>
    <w:p w14:paraId="1BD01E72">
      <w:pPr>
        <w:keepNext/>
        <w:numPr>
          <w:ilvl w:val="0"/>
          <w:numId w:val="15"/>
        </w:numPr>
        <w:spacing w:before="240" w:beforeLines="0" w:after="60" w:afterLines="0"/>
        <w:outlineLvl w:val="0"/>
        <w:rPr>
          <w:rFonts w:hint="eastAsia" w:ascii="宋体" w:hAnsi="宋体" w:eastAsia="宋体" w:cs="Times New Roman"/>
          <w:b/>
          <w:caps/>
          <w:kern w:val="28"/>
          <w:sz w:val="30"/>
          <w:szCs w:val="30"/>
          <w:lang w:val="fr-FR" w:eastAsia="zh-CN" w:bidi="ar-SA"/>
        </w:rPr>
      </w:pPr>
      <w:bookmarkStart w:id="421" w:name="_Toc716"/>
      <w:r>
        <w:rPr>
          <w:rFonts w:hint="eastAsia" w:ascii="宋体" w:hAnsi="宋体" w:eastAsia="宋体" w:cs="Times New Roman"/>
          <w:b/>
          <w:caps/>
          <w:kern w:val="28"/>
          <w:sz w:val="30"/>
          <w:szCs w:val="30"/>
          <w:lang w:val="en-US" w:eastAsia="zh-CN" w:bidi="ar-SA"/>
        </w:rPr>
        <w:t>范围</w:t>
      </w:r>
      <w:bookmarkEnd w:id="420"/>
      <w:bookmarkEnd w:id="421"/>
    </w:p>
    <w:p w14:paraId="55946C2A">
      <w:pPr>
        <w:keepNext/>
        <w:widowControl/>
        <w:spacing w:before="240" w:after="60"/>
        <w:jc w:val="left"/>
        <w:outlineLvl w:val="0"/>
        <w:rPr>
          <w:rFonts w:hint="eastAsia" w:ascii="宋体" w:hAnsi="宋体" w:eastAsia="宋体" w:cs="Times New Roman"/>
          <w:kern w:val="0"/>
          <w:sz w:val="20"/>
          <w:szCs w:val="20"/>
          <w:highlight w:val="yellow"/>
          <w:lang w:val="fr-FR"/>
        </w:rPr>
      </w:pPr>
      <w:bookmarkStart w:id="422" w:name="_Hlk528847449"/>
      <w:r>
        <w:rPr>
          <w:rFonts w:hint="eastAsia" w:ascii="宋体" w:hAnsi="宋体" w:eastAsia="宋体" w:cs="Times New Roman"/>
          <w:kern w:val="0"/>
          <w:sz w:val="20"/>
          <w:szCs w:val="20"/>
          <w:lang w:val="en-US"/>
        </w:rPr>
        <w:t>用于规定</w:t>
      </w:r>
      <w:r>
        <w:rPr>
          <w:rFonts w:hint="eastAsia" w:ascii="宋体" w:hAnsi="宋体" w:eastAsia="宋体" w:cs="Times New Roman"/>
          <w:kern w:val="0"/>
          <w:sz w:val="20"/>
          <w:szCs w:val="20"/>
          <w:lang w:val="en-US" w:eastAsia="zh-CN"/>
        </w:rPr>
        <w:t>鸡</w:t>
      </w:r>
      <w:r>
        <w:rPr>
          <w:rFonts w:hint="eastAsia" w:ascii="宋体" w:hAnsi="宋体" w:eastAsia="宋体" w:cs="Times New Roman"/>
          <w:kern w:val="0"/>
          <w:sz w:val="20"/>
          <w:szCs w:val="20"/>
          <w:lang w:val="en-US"/>
        </w:rPr>
        <w:t>血清的质量</w:t>
      </w:r>
      <w:r>
        <w:rPr>
          <w:rFonts w:hint="eastAsia" w:ascii="宋体" w:hAnsi="宋体" w:eastAsia="宋体" w:cs="Times New Roman"/>
          <w:kern w:val="0"/>
          <w:sz w:val="20"/>
          <w:szCs w:val="20"/>
          <w:lang w:val="en-US" w:eastAsia="zh-CN"/>
        </w:rPr>
        <w:t>要求</w:t>
      </w:r>
      <w:r>
        <w:rPr>
          <w:rFonts w:hint="eastAsia" w:ascii="宋体" w:hAnsi="宋体" w:eastAsia="宋体" w:cs="Times New Roman"/>
          <w:kern w:val="0"/>
          <w:sz w:val="20"/>
          <w:szCs w:val="20"/>
          <w:lang w:val="fr-FR"/>
        </w:rPr>
        <w:t>。</w:t>
      </w:r>
    </w:p>
    <w:bookmarkEnd w:id="422"/>
    <w:p w14:paraId="1DF7E8FC">
      <w:pPr>
        <w:keepNext/>
        <w:numPr>
          <w:ilvl w:val="0"/>
          <w:numId w:val="15"/>
        </w:numPr>
        <w:spacing w:before="240" w:beforeLines="0" w:after="60" w:afterLines="0"/>
        <w:outlineLvl w:val="0"/>
        <w:rPr>
          <w:rFonts w:hint="eastAsia" w:ascii="宋体" w:hAnsi="宋体" w:eastAsia="宋体" w:cs="Times New Roman"/>
          <w:b/>
          <w:caps/>
          <w:kern w:val="28"/>
          <w:sz w:val="30"/>
          <w:szCs w:val="30"/>
          <w:lang w:val="fr-FR" w:eastAsia="zh-CN" w:bidi="ar-SA"/>
        </w:rPr>
      </w:pPr>
      <w:bookmarkStart w:id="423" w:name="_Toc16805"/>
      <w:bookmarkStart w:id="424" w:name="_Toc26852"/>
      <w:r>
        <w:rPr>
          <w:rFonts w:hint="eastAsia" w:ascii="宋体" w:hAnsi="宋体" w:eastAsia="宋体" w:cs="Times New Roman"/>
          <w:b/>
          <w:caps/>
          <w:kern w:val="28"/>
          <w:sz w:val="30"/>
          <w:szCs w:val="30"/>
          <w:lang w:val="fr-FR" w:eastAsia="zh-CN" w:bidi="ar-SA"/>
        </w:rPr>
        <w:t>定义和缩略语</w:t>
      </w:r>
      <w:bookmarkEnd w:id="423"/>
      <w:bookmarkEnd w:id="424"/>
    </w:p>
    <w:tbl>
      <w:tblPr>
        <w:tblStyle w:val="51"/>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7371"/>
      </w:tblGrid>
      <w:tr w14:paraId="3B43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093" w:type="dxa"/>
            <w:shd w:val="clear" w:color="auto" w:fill="D9D9D9"/>
            <w:noWrap w:val="0"/>
            <w:vAlign w:val="center"/>
          </w:tcPr>
          <w:p w14:paraId="1C7EA8E2">
            <w:pPr>
              <w:widowControl/>
              <w:ind w:firstLine="160" w:firstLineChars="67"/>
              <w:jc w:val="center"/>
              <w:rPr>
                <w:rFonts w:ascii="宋体" w:hAnsi="宋体" w:eastAsia="宋体" w:cs="Times New Roman"/>
                <w:kern w:val="0"/>
                <w:sz w:val="24"/>
                <w:szCs w:val="24"/>
                <w:lang w:val="fr-FR"/>
              </w:rPr>
            </w:pPr>
            <w:bookmarkStart w:id="425" w:name="_Hlk528847918"/>
            <w:r>
              <w:rPr>
                <w:rFonts w:ascii="宋体" w:hAnsi="宋体" w:eastAsia="宋体" w:cs="Times New Roman"/>
                <w:kern w:val="0"/>
                <w:sz w:val="24"/>
                <w:szCs w:val="24"/>
                <w:lang w:val="fr-FR"/>
              </w:rPr>
              <w:t>缩写</w:t>
            </w:r>
          </w:p>
        </w:tc>
        <w:tc>
          <w:tcPr>
            <w:tcW w:w="7371" w:type="dxa"/>
            <w:shd w:val="clear" w:color="auto" w:fill="D9D9D9"/>
            <w:noWrap w:val="0"/>
            <w:vAlign w:val="center"/>
          </w:tcPr>
          <w:p w14:paraId="47EA5B02">
            <w:pPr>
              <w:widowControl/>
              <w:ind w:firstLine="420"/>
              <w:jc w:val="center"/>
              <w:rPr>
                <w:rFonts w:ascii="宋体" w:hAnsi="宋体" w:eastAsia="宋体" w:cs="Times New Roman"/>
                <w:kern w:val="0"/>
                <w:sz w:val="24"/>
                <w:szCs w:val="24"/>
                <w:lang w:val="fr-FR"/>
              </w:rPr>
            </w:pPr>
            <w:r>
              <w:rPr>
                <w:rFonts w:ascii="宋体" w:hAnsi="宋体" w:eastAsia="宋体" w:cs="Times New Roman"/>
                <w:kern w:val="0"/>
                <w:sz w:val="24"/>
                <w:szCs w:val="24"/>
                <w:lang w:val="fr-FR"/>
              </w:rPr>
              <w:t>定义</w:t>
            </w:r>
          </w:p>
        </w:tc>
      </w:tr>
      <w:tr w14:paraId="41D4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6277E6B8">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GMP</w:t>
            </w:r>
          </w:p>
        </w:tc>
        <w:tc>
          <w:tcPr>
            <w:tcW w:w="7371" w:type="dxa"/>
            <w:noWrap w:val="0"/>
            <w:vAlign w:val="center"/>
          </w:tcPr>
          <w:p w14:paraId="0657987A">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Good Manufacturing Practice药品生产质量管理规范</w:t>
            </w:r>
          </w:p>
        </w:tc>
      </w:tr>
      <w:tr w14:paraId="6ECB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3407BF49">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FDA</w:t>
            </w:r>
          </w:p>
        </w:tc>
        <w:tc>
          <w:tcPr>
            <w:tcW w:w="7371" w:type="dxa"/>
            <w:noWrap w:val="0"/>
            <w:vAlign w:val="center"/>
          </w:tcPr>
          <w:p w14:paraId="059DCBD2">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Food and Drug Administration 美国食品和药品管理局</w:t>
            </w:r>
          </w:p>
        </w:tc>
      </w:tr>
      <w:tr w14:paraId="3721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4D8145F3">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URS</w:t>
            </w:r>
          </w:p>
        </w:tc>
        <w:tc>
          <w:tcPr>
            <w:tcW w:w="7371" w:type="dxa"/>
            <w:noWrap w:val="0"/>
            <w:vAlign w:val="center"/>
          </w:tcPr>
          <w:p w14:paraId="05B63737">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User Requirement Specification用户需求说明书</w:t>
            </w:r>
          </w:p>
        </w:tc>
      </w:tr>
      <w:tr w14:paraId="66BD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1506984E">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WHO</w:t>
            </w:r>
          </w:p>
        </w:tc>
        <w:tc>
          <w:tcPr>
            <w:tcW w:w="7371" w:type="dxa"/>
            <w:noWrap w:val="0"/>
            <w:vAlign w:val="center"/>
          </w:tcPr>
          <w:p w14:paraId="23E06483">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World Health Organization 世界卫生组织</w:t>
            </w:r>
          </w:p>
        </w:tc>
      </w:tr>
      <w:bookmarkEnd w:id="425"/>
    </w:tbl>
    <w:p w14:paraId="437B8667">
      <w:pPr>
        <w:keepNext/>
        <w:numPr>
          <w:ilvl w:val="0"/>
          <w:numId w:val="15"/>
        </w:numPr>
        <w:spacing w:before="240" w:beforeLines="0" w:after="60" w:afterLines="0"/>
        <w:outlineLvl w:val="0"/>
        <w:rPr>
          <w:rFonts w:ascii="宋体" w:hAnsi="宋体" w:eastAsia="宋体" w:cs="Times New Roman"/>
          <w:b/>
          <w:caps/>
          <w:color w:val="000000"/>
          <w:kern w:val="28"/>
          <w:sz w:val="30"/>
          <w:szCs w:val="30"/>
          <w:lang w:val="en-US" w:eastAsia="zh-CN" w:bidi="ar-SA"/>
        </w:rPr>
      </w:pPr>
      <w:bookmarkStart w:id="426" w:name="_Toc14542"/>
      <w:bookmarkStart w:id="427" w:name="_Toc20878"/>
      <w:r>
        <w:rPr>
          <w:rFonts w:hint="eastAsia" w:ascii="宋体" w:hAnsi="宋体" w:eastAsia="宋体" w:cs="Times New Roman"/>
          <w:b/>
          <w:caps/>
          <w:color w:val="000000"/>
          <w:kern w:val="28"/>
          <w:sz w:val="30"/>
          <w:szCs w:val="30"/>
          <w:lang w:val="en-US" w:eastAsia="zh-CN" w:bidi="ar-SA"/>
        </w:rPr>
        <w:t>技术规格</w:t>
      </w:r>
      <w:bookmarkEnd w:id="426"/>
      <w:bookmarkEnd w:id="427"/>
    </w:p>
    <w:p w14:paraId="6BFF43E3">
      <w:pPr>
        <w:widowControl/>
        <w:ind w:firstLine="400" w:firstLineChars="200"/>
        <w:jc w:val="left"/>
        <w:rPr>
          <w:rFonts w:hint="eastAsia" w:ascii="宋体" w:hAnsi="宋体" w:eastAsia="宋体" w:cs="宋体"/>
          <w:color w:val="000000"/>
          <w:kern w:val="2"/>
          <w:sz w:val="20"/>
          <w:szCs w:val="20"/>
          <w:lang w:val="en-US"/>
        </w:rPr>
      </w:pPr>
      <w:r>
        <w:rPr>
          <w:rFonts w:hint="eastAsia" w:ascii="宋体" w:hAnsi="宋体" w:eastAsia="宋体" w:cs="Times New Roman"/>
          <w:color w:val="000000"/>
          <w:kern w:val="0"/>
          <w:sz w:val="20"/>
          <w:szCs w:val="20"/>
          <w:lang w:val="en-US"/>
        </w:rPr>
        <w:t>URS中用户仅提出基本的质量要求，并未涵盖和限制制造商所提供的产品具有更高的制造标准。制造方的产品应满足国家有关</w:t>
      </w:r>
      <w:r>
        <w:rPr>
          <w:rFonts w:hint="eastAsia" w:ascii="宋体" w:hAnsi="宋体" w:eastAsia="宋体" w:cs="Times New Roman"/>
          <w:color w:val="000000"/>
          <w:kern w:val="0"/>
          <w:sz w:val="20"/>
          <w:szCs w:val="20"/>
          <w:lang w:val="en-US" w:eastAsia="zh-CN"/>
        </w:rPr>
        <w:t>规定</w:t>
      </w:r>
      <w:r>
        <w:rPr>
          <w:rFonts w:hint="eastAsia" w:ascii="宋体" w:hAnsi="宋体" w:eastAsia="宋体" w:cs="Times New Roman"/>
          <w:color w:val="000000"/>
          <w:kern w:val="0"/>
          <w:sz w:val="20"/>
          <w:szCs w:val="20"/>
          <w:lang w:val="en-US"/>
        </w:rPr>
        <w:t>、规程、规范和强制性标准要求。</w:t>
      </w:r>
    </w:p>
    <w:p w14:paraId="2ED22F3F">
      <w:pPr>
        <w:keepNext/>
        <w:numPr>
          <w:ilvl w:val="1"/>
          <w:numId w:val="15"/>
        </w:numPr>
        <w:spacing w:before="240" w:beforeLines="0" w:after="60" w:afterLines="0"/>
        <w:outlineLvl w:val="1"/>
        <w:rPr>
          <w:rFonts w:hint="eastAsia" w:ascii="Times New Roman" w:hAnsi="Times New Roman" w:eastAsia="宋体" w:cs="Times New Roman"/>
          <w:b/>
          <w:sz w:val="28"/>
          <w:lang w:val="fr-FR" w:eastAsia="zh-CN" w:bidi="ar-SA"/>
        </w:rPr>
      </w:pPr>
      <w:r>
        <w:rPr>
          <w:rFonts w:hint="eastAsia" w:ascii="Times New Roman" w:hAnsi="Times New Roman" w:eastAsia="宋体" w:cs="Times New Roman"/>
          <w:b/>
          <w:sz w:val="28"/>
          <w:lang w:val="en-US" w:eastAsia="zh-CN" w:bidi="ar-SA"/>
        </w:rPr>
        <w:t>标准依据</w:t>
      </w:r>
    </w:p>
    <w:p w14:paraId="4B9C9702">
      <w:pPr>
        <w:widowControl/>
        <w:jc w:val="left"/>
        <w:rPr>
          <w:rFonts w:hint="eastAsia" w:ascii="宋体" w:hAnsi="宋体" w:eastAsia="宋体" w:cs="Times New Roman"/>
          <w:color w:val="000000"/>
          <w:kern w:val="0"/>
          <w:sz w:val="20"/>
          <w:szCs w:val="20"/>
          <w:lang w:val="en-US" w:eastAsia="zh-CN"/>
        </w:rPr>
      </w:pPr>
      <w:r>
        <w:rPr>
          <w:rFonts w:hint="eastAsia" w:ascii="宋体" w:hAnsi="宋体" w:eastAsia="宋体" w:cs="Times New Roman"/>
          <w:color w:val="000000"/>
          <w:kern w:val="0"/>
          <w:sz w:val="20"/>
          <w:szCs w:val="20"/>
          <w:lang w:val="en-US"/>
        </w:rPr>
        <w:t>标准依据</w:t>
      </w:r>
      <w:r>
        <w:rPr>
          <w:rFonts w:hint="eastAsia" w:ascii="宋体" w:hAnsi="宋体" w:eastAsia="宋体" w:cs="Times New Roman"/>
          <w:color w:val="000000"/>
          <w:kern w:val="0"/>
          <w:sz w:val="20"/>
          <w:szCs w:val="20"/>
          <w:lang w:val="en-US" w:eastAsia="zh-CN"/>
        </w:rPr>
        <w:t>现行</w:t>
      </w:r>
      <w:r>
        <w:rPr>
          <w:rFonts w:hint="eastAsia" w:ascii="宋体" w:hAnsi="宋体" w:eastAsia="宋体" w:cs="Times New Roman"/>
          <w:color w:val="000000"/>
          <w:kern w:val="0"/>
          <w:sz w:val="20"/>
          <w:szCs w:val="20"/>
          <w:lang w:val="en-US"/>
        </w:rPr>
        <w:t>《中华人民共和国兽药典》</w:t>
      </w:r>
      <w:r>
        <w:rPr>
          <w:rFonts w:hint="eastAsia" w:ascii="宋体" w:hAnsi="宋体" w:eastAsia="宋体" w:cs="Times New Roman"/>
          <w:color w:val="000000"/>
          <w:kern w:val="0"/>
          <w:sz w:val="20"/>
          <w:szCs w:val="20"/>
          <w:lang w:val="en-US" w:eastAsia="zh-CN"/>
        </w:rPr>
        <w:t>2020年版一部</w:t>
      </w:r>
      <w:r>
        <w:rPr>
          <w:rFonts w:hint="eastAsia" w:ascii="宋体" w:hAnsi="宋体" w:eastAsia="宋体" w:cs="Times New Roman"/>
          <w:color w:val="000000"/>
          <w:kern w:val="0"/>
          <w:sz w:val="20"/>
          <w:szCs w:val="20"/>
          <w:lang w:val="en-US"/>
        </w:rPr>
        <w:t>附录</w:t>
      </w:r>
      <w:r>
        <w:rPr>
          <w:rFonts w:hint="eastAsia" w:ascii="宋体" w:hAnsi="宋体" w:eastAsia="宋体" w:cs="Times New Roman"/>
          <w:color w:val="000000"/>
          <w:kern w:val="0"/>
          <w:sz w:val="20"/>
          <w:szCs w:val="20"/>
          <w:lang w:val="en-US" w:eastAsia="zh-CN"/>
        </w:rPr>
        <w:t>检验。</w:t>
      </w:r>
    </w:p>
    <w:p w14:paraId="75918CF8">
      <w:pPr>
        <w:keepNext/>
        <w:numPr>
          <w:ilvl w:val="1"/>
          <w:numId w:val="15"/>
        </w:numPr>
        <w:spacing w:before="240" w:beforeLines="0" w:after="60" w:afterLines="0"/>
        <w:outlineLvl w:val="1"/>
        <w:rPr>
          <w:rFonts w:hint="eastAsia" w:ascii="Times New Roman" w:hAnsi="Times New Roman" w:eastAsia="宋体" w:cs="Times New Roman"/>
          <w:b/>
          <w:sz w:val="28"/>
          <w:lang w:val="en-US" w:eastAsia="zh-CN" w:bidi="ar-SA"/>
        </w:rPr>
      </w:pPr>
      <w:r>
        <w:rPr>
          <w:rFonts w:hint="eastAsia" w:ascii="Times New Roman" w:hAnsi="Times New Roman" w:eastAsia="宋体" w:cs="Times New Roman"/>
          <w:b/>
          <w:sz w:val="28"/>
          <w:lang w:val="en-US" w:eastAsia="zh-CN" w:bidi="ar-SA"/>
        </w:rPr>
        <w:t xml:space="preserve"> 质量标准</w:t>
      </w:r>
    </w:p>
    <w:p w14:paraId="35F29558">
      <w:pPr>
        <w:keepNext/>
        <w:numPr>
          <w:ilvl w:val="2"/>
          <w:numId w:val="15"/>
        </w:numPr>
        <w:spacing w:before="240" w:beforeLines="0" w:after="60" w:afterLines="0"/>
        <w:outlineLvl w:val="2"/>
        <w:rPr>
          <w:rFonts w:hint="eastAsia" w:ascii="Times New Roman" w:hAnsi="Times New Roman" w:eastAsia="宋体" w:cs="Times New Roman"/>
          <w:i/>
          <w:sz w:val="24"/>
          <w:lang w:val="fr-FR" w:eastAsia="zh-CN" w:bidi="ar-SA"/>
        </w:rPr>
      </w:pPr>
      <w:r>
        <w:rPr>
          <w:rFonts w:hint="eastAsia" w:ascii="Times New Roman" w:hAnsi="Times New Roman" w:eastAsia="宋体" w:cs="Times New Roman"/>
          <w:i/>
          <w:sz w:val="24"/>
          <w:lang w:val="fr-FR" w:eastAsia="zh-CN" w:bidi="ar-SA"/>
        </w:rPr>
        <w:t xml:space="preserve">性状  </w:t>
      </w:r>
    </w:p>
    <w:p w14:paraId="6C5E653D">
      <w:pPr>
        <w:widowControl/>
        <w:numPr>
          <w:ilvl w:val="0"/>
          <w:numId w:val="16"/>
        </w:numPr>
        <w:ind w:left="425" w:leftChars="0" w:hanging="425" w:firstLineChars="0"/>
        <w:jc w:val="left"/>
        <w:rPr>
          <w:rFonts w:hint="eastAsia" w:ascii="Times New Roman" w:hAnsi="Times New Roman" w:eastAsia="宋体" w:cs="Times New Roman"/>
          <w:kern w:val="0"/>
          <w:sz w:val="20"/>
          <w:szCs w:val="20"/>
          <w:lang w:val="fr-FR"/>
        </w:rPr>
      </w:pPr>
      <w:r>
        <w:rPr>
          <w:rFonts w:hint="eastAsia" w:ascii="Times New Roman" w:hAnsi="Times New Roman" w:eastAsia="宋体" w:cs="Times New Roman"/>
          <w:kern w:val="0"/>
          <w:sz w:val="20"/>
          <w:szCs w:val="20"/>
          <w:lang w:val="fr-FR"/>
        </w:rPr>
        <w:t>澄清稍黏稠的</w:t>
      </w:r>
      <w:r>
        <w:rPr>
          <w:rFonts w:hint="eastAsia" w:ascii="Times New Roman" w:hAnsi="Times New Roman" w:eastAsia="宋体" w:cs="Times New Roman"/>
          <w:kern w:val="0"/>
          <w:sz w:val="20"/>
          <w:szCs w:val="20"/>
          <w:lang w:val="en-US" w:eastAsia="zh-CN"/>
        </w:rPr>
        <w:t>浅黄色</w:t>
      </w:r>
      <w:r>
        <w:rPr>
          <w:rFonts w:hint="eastAsia" w:ascii="Times New Roman" w:hAnsi="Times New Roman" w:eastAsia="宋体" w:cs="Times New Roman"/>
          <w:kern w:val="0"/>
          <w:sz w:val="20"/>
          <w:szCs w:val="20"/>
          <w:lang w:val="fr-FR"/>
        </w:rPr>
        <w:t>液体。</w:t>
      </w:r>
    </w:p>
    <w:p w14:paraId="76FC01A9">
      <w:pPr>
        <w:widowControl/>
        <w:numPr>
          <w:ilvl w:val="0"/>
          <w:numId w:val="16"/>
        </w:numPr>
        <w:ind w:left="425" w:leftChars="0" w:hanging="425" w:firstLineChars="0"/>
        <w:jc w:val="left"/>
        <w:rPr>
          <w:rFonts w:hint="eastAsia" w:ascii="宋体" w:hAnsi="宋体" w:eastAsia="宋体" w:cs="宋体"/>
          <w:kern w:val="0"/>
          <w:sz w:val="20"/>
          <w:szCs w:val="20"/>
          <w:lang w:val="fr-FR"/>
        </w:rPr>
      </w:pPr>
      <w:r>
        <w:rPr>
          <w:rFonts w:hint="eastAsia" w:ascii="Times New Roman" w:hAnsi="Times New Roman" w:eastAsia="宋体" w:cs="Times New Roman"/>
          <w:kern w:val="0"/>
          <w:sz w:val="20"/>
          <w:szCs w:val="20"/>
          <w:lang w:val="fr-FR"/>
        </w:rPr>
        <w:t>无异物。</w:t>
      </w:r>
    </w:p>
    <w:p w14:paraId="2E8116F7">
      <w:pPr>
        <w:widowControl/>
        <w:numPr>
          <w:ilvl w:val="0"/>
          <w:numId w:val="16"/>
        </w:numPr>
        <w:ind w:left="425" w:leftChars="0" w:hanging="425" w:firstLineChars="0"/>
        <w:jc w:val="left"/>
        <w:rPr>
          <w:rFonts w:hint="eastAsia" w:ascii="宋体" w:hAnsi="宋体" w:eastAsia="宋体" w:cs="宋体"/>
          <w:kern w:val="0"/>
          <w:sz w:val="20"/>
          <w:szCs w:val="20"/>
          <w:lang w:val="fr-FR"/>
        </w:rPr>
      </w:pPr>
      <w:r>
        <w:rPr>
          <w:rFonts w:hint="eastAsia" w:ascii="Times New Roman" w:hAnsi="Times New Roman" w:eastAsia="宋体" w:cs="Times New Roman"/>
          <w:kern w:val="0"/>
          <w:sz w:val="20"/>
          <w:szCs w:val="20"/>
          <w:lang w:val="fr-FR"/>
        </w:rPr>
        <w:t>冻融后可能存在少量的絮状沉淀</w:t>
      </w:r>
      <w:r>
        <w:rPr>
          <w:rFonts w:hint="eastAsia" w:ascii="宋体" w:hAnsi="宋体" w:eastAsia="宋体" w:cs="宋体"/>
          <w:kern w:val="0"/>
          <w:sz w:val="20"/>
          <w:szCs w:val="20"/>
          <w:lang w:val="fr-FR"/>
        </w:rPr>
        <w:t>。</w:t>
      </w:r>
    </w:p>
    <w:p w14:paraId="3D49A0D9">
      <w:pPr>
        <w:keepNext/>
        <w:numPr>
          <w:ilvl w:val="2"/>
          <w:numId w:val="15"/>
        </w:numPr>
        <w:spacing w:before="240" w:beforeLines="0" w:after="60" w:afterLines="0"/>
        <w:outlineLvl w:val="2"/>
        <w:rPr>
          <w:rFonts w:hint="eastAsia" w:ascii="Times New Roman" w:hAnsi="Times New Roman" w:eastAsia="宋体" w:cs="Times New Roman"/>
          <w:i/>
          <w:sz w:val="24"/>
          <w:lang w:val="fr-FR" w:eastAsia="zh-CN" w:bidi="ar-SA"/>
        </w:rPr>
      </w:pPr>
      <w:r>
        <w:rPr>
          <w:rFonts w:hint="eastAsia" w:ascii="Times New Roman" w:hAnsi="Times New Roman" w:eastAsia="宋体" w:cs="Times New Roman"/>
          <w:i/>
          <w:sz w:val="24"/>
          <w:lang w:val="fr-FR" w:eastAsia="zh-CN" w:bidi="ar-SA"/>
        </w:rPr>
        <w:t xml:space="preserve">无菌检验  </w:t>
      </w:r>
    </w:p>
    <w:p w14:paraId="22135628">
      <w:pPr>
        <w:widowControl/>
        <w:jc w:val="left"/>
        <w:rPr>
          <w:rFonts w:hint="eastAsia" w:ascii="宋体" w:hAnsi="宋体" w:eastAsia="宋体" w:cs="宋体"/>
          <w:kern w:val="0"/>
          <w:sz w:val="20"/>
          <w:szCs w:val="20"/>
          <w:lang w:val="fr-FR"/>
        </w:rPr>
      </w:pPr>
      <w:r>
        <w:rPr>
          <w:rFonts w:hint="eastAsia" w:ascii="宋体" w:hAnsi="宋体" w:eastAsia="宋体" w:cs="宋体"/>
          <w:kern w:val="0"/>
          <w:sz w:val="20"/>
          <w:szCs w:val="20"/>
          <w:lang w:val="fr-FR"/>
        </w:rPr>
        <w:t>按现行《</w:t>
      </w:r>
      <w:r>
        <w:rPr>
          <w:rFonts w:hint="eastAsia" w:ascii="宋体" w:hAnsi="宋体" w:eastAsia="宋体" w:cs="Times New Roman"/>
          <w:color w:val="000000"/>
          <w:kern w:val="0"/>
          <w:sz w:val="20"/>
          <w:szCs w:val="20"/>
          <w:lang w:val="en-US"/>
        </w:rPr>
        <w:t>中华人民共和国兽药典</w:t>
      </w:r>
      <w:r>
        <w:rPr>
          <w:rFonts w:hint="eastAsia" w:ascii="宋体" w:hAnsi="宋体" w:eastAsia="宋体" w:cs="宋体"/>
          <w:kern w:val="0"/>
          <w:sz w:val="20"/>
          <w:szCs w:val="20"/>
          <w:lang w:val="fr-FR"/>
        </w:rPr>
        <w:t>》</w:t>
      </w:r>
      <w:r>
        <w:rPr>
          <w:rFonts w:hint="eastAsia" w:ascii="宋体" w:hAnsi="宋体" w:eastAsia="宋体" w:cs="Times New Roman"/>
          <w:color w:val="000000"/>
          <w:kern w:val="0"/>
          <w:sz w:val="20"/>
          <w:szCs w:val="20"/>
          <w:lang w:val="en-US" w:eastAsia="zh-CN"/>
        </w:rPr>
        <w:t>2020年版一部</w:t>
      </w:r>
      <w:r>
        <w:rPr>
          <w:rFonts w:hint="eastAsia" w:ascii="宋体" w:hAnsi="宋体" w:eastAsia="宋体" w:cs="Times New Roman"/>
          <w:color w:val="000000"/>
          <w:kern w:val="0"/>
          <w:sz w:val="20"/>
          <w:szCs w:val="20"/>
          <w:lang w:val="en-US"/>
        </w:rPr>
        <w:t>附录</w:t>
      </w:r>
      <w:r>
        <w:rPr>
          <w:rFonts w:hint="eastAsia" w:ascii="宋体" w:hAnsi="宋体" w:eastAsia="宋体" w:cs="宋体"/>
          <w:kern w:val="0"/>
          <w:sz w:val="20"/>
          <w:szCs w:val="20"/>
          <w:lang w:val="fr-FR"/>
        </w:rPr>
        <w:t>进行检验，应无菌生长。</w:t>
      </w:r>
    </w:p>
    <w:p w14:paraId="42F53B4D">
      <w:pPr>
        <w:keepNext/>
        <w:numPr>
          <w:ilvl w:val="2"/>
          <w:numId w:val="15"/>
        </w:numPr>
        <w:spacing w:before="240" w:beforeLines="0" w:after="60" w:afterLines="0"/>
        <w:outlineLvl w:val="2"/>
        <w:rPr>
          <w:rFonts w:hint="eastAsia" w:ascii="Times New Roman" w:hAnsi="Times New Roman" w:eastAsia="宋体" w:cs="Times New Roman"/>
          <w:i/>
          <w:sz w:val="24"/>
          <w:lang w:val="fr-FR" w:eastAsia="zh-CN" w:bidi="ar-SA"/>
        </w:rPr>
      </w:pPr>
      <w:r>
        <w:rPr>
          <w:rFonts w:hint="eastAsia" w:ascii="Times New Roman" w:hAnsi="Times New Roman" w:eastAsia="宋体" w:cs="Times New Roman"/>
          <w:i/>
          <w:sz w:val="24"/>
          <w:lang w:val="fr-FR" w:eastAsia="zh-CN" w:bidi="ar-SA"/>
        </w:rPr>
        <w:t xml:space="preserve">支原体检验  </w:t>
      </w:r>
    </w:p>
    <w:p w14:paraId="4D58500E">
      <w:pPr>
        <w:widowControl/>
        <w:jc w:val="left"/>
        <w:rPr>
          <w:rFonts w:hint="eastAsia" w:ascii="宋体" w:hAnsi="宋体" w:eastAsia="宋体" w:cs="宋体"/>
          <w:kern w:val="0"/>
          <w:sz w:val="20"/>
          <w:szCs w:val="20"/>
          <w:lang w:val="fr-FR"/>
        </w:rPr>
      </w:pPr>
      <w:r>
        <w:rPr>
          <w:rFonts w:hint="eastAsia" w:ascii="宋体" w:hAnsi="宋体" w:eastAsia="宋体" w:cs="宋体"/>
          <w:kern w:val="0"/>
          <w:sz w:val="20"/>
          <w:szCs w:val="20"/>
          <w:lang w:val="fr-FR"/>
        </w:rPr>
        <w:t>按现行《</w:t>
      </w:r>
      <w:r>
        <w:rPr>
          <w:rFonts w:hint="eastAsia" w:ascii="宋体" w:hAnsi="宋体" w:eastAsia="宋体" w:cs="Times New Roman"/>
          <w:color w:val="000000"/>
          <w:kern w:val="0"/>
          <w:sz w:val="20"/>
          <w:szCs w:val="20"/>
          <w:lang w:val="en-US"/>
        </w:rPr>
        <w:t>中华人民共和国兽药典</w:t>
      </w:r>
      <w:r>
        <w:rPr>
          <w:rFonts w:hint="eastAsia" w:ascii="宋体" w:hAnsi="宋体" w:eastAsia="宋体" w:cs="宋体"/>
          <w:kern w:val="0"/>
          <w:sz w:val="20"/>
          <w:szCs w:val="20"/>
          <w:lang w:val="fr-FR"/>
        </w:rPr>
        <w:t>》</w:t>
      </w:r>
      <w:r>
        <w:rPr>
          <w:rFonts w:hint="eastAsia" w:ascii="宋体" w:hAnsi="宋体" w:eastAsia="宋体" w:cs="Times New Roman"/>
          <w:color w:val="000000"/>
          <w:kern w:val="0"/>
          <w:sz w:val="20"/>
          <w:szCs w:val="20"/>
          <w:lang w:val="en-US" w:eastAsia="zh-CN"/>
        </w:rPr>
        <w:t>2020年版一部</w:t>
      </w:r>
      <w:r>
        <w:rPr>
          <w:rFonts w:hint="eastAsia" w:ascii="宋体" w:hAnsi="宋体" w:eastAsia="宋体" w:cs="Times New Roman"/>
          <w:color w:val="000000"/>
          <w:kern w:val="0"/>
          <w:sz w:val="20"/>
          <w:szCs w:val="20"/>
          <w:lang w:val="en-US"/>
        </w:rPr>
        <w:t>附录</w:t>
      </w:r>
      <w:r>
        <w:rPr>
          <w:rFonts w:hint="eastAsia" w:ascii="宋体" w:hAnsi="宋体" w:eastAsia="宋体" w:cs="宋体"/>
          <w:kern w:val="0"/>
          <w:sz w:val="20"/>
          <w:szCs w:val="20"/>
          <w:lang w:val="fr-FR"/>
        </w:rPr>
        <w:t>进行检验，应无支原体生长。</w:t>
      </w:r>
    </w:p>
    <w:p w14:paraId="24C6D1F5">
      <w:pPr>
        <w:keepNext/>
        <w:numPr>
          <w:ilvl w:val="2"/>
          <w:numId w:val="15"/>
        </w:numPr>
        <w:spacing w:before="240" w:beforeLines="0" w:after="60" w:afterLines="0"/>
        <w:outlineLvl w:val="2"/>
        <w:rPr>
          <w:rFonts w:hint="eastAsia" w:ascii="Times New Roman" w:hAnsi="Times New Roman" w:eastAsia="宋体" w:cs="Times New Roman"/>
          <w:i/>
          <w:sz w:val="24"/>
          <w:lang w:val="fr-FR" w:eastAsia="zh-CN" w:bidi="ar-SA"/>
        </w:rPr>
      </w:pPr>
      <w:r>
        <w:rPr>
          <w:rFonts w:hint="eastAsia" w:ascii="Times New Roman" w:hAnsi="Times New Roman" w:eastAsia="宋体" w:cs="Times New Roman"/>
          <w:i/>
          <w:sz w:val="24"/>
          <w:lang w:val="fr-FR" w:eastAsia="zh-CN" w:bidi="ar-SA"/>
        </w:rPr>
        <w:t>外源病毒检验</w:t>
      </w:r>
      <w:r>
        <w:rPr>
          <w:rFonts w:hint="eastAsia" w:ascii="Times New Roman" w:hAnsi="Times New Roman" w:eastAsia="宋体" w:cs="Times New Roman"/>
          <w:i/>
          <w:sz w:val="24"/>
          <w:lang w:val="en-US" w:eastAsia="zh-CN" w:bidi="ar-SA"/>
        </w:rPr>
        <w:t xml:space="preserve"> </w:t>
      </w:r>
    </w:p>
    <w:p w14:paraId="4B4AEB3D">
      <w:pPr>
        <w:widowControl/>
        <w:jc w:val="left"/>
        <w:rPr>
          <w:rFonts w:hint="eastAsia" w:ascii="宋体" w:hAnsi="宋体" w:eastAsia="宋体" w:cs="宋体"/>
          <w:kern w:val="0"/>
          <w:sz w:val="20"/>
          <w:szCs w:val="20"/>
          <w:lang w:val="fr-FR"/>
        </w:rPr>
      </w:pPr>
      <w:r>
        <w:rPr>
          <w:rFonts w:hint="eastAsia" w:ascii="宋体" w:hAnsi="宋体" w:eastAsia="宋体" w:cs="宋体"/>
          <w:kern w:val="0"/>
          <w:sz w:val="20"/>
          <w:szCs w:val="20"/>
          <w:lang w:val="en-US" w:eastAsia="zh-CN"/>
        </w:rPr>
        <w:t>按现行《</w:t>
      </w:r>
      <w:r>
        <w:rPr>
          <w:rFonts w:hint="eastAsia" w:ascii="宋体" w:hAnsi="宋体" w:eastAsia="宋体" w:cs="Times New Roman"/>
          <w:color w:val="000000"/>
          <w:kern w:val="0"/>
          <w:sz w:val="20"/>
          <w:szCs w:val="20"/>
          <w:lang w:val="en-US"/>
        </w:rPr>
        <w:t>中华人民共和国兽药典</w:t>
      </w:r>
      <w:r>
        <w:rPr>
          <w:rFonts w:hint="eastAsia" w:ascii="宋体" w:hAnsi="宋体" w:eastAsia="宋体" w:cs="宋体"/>
          <w:kern w:val="0"/>
          <w:sz w:val="20"/>
          <w:szCs w:val="20"/>
          <w:lang w:val="en-US" w:eastAsia="zh-CN"/>
        </w:rPr>
        <w:t>》</w:t>
      </w:r>
      <w:r>
        <w:rPr>
          <w:rFonts w:hint="eastAsia" w:ascii="宋体" w:hAnsi="宋体" w:eastAsia="宋体" w:cs="Times New Roman"/>
          <w:color w:val="000000"/>
          <w:kern w:val="0"/>
          <w:sz w:val="20"/>
          <w:szCs w:val="20"/>
          <w:lang w:val="en-US" w:eastAsia="zh-CN"/>
        </w:rPr>
        <w:t>2020年版一部</w:t>
      </w:r>
      <w:r>
        <w:rPr>
          <w:rFonts w:hint="eastAsia" w:ascii="宋体" w:hAnsi="宋体" w:eastAsia="宋体" w:cs="宋体"/>
          <w:kern w:val="0"/>
          <w:sz w:val="20"/>
          <w:szCs w:val="20"/>
          <w:lang w:val="en-US" w:eastAsia="zh-CN"/>
        </w:rPr>
        <w:t>附录进行检验，应无外源病毒污染</w:t>
      </w:r>
      <w:r>
        <w:rPr>
          <w:rFonts w:hint="eastAsia" w:ascii="宋体" w:hAnsi="宋体" w:eastAsia="宋体" w:cs="宋体"/>
          <w:kern w:val="0"/>
          <w:sz w:val="20"/>
          <w:szCs w:val="20"/>
          <w:lang w:val="fr-FR"/>
        </w:rPr>
        <w:t>。</w:t>
      </w:r>
    </w:p>
    <w:p w14:paraId="6220626E">
      <w:pPr>
        <w:keepNext/>
        <w:numPr>
          <w:ilvl w:val="2"/>
          <w:numId w:val="15"/>
        </w:numPr>
        <w:spacing w:before="240" w:beforeLines="0" w:after="60" w:afterLines="0"/>
        <w:outlineLvl w:val="2"/>
        <w:rPr>
          <w:rFonts w:hint="eastAsia" w:ascii="Times New Roman" w:hAnsi="Times New Roman" w:eastAsia="宋体" w:cs="Times New Roman"/>
          <w:i/>
          <w:sz w:val="24"/>
          <w:lang w:val="fr-FR" w:eastAsia="zh-CN" w:bidi="ar-SA"/>
        </w:rPr>
      </w:pPr>
      <w:r>
        <w:rPr>
          <w:rFonts w:hint="eastAsia" w:ascii="Times New Roman" w:hAnsi="Times New Roman" w:eastAsia="宋体" w:cs="Times New Roman"/>
          <w:i/>
          <w:sz w:val="24"/>
          <w:lang w:val="fr-FR" w:eastAsia="zh-CN" w:bidi="ar-SA"/>
        </w:rPr>
        <w:t xml:space="preserve">细菌内毒素测定 </w:t>
      </w:r>
    </w:p>
    <w:p w14:paraId="39BA8F65">
      <w:pPr>
        <w:widowControl/>
        <w:numPr>
          <w:ilvl w:val="0"/>
          <w:numId w:val="0"/>
        </w:numPr>
        <w:jc w:val="left"/>
        <w:rPr>
          <w:rFonts w:hint="eastAsia" w:ascii="宋体" w:hAnsi="宋体" w:eastAsia="宋体" w:cs="宋体"/>
          <w:kern w:val="0"/>
          <w:sz w:val="20"/>
          <w:szCs w:val="20"/>
          <w:lang w:val="fr-FR" w:eastAsia="zh-CN"/>
        </w:rPr>
      </w:pPr>
      <w:r>
        <w:rPr>
          <w:rFonts w:hint="eastAsia" w:ascii="宋体" w:hAnsi="宋体" w:eastAsia="宋体" w:cs="宋体"/>
          <w:kern w:val="0"/>
          <w:sz w:val="20"/>
          <w:szCs w:val="20"/>
          <w:lang w:val="fr-FR"/>
        </w:rPr>
        <w:t>按《</w:t>
      </w:r>
      <w:r>
        <w:rPr>
          <w:rFonts w:hint="eastAsia" w:ascii="宋体" w:hAnsi="宋体" w:eastAsia="宋体" w:cs="Times New Roman"/>
          <w:color w:val="000000"/>
          <w:kern w:val="0"/>
          <w:sz w:val="20"/>
          <w:szCs w:val="20"/>
          <w:lang w:val="en-US"/>
        </w:rPr>
        <w:t>中华人民共和国兽药典</w:t>
      </w:r>
      <w:r>
        <w:rPr>
          <w:rFonts w:hint="eastAsia" w:ascii="宋体" w:hAnsi="宋体" w:eastAsia="宋体" w:cs="宋体"/>
          <w:kern w:val="0"/>
          <w:sz w:val="20"/>
          <w:szCs w:val="20"/>
          <w:lang w:val="fr-FR"/>
        </w:rPr>
        <w:t>》2020版一部附录进行检验，每毫升血清的内毒素含量应低于1</w:t>
      </w:r>
      <w:r>
        <w:rPr>
          <w:rFonts w:hint="eastAsia" w:ascii="宋体" w:hAnsi="宋体" w:eastAsia="宋体" w:cs="宋体"/>
          <w:kern w:val="0"/>
          <w:sz w:val="20"/>
          <w:szCs w:val="20"/>
          <w:lang w:val="en-US" w:eastAsia="zh-CN"/>
        </w:rPr>
        <w:t>0</w:t>
      </w:r>
      <w:r>
        <w:rPr>
          <w:rFonts w:hint="eastAsia" w:ascii="宋体" w:hAnsi="宋体" w:eastAsia="宋体" w:cs="宋体"/>
          <w:kern w:val="0"/>
          <w:sz w:val="20"/>
          <w:szCs w:val="20"/>
          <w:lang w:val="fr-FR"/>
        </w:rPr>
        <w:t>EU</w:t>
      </w:r>
      <w:r>
        <w:rPr>
          <w:rFonts w:hint="eastAsia" w:ascii="宋体" w:hAnsi="宋体" w:eastAsia="宋体" w:cs="宋体"/>
          <w:kern w:val="0"/>
          <w:sz w:val="20"/>
          <w:szCs w:val="20"/>
          <w:lang w:val="fr-FR" w:eastAsia="zh-CN"/>
        </w:rPr>
        <w:t>。</w:t>
      </w:r>
    </w:p>
    <w:p w14:paraId="1ED0003D">
      <w:pPr>
        <w:keepNext/>
        <w:numPr>
          <w:ilvl w:val="2"/>
          <w:numId w:val="15"/>
        </w:numPr>
        <w:spacing w:before="240" w:beforeLines="0" w:after="60" w:afterLines="0"/>
        <w:outlineLvl w:val="2"/>
        <w:rPr>
          <w:rFonts w:hint="eastAsia" w:ascii="Times New Roman" w:hAnsi="Times New Roman" w:eastAsia="宋体" w:cs="Times New Roman"/>
          <w:i/>
          <w:sz w:val="24"/>
          <w:lang w:val="fr-FR" w:eastAsia="zh-CN" w:bidi="ar-SA"/>
        </w:rPr>
      </w:pPr>
      <w:r>
        <w:rPr>
          <w:rFonts w:hint="eastAsia" w:ascii="Times New Roman" w:hAnsi="Times New Roman" w:eastAsia="宋体" w:cs="Times New Roman"/>
          <w:i/>
          <w:sz w:val="24"/>
          <w:lang w:val="en-US" w:eastAsia="zh-CN" w:bidi="ar-SA"/>
        </w:rPr>
        <w:t xml:space="preserve">血红蛋白检测  </w:t>
      </w:r>
    </w:p>
    <w:p w14:paraId="3D198A1E">
      <w:pPr>
        <w:widowControl/>
        <w:jc w:val="left"/>
        <w:rPr>
          <w:rFonts w:hint="eastAsia" w:ascii="宋体" w:hAnsi="宋体" w:eastAsia="宋体" w:cs="宋体"/>
          <w:kern w:val="0"/>
          <w:sz w:val="20"/>
          <w:szCs w:val="20"/>
          <w:lang w:val="fr-FR"/>
        </w:rPr>
      </w:pPr>
      <w:r>
        <w:rPr>
          <w:rFonts w:hint="eastAsia" w:ascii="宋体" w:hAnsi="宋体" w:eastAsia="宋体" w:cs="宋体"/>
          <w:kern w:val="0"/>
          <w:sz w:val="20"/>
          <w:szCs w:val="20"/>
          <w:lang w:val="en-US" w:eastAsia="zh-CN"/>
        </w:rPr>
        <w:t>用分光光度法测定，</w:t>
      </w:r>
      <w:r>
        <w:rPr>
          <w:rFonts w:hint="eastAsia" w:ascii="宋体" w:hAnsi="宋体" w:eastAsia="宋体" w:cs="宋体"/>
          <w:kern w:val="0"/>
          <w:sz w:val="20"/>
          <w:szCs w:val="20"/>
          <w:lang w:val="en-US"/>
        </w:rPr>
        <w:t>应不高于</w:t>
      </w:r>
      <w:r>
        <w:rPr>
          <w:rFonts w:hint="eastAsia" w:ascii="宋体" w:hAnsi="宋体" w:eastAsia="宋体" w:cs="宋体"/>
          <w:kern w:val="0"/>
          <w:sz w:val="20"/>
          <w:szCs w:val="20"/>
          <w:lang w:val="en-US" w:eastAsia="zh-CN"/>
        </w:rPr>
        <w:t>5</w:t>
      </w:r>
      <w:r>
        <w:rPr>
          <w:rFonts w:hint="eastAsia" w:ascii="宋体" w:hAnsi="宋体" w:eastAsia="宋体" w:cs="宋体"/>
          <w:kern w:val="0"/>
          <w:sz w:val="20"/>
          <w:szCs w:val="20"/>
          <w:lang w:val="en-US"/>
        </w:rPr>
        <w:t>00mg/L。</w:t>
      </w:r>
    </w:p>
    <w:p w14:paraId="4B7CBDEE">
      <w:pPr>
        <w:keepNext/>
        <w:numPr>
          <w:ilvl w:val="2"/>
          <w:numId w:val="15"/>
        </w:numPr>
        <w:spacing w:before="240" w:beforeLines="0" w:after="60" w:afterLines="0"/>
        <w:outlineLvl w:val="2"/>
        <w:rPr>
          <w:rFonts w:hint="eastAsia" w:ascii="Times New Roman" w:hAnsi="Times New Roman" w:eastAsia="宋体" w:cs="Times New Roman"/>
          <w:i/>
          <w:sz w:val="24"/>
          <w:lang w:val="en-US" w:eastAsia="zh-CN" w:bidi="ar-SA"/>
        </w:rPr>
      </w:pPr>
      <w:r>
        <w:rPr>
          <w:rFonts w:hint="eastAsia" w:ascii="Times New Roman" w:hAnsi="Times New Roman" w:eastAsia="宋体" w:cs="Times New Roman"/>
          <w:i/>
          <w:sz w:val="24"/>
          <w:lang w:val="en-US" w:eastAsia="zh-CN" w:bidi="ar-SA"/>
        </w:rPr>
        <w:t xml:space="preserve">蛋白质含量检测  </w:t>
      </w:r>
    </w:p>
    <w:p w14:paraId="0B1BA806">
      <w:pPr>
        <w:widowControl/>
        <w:jc w:val="left"/>
        <w:rPr>
          <w:rFonts w:hint="eastAsia" w:ascii="宋体" w:hAnsi="宋体" w:eastAsia="宋体" w:cs="宋体"/>
          <w:kern w:val="0"/>
          <w:sz w:val="20"/>
          <w:szCs w:val="20"/>
          <w:lang w:val="fr-FR"/>
        </w:rPr>
      </w:pPr>
      <w:r>
        <w:rPr>
          <w:rFonts w:hint="eastAsia" w:ascii="宋体" w:hAnsi="宋体" w:eastAsia="宋体" w:cs="宋体"/>
          <w:kern w:val="0"/>
          <w:sz w:val="20"/>
          <w:szCs w:val="20"/>
          <w:lang w:val="en-US" w:eastAsia="zh-CN"/>
        </w:rPr>
        <w:t>采用双缩脲法检测，应为20g/L-70g/L</w:t>
      </w:r>
      <w:r>
        <w:rPr>
          <w:rFonts w:hint="eastAsia" w:ascii="宋体" w:hAnsi="宋体" w:eastAsia="宋体" w:cs="宋体"/>
          <w:kern w:val="0"/>
          <w:sz w:val="20"/>
          <w:szCs w:val="20"/>
          <w:lang w:val="en-US"/>
        </w:rPr>
        <w:t>。</w:t>
      </w:r>
    </w:p>
    <w:p w14:paraId="1263B7B7">
      <w:pPr>
        <w:keepNext/>
        <w:numPr>
          <w:ilvl w:val="2"/>
          <w:numId w:val="15"/>
        </w:numPr>
        <w:spacing w:before="240" w:beforeLines="0" w:after="60" w:afterLines="0"/>
        <w:outlineLvl w:val="2"/>
        <w:rPr>
          <w:rFonts w:hint="eastAsia" w:ascii="Times New Roman" w:hAnsi="Times New Roman" w:eastAsia="宋体" w:cs="Times New Roman"/>
          <w:i/>
          <w:sz w:val="24"/>
          <w:lang w:val="en-US" w:eastAsia="zh-CN" w:bidi="ar-SA"/>
        </w:rPr>
      </w:pPr>
      <w:r>
        <w:rPr>
          <w:rFonts w:hint="eastAsia" w:ascii="Times New Roman" w:hAnsi="Times New Roman" w:eastAsia="宋体" w:cs="Times New Roman"/>
          <w:i/>
          <w:sz w:val="24"/>
          <w:lang w:val="en-US" w:eastAsia="zh-CN" w:bidi="ar-SA"/>
        </w:rPr>
        <w:t>非洲猪瘟病毒核酸检测</w:t>
      </w:r>
      <w:r>
        <w:rPr>
          <w:rFonts w:hint="eastAsia" w:ascii="Times New Roman" w:hAnsi="Times New Roman" w:eastAsia="宋体" w:cs="Times New Roman"/>
          <w:i/>
          <w:sz w:val="24"/>
          <w:lang w:val="en-US" w:eastAsia="zh-CN" w:bidi="ar-SA"/>
        </w:rPr>
        <w:tab/>
      </w:r>
    </w:p>
    <w:p w14:paraId="3F5917FB">
      <w:pPr>
        <w:widowControl/>
        <w:spacing w:line="360" w:lineRule="auto"/>
        <w:jc w:val="left"/>
        <w:rPr>
          <w:rFonts w:hint="eastAsia" w:ascii="宋体" w:hAnsi="宋体" w:eastAsia="宋体" w:cs="宋体"/>
          <w:kern w:val="0"/>
          <w:sz w:val="20"/>
          <w:szCs w:val="20"/>
          <w:lang w:val="en-US"/>
        </w:rPr>
      </w:pPr>
      <w:r>
        <w:rPr>
          <w:rFonts w:hint="eastAsia" w:ascii="宋体" w:hAnsi="宋体" w:eastAsia="宋体" w:cs="宋体"/>
          <w:kern w:val="0"/>
          <w:sz w:val="20"/>
          <w:szCs w:val="20"/>
          <w:lang w:val="en-US" w:eastAsia="zh-CN"/>
        </w:rPr>
        <w:t>采用酶联免疫法检测或PCR法检测，非洲猪瘟病毒核酸应为阴性</w:t>
      </w:r>
      <w:r>
        <w:rPr>
          <w:rFonts w:hint="eastAsia" w:ascii="宋体" w:hAnsi="宋体" w:eastAsia="宋体" w:cs="宋体"/>
          <w:kern w:val="0"/>
          <w:sz w:val="20"/>
          <w:szCs w:val="20"/>
          <w:lang w:val="en-US"/>
        </w:rPr>
        <w:t>。</w:t>
      </w:r>
    </w:p>
    <w:p w14:paraId="3BF328EF">
      <w:pPr>
        <w:keepNext/>
        <w:numPr>
          <w:ilvl w:val="2"/>
          <w:numId w:val="15"/>
        </w:numPr>
        <w:bidi w:val="0"/>
        <w:spacing w:before="240" w:beforeLines="0" w:after="60" w:afterLines="0"/>
        <w:outlineLvl w:val="2"/>
        <w:rPr>
          <w:rFonts w:hint="eastAsia" w:ascii="Times New Roman" w:hAnsi="Times New Roman" w:eastAsia="宋体" w:cs="Times New Roman"/>
          <w:i/>
          <w:sz w:val="24"/>
          <w:lang w:val="en-US" w:eastAsia="zh-CN" w:bidi="ar-SA"/>
        </w:rPr>
      </w:pPr>
      <w:r>
        <w:rPr>
          <w:rFonts w:hint="eastAsia" w:ascii="Times New Roman" w:hAnsi="Times New Roman" w:eastAsia="宋体" w:cs="Times New Roman"/>
          <w:i/>
          <w:sz w:val="24"/>
          <w:lang w:val="en-US" w:eastAsia="zh-CN" w:bidi="ar-SA"/>
        </w:rPr>
        <w:t>增殖稳定性试验</w:t>
      </w:r>
    </w:p>
    <w:p w14:paraId="2C636FF5">
      <w:pPr>
        <w:widowControl/>
        <w:numPr>
          <w:ilvl w:val="0"/>
          <w:numId w:val="17"/>
        </w:numPr>
        <w:spacing w:line="360" w:lineRule="auto"/>
        <w:jc w:val="left"/>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在37℃摇床培养箱培养LMH悬浮细胞，24小时最少增殖1倍，培养48小时，细胞增殖不低于2倍细胞数，无浑浊现象。</w:t>
      </w:r>
    </w:p>
    <w:p w14:paraId="0516EB67">
      <w:pPr>
        <w:widowControl/>
        <w:numPr>
          <w:ilvl w:val="0"/>
          <w:numId w:val="17"/>
        </w:numPr>
        <w:spacing w:line="360" w:lineRule="auto"/>
        <w:jc w:val="left"/>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禽支原体增殖正常。</w:t>
      </w:r>
    </w:p>
    <w:p w14:paraId="17C99621">
      <w:pPr>
        <w:widowControl/>
        <w:spacing w:line="360" w:lineRule="auto"/>
        <w:jc w:val="left"/>
        <w:rPr>
          <w:rFonts w:hint="eastAsia" w:ascii="宋体" w:hAnsi="宋体" w:eastAsia="宋体" w:cs="宋体"/>
          <w:kern w:val="0"/>
          <w:sz w:val="20"/>
          <w:szCs w:val="20"/>
          <w:lang w:val="en-US" w:eastAsia="zh-CN"/>
        </w:rPr>
      </w:pPr>
    </w:p>
    <w:p w14:paraId="4C24DE4B">
      <w:pPr>
        <w:widowControl/>
        <w:spacing w:line="360" w:lineRule="auto"/>
        <w:jc w:val="left"/>
        <w:rPr>
          <w:rFonts w:hint="eastAsia" w:ascii="宋体" w:hAnsi="宋体" w:eastAsia="宋体" w:cs="宋体"/>
          <w:kern w:val="0"/>
          <w:sz w:val="20"/>
          <w:szCs w:val="20"/>
          <w:lang w:val="en-US" w:eastAsia="zh-CN"/>
        </w:rPr>
      </w:pPr>
    </w:p>
    <w:p w14:paraId="6472B938">
      <w:pPr>
        <w:keepNext/>
        <w:numPr>
          <w:ilvl w:val="0"/>
          <w:numId w:val="15"/>
        </w:numPr>
        <w:spacing w:before="240" w:beforeLines="0" w:after="60" w:afterLines="0"/>
        <w:outlineLvl w:val="0"/>
        <w:rPr>
          <w:rFonts w:hint="eastAsia" w:ascii="宋体" w:hAnsi="宋体" w:eastAsia="宋体" w:cs="Times New Roman"/>
          <w:b/>
          <w:caps/>
          <w:color w:val="000000"/>
          <w:kern w:val="28"/>
          <w:sz w:val="30"/>
          <w:szCs w:val="30"/>
          <w:lang w:val="en-US" w:eastAsia="zh-CN" w:bidi="ar-SA"/>
        </w:rPr>
      </w:pPr>
      <w:r>
        <w:rPr>
          <w:rFonts w:hint="eastAsia" w:ascii="宋体" w:hAnsi="宋体" w:eastAsia="宋体" w:cs="Times New Roman"/>
          <w:b/>
          <w:caps/>
          <w:color w:val="000000"/>
          <w:kern w:val="28"/>
          <w:sz w:val="30"/>
          <w:szCs w:val="30"/>
          <w:lang w:val="en-US" w:eastAsia="zh-CN" w:bidi="ar-SA"/>
        </w:rPr>
        <w:t>供货要求</w:t>
      </w:r>
    </w:p>
    <w:p w14:paraId="38E9A93D">
      <w:pPr>
        <w:widowControl/>
        <w:numPr>
          <w:ilvl w:val="0"/>
          <w:numId w:val="18"/>
        </w:numPr>
        <w:spacing w:line="360" w:lineRule="auto"/>
        <w:ind w:left="425" w:hanging="425"/>
        <w:jc w:val="left"/>
        <w:rPr>
          <w:rFonts w:hint="eastAsia" w:ascii="宋体" w:hAnsi="宋体" w:eastAsia="宋体" w:cs="宋体"/>
          <w:kern w:val="0"/>
          <w:sz w:val="20"/>
          <w:szCs w:val="20"/>
          <w:lang w:val="en-US"/>
        </w:rPr>
      </w:pPr>
      <w:r>
        <w:rPr>
          <w:rFonts w:hint="eastAsia" w:ascii="宋体" w:hAnsi="宋体" w:eastAsia="宋体" w:cs="宋体"/>
          <w:kern w:val="0"/>
          <w:sz w:val="20"/>
          <w:szCs w:val="20"/>
          <w:lang w:val="en-US"/>
        </w:rPr>
        <w:t>提供血清小试样品最少数量为10000ml。</w:t>
      </w:r>
    </w:p>
    <w:p w14:paraId="52F5E43F">
      <w:pPr>
        <w:widowControl/>
        <w:numPr>
          <w:ilvl w:val="0"/>
          <w:numId w:val="18"/>
        </w:numPr>
        <w:spacing w:line="360" w:lineRule="auto"/>
        <w:ind w:left="425" w:hanging="425"/>
        <w:jc w:val="left"/>
        <w:rPr>
          <w:rFonts w:hint="eastAsia" w:ascii="宋体" w:hAnsi="宋体" w:eastAsia="宋体" w:cs="宋体"/>
          <w:kern w:val="0"/>
          <w:sz w:val="20"/>
          <w:szCs w:val="20"/>
          <w:lang w:val="en-US"/>
        </w:rPr>
      </w:pPr>
      <w:r>
        <w:rPr>
          <w:rFonts w:hint="eastAsia" w:ascii="宋体" w:hAnsi="宋体" w:eastAsia="宋体" w:cs="宋体"/>
          <w:kern w:val="0"/>
          <w:sz w:val="20"/>
          <w:szCs w:val="20"/>
          <w:lang w:val="en-US"/>
        </w:rPr>
        <w:t>血清需要连续细胞传代3次试验，根据小试报告确定后续是否继续使用</w:t>
      </w:r>
      <w:r>
        <w:rPr>
          <w:rFonts w:hint="eastAsia" w:ascii="宋体" w:hAnsi="宋体" w:eastAsia="宋体" w:cs="宋体"/>
          <w:kern w:val="0"/>
          <w:sz w:val="20"/>
          <w:szCs w:val="20"/>
          <w:lang w:val="en-US" w:eastAsia="zh-CN"/>
        </w:rPr>
        <w:t>。</w:t>
      </w:r>
    </w:p>
    <w:p w14:paraId="524E416E">
      <w:pPr>
        <w:widowControl/>
        <w:numPr>
          <w:ilvl w:val="0"/>
          <w:numId w:val="18"/>
        </w:numPr>
        <w:spacing w:line="360" w:lineRule="auto"/>
        <w:ind w:left="425" w:hanging="425"/>
        <w:jc w:val="left"/>
        <w:rPr>
          <w:rFonts w:hint="eastAsia" w:ascii="宋体" w:hAnsi="宋体" w:eastAsia="宋体" w:cs="宋体"/>
          <w:kern w:val="0"/>
          <w:sz w:val="20"/>
          <w:szCs w:val="20"/>
          <w:lang w:val="en-US"/>
        </w:rPr>
      </w:pPr>
      <w:r>
        <w:rPr>
          <w:rFonts w:hint="eastAsia" w:ascii="宋体" w:hAnsi="宋体" w:eastAsia="宋体" w:cs="宋体"/>
          <w:kern w:val="0"/>
          <w:sz w:val="20"/>
          <w:szCs w:val="20"/>
          <w:lang w:val="en-US"/>
        </w:rPr>
        <w:t>该批血清在小试结果判定之前，供应商需将该批（批号必须与提供样品的批号保持一致）产品预留至少</w:t>
      </w:r>
      <w:r>
        <w:rPr>
          <w:rFonts w:hint="eastAsia" w:ascii="宋体" w:hAnsi="宋体" w:eastAsia="宋体" w:cs="宋体"/>
          <w:kern w:val="0"/>
          <w:sz w:val="20"/>
          <w:szCs w:val="20"/>
          <w:lang w:val="en-US" w:eastAsia="zh-CN"/>
        </w:rPr>
        <w:t>300000</w:t>
      </w:r>
      <w:r>
        <w:rPr>
          <w:rFonts w:hint="eastAsia" w:ascii="宋体" w:hAnsi="宋体" w:eastAsia="宋体" w:cs="宋体"/>
          <w:kern w:val="0"/>
          <w:sz w:val="20"/>
          <w:szCs w:val="20"/>
          <w:lang w:val="en-US"/>
        </w:rPr>
        <w:t>ml，以备供货。</w:t>
      </w:r>
    </w:p>
    <w:p w14:paraId="0A53E5F2">
      <w:pPr>
        <w:widowControl/>
        <w:numPr>
          <w:ilvl w:val="0"/>
          <w:numId w:val="18"/>
        </w:numPr>
        <w:spacing w:line="360" w:lineRule="auto"/>
        <w:ind w:left="425" w:hanging="425"/>
        <w:jc w:val="left"/>
        <w:rPr>
          <w:rFonts w:hint="eastAsia" w:ascii="宋体" w:hAnsi="宋体" w:eastAsia="宋体" w:cs="宋体"/>
          <w:kern w:val="0"/>
          <w:sz w:val="20"/>
          <w:szCs w:val="20"/>
          <w:lang w:val="en-US"/>
        </w:rPr>
      </w:pPr>
      <w:r>
        <w:rPr>
          <w:rFonts w:hint="eastAsia" w:ascii="宋体" w:hAnsi="宋体" w:eastAsia="宋体" w:cs="宋体"/>
          <w:kern w:val="0"/>
          <w:sz w:val="20"/>
          <w:szCs w:val="20"/>
          <w:lang w:val="en-US"/>
        </w:rPr>
        <w:t>产品运输过程中需要采用低温冷藏车运输，产品外观无破损。</w:t>
      </w:r>
    </w:p>
    <w:p w14:paraId="413715F8">
      <w:pPr>
        <w:widowControl/>
        <w:numPr>
          <w:ilvl w:val="0"/>
          <w:numId w:val="18"/>
        </w:numPr>
        <w:spacing w:line="360" w:lineRule="auto"/>
        <w:ind w:left="425" w:hanging="425"/>
        <w:jc w:val="left"/>
        <w:rPr>
          <w:rFonts w:hint="eastAsia" w:ascii="宋体" w:hAnsi="宋体" w:eastAsia="宋体" w:cs="宋体"/>
          <w:kern w:val="0"/>
          <w:sz w:val="20"/>
          <w:szCs w:val="20"/>
          <w:lang w:val="en-US"/>
        </w:rPr>
      </w:pPr>
      <w:r>
        <w:rPr>
          <w:rFonts w:hint="eastAsia" w:ascii="宋体" w:hAnsi="宋体" w:eastAsia="宋体" w:cs="宋体"/>
          <w:kern w:val="0"/>
          <w:sz w:val="20"/>
          <w:szCs w:val="20"/>
          <w:lang w:val="en-US"/>
        </w:rPr>
        <w:t>按批次提供相应的合格检测报告。</w:t>
      </w:r>
    </w:p>
    <w:p w14:paraId="6FB2F3CC">
      <w:pPr>
        <w:bidi w:val="0"/>
        <w:rPr>
          <w:rFonts w:hint="eastAsia" w:ascii="Times New Roman" w:hAnsi="Times New Roman" w:eastAsia="宋体" w:cs="Times New Roman"/>
          <w:kern w:val="2"/>
          <w:sz w:val="21"/>
          <w:szCs w:val="24"/>
          <w:lang w:val="en-US" w:eastAsia="zh-CN" w:bidi="ar-SA"/>
        </w:rPr>
      </w:pPr>
    </w:p>
    <w:sectPr>
      <w:pgSz w:w="11907" w:h="16840"/>
      <w:pgMar w:top="1418" w:right="1418" w:bottom="1418" w:left="1418" w:header="567" w:footer="851" w:gutter="0"/>
      <w:pgNumType w:fmt="decimal"/>
      <w:cols w:space="720" w:num="1"/>
      <w:titlePg/>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Arail">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DB1E5">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9E8C2">
    <w:pPr>
      <w:pStyle w:val="31"/>
      <w:rPr>
        <w:rFonts w:hint="eastAsia" w:ascii="仿宋_GB2312" w:eastAsia="仿宋_GB2312"/>
        <w:sz w:val="21"/>
        <w:szCs w:val="21"/>
      </w:rPr>
    </w:pP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403C2">
    <w:pPr>
      <w:pStyle w:val="31"/>
      <w:framePr w:wrap="around" w:vAnchor="text" w:hAnchor="margin" w:xAlign="center" w:y="1"/>
      <w:rPr>
        <w:rStyle w:val="55"/>
      </w:rPr>
    </w:pPr>
    <w:r>
      <w:fldChar w:fldCharType="begin"/>
    </w:r>
    <w:r>
      <w:rPr>
        <w:rStyle w:val="55"/>
      </w:rPr>
      <w:instrText xml:space="preserve">PAGE  </w:instrText>
    </w:r>
    <w:r>
      <w:fldChar w:fldCharType="separate"/>
    </w:r>
    <w:r>
      <w:rPr>
        <w:rStyle w:val="55"/>
      </w:rPr>
      <w:t>26</w:t>
    </w:r>
    <w:r>
      <w:fldChar w:fldCharType="end"/>
    </w:r>
  </w:p>
  <w:p w14:paraId="62162392">
    <w:pPr>
      <w:pStyle w:val="31"/>
      <w:ind w:right="360" w:firstLine="360"/>
      <w:jc w:val="right"/>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BFDF2">
    <w:pPr>
      <w:pStyle w:val="31"/>
      <w:framePr w:wrap="around" w:vAnchor="text" w:hAnchor="margin" w:xAlign="right" w:y="1"/>
      <w:rPr>
        <w:rStyle w:val="55"/>
      </w:rPr>
    </w:pPr>
  </w:p>
  <w:p w14:paraId="6F81D069">
    <w:pPr>
      <w:pStyle w:val="31"/>
      <w:ind w:right="360"/>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5CE4A">
    <w:pPr>
      <w:pStyle w:val="31"/>
      <w:ind w:right="360" w:firstLine="360"/>
      <w:jc w:val="right"/>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87FE7E">
                          <w:pPr>
                            <w:pStyle w:val="31"/>
                            <w:rPr>
                              <w:rStyle w:val="55"/>
                            </w:rPr>
                          </w:pPr>
                          <w:r>
                            <w:fldChar w:fldCharType="begin"/>
                          </w:r>
                          <w:r>
                            <w:rPr>
                              <w:rStyle w:val="55"/>
                            </w:rPr>
                            <w:instrText xml:space="preserve">PAGE  </w:instrText>
                          </w:r>
                          <w:r>
                            <w:fldChar w:fldCharType="separate"/>
                          </w:r>
                          <w:r>
                            <w:rPr>
                              <w:rStyle w:val="55"/>
                            </w:rP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687FE7E">
                    <w:pPr>
                      <w:pStyle w:val="31"/>
                      <w:rPr>
                        <w:rStyle w:val="55"/>
                      </w:rPr>
                    </w:pPr>
                    <w:r>
                      <w:fldChar w:fldCharType="begin"/>
                    </w:r>
                    <w:r>
                      <w:rPr>
                        <w:rStyle w:val="55"/>
                      </w:rPr>
                      <w:instrText xml:space="preserve">PAGE  </w:instrText>
                    </w:r>
                    <w:r>
                      <w:fldChar w:fldCharType="separate"/>
                    </w:r>
                    <w:r>
                      <w:rPr>
                        <w:rStyle w:val="55"/>
                      </w:rPr>
                      <w:t>26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5FF58">
    <w:pPr>
      <w:pStyle w:val="31"/>
      <w:rPr>
        <w:rStyle w:val="55"/>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42AE1">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0942AE1">
                    <w:pPr>
                      <w:pStyle w:val="31"/>
                    </w:pPr>
                    <w:r>
                      <w:fldChar w:fldCharType="begin"/>
                    </w:r>
                    <w:r>
                      <w:instrText xml:space="preserve"> PAGE  \* MERGEFORMAT </w:instrText>
                    </w:r>
                    <w:r>
                      <w:fldChar w:fldCharType="separate"/>
                    </w:r>
                    <w:r>
                      <w:t>1</w:t>
                    </w:r>
                    <w:r>
                      <w:fldChar w:fldCharType="end"/>
                    </w:r>
                  </w:p>
                </w:txbxContent>
              </v:textbox>
            </v:shape>
          </w:pict>
        </mc:Fallback>
      </mc:AlternateContent>
    </w:r>
  </w:p>
  <w:p w14:paraId="5CA08847">
    <w:pPr>
      <w:pStyle w:val="31"/>
      <w:ind w:right="360"/>
      <w:jc w:val="right"/>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3664B">
    <w:pPr>
      <w:pStyle w:val="3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F7A586E">
                          <w:pPr>
                            <w:pStyle w:val="31"/>
                          </w:pPr>
                          <w:r>
                            <w:fldChar w:fldCharType="begin"/>
                          </w:r>
                          <w:r>
                            <w:instrText xml:space="preserve"> PAGE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ns3SLSAQAAow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pikcRi7DZZcdgNE7Wda0/I&#10;rMcVaKjFjadEP1pUOG3LbITZ2M3GwQe17/I6pVbAvzt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yezdItIBAACjAwAADgAAAAAAAAABACAAAAAi&#10;AQAAZHJzL2Uyb0RvYy54bWxQSwUGAAAAAAYABgBZAQAAZgUAAAAA&#10;">
              <v:fill on="f" focussize="0,0"/>
              <v:stroke on="f" weight="1.25pt"/>
              <v:imagedata o:title=""/>
              <o:lock v:ext="edit" aspectratio="f"/>
              <v:textbox inset="0mm,0mm,0mm,0mm" style="mso-fit-shape-to-text:t;">
                <w:txbxContent>
                  <w:p w14:paraId="2F7A586E">
                    <w:pPr>
                      <w:pStyle w:val="31"/>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DCAFE">
    <w:pPr>
      <w:pStyle w:val="31"/>
      <w:ind w:right="360"/>
      <w:jc w:val="right"/>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F04F30">
                          <w:pPr>
                            <w:pStyle w:val="31"/>
                            <w:rPr>
                              <w:rStyle w:val="55"/>
                            </w:rPr>
                          </w:pPr>
                          <w:r>
                            <w:fldChar w:fldCharType="begin"/>
                          </w:r>
                          <w:r>
                            <w:rPr>
                              <w:rStyle w:val="55"/>
                            </w:rPr>
                            <w:instrText xml:space="preserve">PAGE  </w:instrText>
                          </w:r>
                          <w:r>
                            <w:fldChar w:fldCharType="separate"/>
                          </w:r>
                          <w:r>
                            <w:rPr>
                              <w:rStyle w:val="55"/>
                            </w:rP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3F04F30">
                    <w:pPr>
                      <w:pStyle w:val="31"/>
                      <w:rPr>
                        <w:rStyle w:val="55"/>
                      </w:rPr>
                    </w:pPr>
                    <w:r>
                      <w:fldChar w:fldCharType="begin"/>
                    </w:r>
                    <w:r>
                      <w:rPr>
                        <w:rStyle w:val="55"/>
                      </w:rPr>
                      <w:instrText xml:space="preserve">PAGE  </w:instrText>
                    </w:r>
                    <w:r>
                      <w:fldChar w:fldCharType="separate"/>
                    </w:r>
                    <w:r>
                      <w:rPr>
                        <w:rStyle w:val="55"/>
                      </w:rPr>
                      <w:t>44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C0D56">
    <w:pPr>
      <w:pStyle w:val="31"/>
      <w:widowControl/>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4EE040">
                          <w:pPr>
                            <w:pStyle w:val="31"/>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44EE040">
                    <w:pPr>
                      <w:pStyle w:val="31"/>
                    </w:pPr>
                    <w:r>
                      <w:fldChar w:fldCharType="begin"/>
                    </w:r>
                    <w:r>
                      <w:instrText xml:space="preserve"> PAGE  \* MERGEFORMAT </w:instrText>
                    </w:r>
                    <w:r>
                      <w:fldChar w:fldCharType="separate"/>
                    </w:r>
                    <w: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F49E0">
    <w:pPr>
      <w:pStyle w:val="32"/>
      <w:pBdr>
        <w:bottom w:val="single" w:color="auto" w:sz="4" w:space="1"/>
      </w:pBdr>
      <w:jc w:val="center"/>
      <w:rPr>
        <w:rFonts w:hint="eastAsia" w:ascii="宋体" w:hAnsi="宋体" w:eastAsia="宋体"/>
        <w:sz w:val="16"/>
        <w:szCs w:val="16"/>
        <w:lang w:eastAsia="zh-CN"/>
      </w:rPr>
    </w:pPr>
  </w:p>
  <w:p w14:paraId="63E40AB2">
    <w:pPr>
      <w:pStyle w:val="32"/>
      <w:pBdr>
        <w:bottom w:val="single" w:color="auto" w:sz="4" w:space="1"/>
      </w:pBdr>
      <w:jc w:val="center"/>
      <w:rPr>
        <w:rFonts w:hint="eastAsia" w:ascii="宋体" w:hAnsi="宋体" w:eastAsia="宋体"/>
        <w:sz w:val="16"/>
        <w:szCs w:val="16"/>
        <w:lang w:eastAsia="zh-CN"/>
      </w:rPr>
    </w:pPr>
    <w:r>
      <w:rPr>
        <w:rFonts w:hint="eastAsia" w:ascii="宋体" w:hAnsi="宋体" w:eastAsia="宋体"/>
        <w:sz w:val="16"/>
        <w:szCs w:val="16"/>
        <w:lang w:eastAsia="zh-CN"/>
      </w:rPr>
      <w:drawing>
        <wp:inline distT="0" distB="0" distL="114300" distR="114300">
          <wp:extent cx="3016885" cy="240030"/>
          <wp:effectExtent l="0" t="0" r="0" b="0"/>
          <wp:docPr id="12" name="图片 12"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页眉"/>
                  <pic:cNvPicPr>
                    <a:picLocks noChangeAspect="1"/>
                  </pic:cNvPicPr>
                </pic:nvPicPr>
                <pic:blipFill>
                  <a:blip r:embed="rId1"/>
                  <a:srcRect l="10830" t="9785"/>
                  <a:stretch>
                    <a:fillRect/>
                  </a:stretch>
                </pic:blipFill>
                <pic:spPr>
                  <a:xfrm>
                    <a:off x="0" y="0"/>
                    <a:ext cx="3016885" cy="24003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C54E2">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C1ED4">
    <w:pPr>
      <w:pStyle w:val="32"/>
      <w:jc w:val="center"/>
      <w:rPr>
        <w:rFonts w:hint="eastAsia" w:eastAsia="宋体"/>
        <w:lang w:eastAsia="zh-CN"/>
      </w:rPr>
    </w:pPr>
    <w:r>
      <w:rPr>
        <w:rFonts w:hint="eastAsia" w:eastAsia="宋体"/>
        <w:lang w:eastAsia="zh-CN"/>
      </w:rPr>
      <w:drawing>
        <wp:inline distT="0" distB="0" distL="114300" distR="114300">
          <wp:extent cx="3383280" cy="266065"/>
          <wp:effectExtent l="0" t="0" r="7620" b="635"/>
          <wp:docPr id="1" name="图片 1"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84D6A">
    <w:pPr>
      <w:pStyle w:val="32"/>
      <w:pBdr>
        <w:bottom w:val="single" w:color="auto" w:sz="4" w:space="1"/>
      </w:pBdr>
      <w:jc w:val="center"/>
    </w:pPr>
    <w:r>
      <w:rPr>
        <w:rFonts w:hint="eastAsia" w:ascii="宋体" w:hAnsi="宋体"/>
      </w:rPr>
      <w:drawing>
        <wp:inline distT="0" distB="0" distL="114300" distR="114300">
          <wp:extent cx="3383280" cy="266065"/>
          <wp:effectExtent l="0" t="0" r="7620" b="635"/>
          <wp:docPr id="13" name="图片 13"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p w14:paraId="0093E418">
    <w:pPr>
      <w:pStyle w:val="32"/>
      <w:pBdr>
        <w:bottom w:val="none" w:color="auto" w:sz="0" w:space="1"/>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38B78">
    <w:pPr>
      <w:pStyle w:val="32"/>
      <w:widowControl/>
      <w:pBdr>
        <w:bottom w:val="none" w:color="auto" w:sz="0" w:space="0"/>
      </w:pBdr>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4E374">
    <w:pPr>
      <w:pStyle w:val="32"/>
      <w:widowControl/>
      <w:pBdr>
        <w:bottom w:val="none" w:color="auto" w:sz="0" w:space="0"/>
      </w:pBdr>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591E48"/>
    <w:multiLevelType w:val="singleLevel"/>
    <w:tmpl w:val="E9591E48"/>
    <w:lvl w:ilvl="0" w:tentative="0">
      <w:start w:val="1"/>
      <w:numFmt w:val="decimal"/>
      <w:suff w:val="nothing"/>
      <w:lvlText w:val="%1．"/>
      <w:lvlJc w:val="left"/>
      <w:pPr>
        <w:ind w:left="0" w:firstLine="400"/>
      </w:pPr>
      <w:rPr>
        <w:rFonts w:hint="default"/>
      </w:rPr>
    </w:lvl>
  </w:abstractNum>
  <w:abstractNum w:abstractNumId="1">
    <w:nsid w:val="FFFFFF7F"/>
    <w:multiLevelType w:val="singleLevel"/>
    <w:tmpl w:val="FFFFFF7F"/>
    <w:lvl w:ilvl="0" w:tentative="0">
      <w:start w:val="1"/>
      <w:numFmt w:val="decimal"/>
      <w:pStyle w:val="13"/>
      <w:lvlText w:val="%1."/>
      <w:lvlJc w:val="left"/>
      <w:pPr>
        <w:tabs>
          <w:tab w:val="left" w:pos="780"/>
        </w:tabs>
        <w:ind w:left="780" w:hanging="360"/>
      </w:pPr>
    </w:lvl>
  </w:abstractNum>
  <w:abstractNum w:abstractNumId="2">
    <w:nsid w:val="0000000B"/>
    <w:multiLevelType w:val="multilevel"/>
    <w:tmpl w:val="0000000B"/>
    <w:lvl w:ilvl="0" w:tentative="0">
      <w:start w:val="1"/>
      <w:numFmt w:val="none"/>
      <w:lvlText w:val="1."/>
      <w:lvlJc w:val="left"/>
      <w:pPr>
        <w:tabs>
          <w:tab w:val="left" w:pos="425"/>
        </w:tabs>
        <w:ind w:left="425" w:hanging="425"/>
      </w:pPr>
      <w:rPr>
        <w:rFonts w:hint="eastAsia"/>
      </w:rPr>
    </w:lvl>
    <w:lvl w:ilvl="1" w:tentative="0">
      <w:start w:val="1"/>
      <w:numFmt w:val="decimal"/>
      <w:lvlText w:val="%11.%2."/>
      <w:lvlJc w:val="left"/>
      <w:pPr>
        <w:tabs>
          <w:tab w:val="left" w:pos="992"/>
        </w:tabs>
        <w:ind w:left="992" w:hanging="567"/>
      </w:pPr>
      <w:rPr>
        <w:rFonts w:hint="eastAsia"/>
      </w:rPr>
    </w:lvl>
    <w:lvl w:ilvl="2" w:tentative="0">
      <w:start w:val="1"/>
      <w:numFmt w:val="none"/>
      <w:pStyle w:val="173"/>
      <w:lvlText w:val="2.2.1."/>
      <w:lvlJc w:val="left"/>
      <w:pPr>
        <w:tabs>
          <w:tab w:val="left" w:pos="1418"/>
        </w:tabs>
        <w:ind w:left="1418" w:hanging="567"/>
      </w:pPr>
      <w:rPr>
        <w:rFonts w:hint="eastAsia"/>
      </w:rPr>
    </w:lvl>
    <w:lvl w:ilvl="3" w:tentative="0">
      <w:start w:val="1"/>
      <w:numFmt w:val="decimal"/>
      <w:lvlText w:val="%12.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0000000D"/>
    <w:multiLevelType w:val="multilevel"/>
    <w:tmpl w:val="0000000D"/>
    <w:lvl w:ilvl="0" w:tentative="0">
      <w:start w:val="1"/>
      <w:numFmt w:val="decimal"/>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139"/>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14313D"/>
    <w:multiLevelType w:val="multilevel"/>
    <w:tmpl w:val="0014313D"/>
    <w:lvl w:ilvl="0" w:tentative="0">
      <w:start w:val="1"/>
      <w:numFmt w:val="decimal"/>
      <w:suff w:val="space"/>
      <w:lvlText w:val="%1."/>
      <w:lvlJc w:val="left"/>
      <w:pPr>
        <w:ind w:left="360" w:hanging="360"/>
      </w:pPr>
    </w:lvl>
    <w:lvl w:ilvl="1" w:tentative="0">
      <w:start w:val="1"/>
      <w:numFmt w:val="decimal"/>
      <w:suff w:val="space"/>
      <w:lvlText w:val="%1.%2."/>
      <w:lvlJc w:val="left"/>
      <w:pPr>
        <w:ind w:left="792" w:hanging="432"/>
      </w:pPr>
    </w:lvl>
    <w:lvl w:ilvl="2" w:tentative="0">
      <w:start w:val="1"/>
      <w:numFmt w:val="decimal"/>
      <w:suff w:val="space"/>
      <w:lvlText w:val="%1.%2.%3."/>
      <w:lvlJc w:val="left"/>
      <w:pPr>
        <w:ind w:left="929" w:hanging="504"/>
      </w:pPr>
    </w:lvl>
    <w:lvl w:ilvl="3" w:tentative="0">
      <w:start w:val="1"/>
      <w:numFmt w:val="decimal"/>
      <w:suff w:val="space"/>
      <w:lvlText w:val="%1.%2.%3.%4."/>
      <w:lvlJc w:val="left"/>
      <w:pPr>
        <w:ind w:left="1048" w:hanging="648"/>
      </w:pPr>
    </w:lvl>
    <w:lvl w:ilvl="4" w:tentative="0">
      <w:start w:val="1"/>
      <w:numFmt w:val="decimal"/>
      <w:lvlText w:val="%1.%2.%3.%4.%5."/>
      <w:lvlJc w:val="left"/>
      <w:pPr>
        <w:tabs>
          <w:tab w:val="left" w:pos="2232"/>
        </w:tabs>
        <w:ind w:left="2232" w:hanging="792"/>
      </w:pPr>
    </w:lvl>
    <w:lvl w:ilvl="5" w:tentative="0">
      <w:start w:val="1"/>
      <w:numFmt w:val="decimal"/>
      <w:lvlText w:val="%1.%2.%3.%4.%5.%6."/>
      <w:lvlJc w:val="left"/>
      <w:pPr>
        <w:tabs>
          <w:tab w:val="left" w:pos="2736"/>
        </w:tabs>
        <w:ind w:left="2736" w:hanging="936"/>
      </w:pPr>
    </w:lvl>
    <w:lvl w:ilvl="6" w:tentative="0">
      <w:start w:val="1"/>
      <w:numFmt w:val="decimal"/>
      <w:lvlText w:val="%1.%2.%3.%4.%5.%6.%7."/>
      <w:lvlJc w:val="left"/>
      <w:pPr>
        <w:tabs>
          <w:tab w:val="left" w:pos="3240"/>
        </w:tabs>
        <w:ind w:left="3240" w:hanging="1080"/>
      </w:pPr>
    </w:lvl>
    <w:lvl w:ilvl="7" w:tentative="0">
      <w:start w:val="1"/>
      <w:numFmt w:val="decimal"/>
      <w:lvlText w:val="%1.%2.%3.%4.%5.%6.%7.%8."/>
      <w:lvlJc w:val="left"/>
      <w:pPr>
        <w:tabs>
          <w:tab w:val="left" w:pos="3744"/>
        </w:tabs>
        <w:ind w:left="3744" w:hanging="1224"/>
      </w:pPr>
    </w:lvl>
    <w:lvl w:ilvl="8" w:tentative="0">
      <w:start w:val="1"/>
      <w:numFmt w:val="decimal"/>
      <w:lvlText w:val="%1.%2.%3.%4.%5.%6.%7.%8.%9."/>
      <w:lvlJc w:val="left"/>
      <w:pPr>
        <w:tabs>
          <w:tab w:val="left" w:pos="4320"/>
        </w:tabs>
        <w:ind w:left="4320" w:hanging="1440"/>
      </w:pPr>
    </w:lvl>
  </w:abstractNum>
  <w:abstractNum w:abstractNumId="5">
    <w:nsid w:val="1006682F"/>
    <w:multiLevelType w:val="multilevel"/>
    <w:tmpl w:val="1006682F"/>
    <w:lvl w:ilvl="0" w:tentative="0">
      <w:start w:val="1"/>
      <w:numFmt w:val="japaneseCounting"/>
      <w:lvlText w:val="第%1章"/>
      <w:lvlJc w:val="left"/>
      <w:pPr>
        <w:ind w:left="1215" w:hanging="121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55E6A8F"/>
    <w:multiLevelType w:val="multilevel"/>
    <w:tmpl w:val="155E6A8F"/>
    <w:lvl w:ilvl="0" w:tentative="0">
      <w:start w:val="1"/>
      <w:numFmt w:val="decimal"/>
      <w:lvlText w:val="（%1）"/>
      <w:lvlJc w:val="left"/>
      <w:pPr>
        <w:tabs>
          <w:tab w:val="left" w:pos="1571"/>
        </w:tabs>
        <w:ind w:left="1571" w:hanging="720"/>
      </w:pPr>
      <w:rPr>
        <w:rFonts w:ascii="仿宋_GB2312" w:hAnsi="宋体" w:eastAsia="仿宋_GB2312" w:cs="Times New Roman"/>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7">
    <w:nsid w:val="159D5C12"/>
    <w:multiLevelType w:val="multilevel"/>
    <w:tmpl w:val="159D5C12"/>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21F4456E"/>
    <w:multiLevelType w:val="multilevel"/>
    <w:tmpl w:val="21F4456E"/>
    <w:lvl w:ilvl="0" w:tentative="0">
      <w:start w:val="1"/>
      <w:numFmt w:val="decimal"/>
      <w:lvlText w:val="%1."/>
      <w:lvlJc w:val="left"/>
      <w:pPr>
        <w:tabs>
          <w:tab w:val="left" w:pos="600"/>
        </w:tabs>
        <w:ind w:left="600" w:hanging="600"/>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7"/>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25E9131D"/>
    <w:multiLevelType w:val="multilevel"/>
    <w:tmpl w:val="25E9131D"/>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900"/>
        </w:tabs>
        <w:ind w:left="900" w:hanging="900"/>
      </w:pPr>
      <w:rPr>
        <w:rFonts w:hint="eastAsia"/>
      </w:rPr>
    </w:lvl>
    <w:lvl w:ilvl="2" w:tentative="0">
      <w:start w:val="1"/>
      <w:numFmt w:val="decimal"/>
      <w:lvlText w:val="%1.%2.%3"/>
      <w:lvlJc w:val="left"/>
      <w:pPr>
        <w:tabs>
          <w:tab w:val="left" w:pos="900"/>
        </w:tabs>
        <w:ind w:left="90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3A5222E3"/>
    <w:multiLevelType w:val="multilevel"/>
    <w:tmpl w:val="3A5222E3"/>
    <w:lvl w:ilvl="0" w:tentative="0">
      <w:start w:val="5"/>
      <w:numFmt w:val="japaneseCounting"/>
      <w:pStyle w:val="200"/>
      <w:lvlText w:val="第%1章"/>
      <w:lvlJc w:val="left"/>
      <w:pPr>
        <w:tabs>
          <w:tab w:val="left" w:pos="1620"/>
        </w:tabs>
        <w:ind w:left="1620" w:hanging="1080"/>
      </w:pPr>
      <w:rPr>
        <w:rFonts w:hint="default"/>
      </w:rPr>
    </w:lvl>
    <w:lvl w:ilvl="1" w:tentative="0">
      <w:start w:val="1"/>
      <w:numFmt w:val="japaneseCounting"/>
      <w:pStyle w:val="194"/>
      <w:lvlText w:val="(%2)"/>
      <w:lvlJc w:val="left"/>
      <w:pPr>
        <w:tabs>
          <w:tab w:val="left" w:pos="1560"/>
        </w:tabs>
        <w:ind w:left="1560" w:hanging="600"/>
      </w:pPr>
      <w:rPr>
        <w:rFonts w:hint="default"/>
      </w:rPr>
    </w:lvl>
    <w:lvl w:ilvl="2" w:tentative="0">
      <w:start w:val="8"/>
      <w:numFmt w:val="decimal"/>
      <w:pStyle w:val="189"/>
      <w:lvlText w:val="%3."/>
      <w:lvlJc w:val="left"/>
      <w:pPr>
        <w:tabs>
          <w:tab w:val="left" w:pos="1740"/>
        </w:tabs>
        <w:ind w:left="1740" w:hanging="360"/>
      </w:pPr>
      <w:rPr>
        <w:rFonts w:hint="default"/>
      </w:rPr>
    </w:lvl>
    <w:lvl w:ilvl="3" w:tentative="0">
      <w:start w:val="1"/>
      <w:numFmt w:val="decimal"/>
      <w:pStyle w:val="185"/>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1">
    <w:nsid w:val="5061A2A4"/>
    <w:multiLevelType w:val="singleLevel"/>
    <w:tmpl w:val="5061A2A4"/>
    <w:lvl w:ilvl="0" w:tentative="0">
      <w:start w:val="1"/>
      <w:numFmt w:val="decimal"/>
      <w:lvlText w:val="%1."/>
      <w:lvlJc w:val="left"/>
      <w:pPr>
        <w:tabs>
          <w:tab w:val="left" w:pos="312"/>
        </w:tabs>
      </w:pPr>
    </w:lvl>
  </w:abstractNum>
  <w:abstractNum w:abstractNumId="12">
    <w:nsid w:val="55A496DA"/>
    <w:multiLevelType w:val="singleLevel"/>
    <w:tmpl w:val="55A496DA"/>
    <w:lvl w:ilvl="0" w:tentative="0">
      <w:start w:val="1"/>
      <w:numFmt w:val="decimal"/>
      <w:lvlText w:val="%1."/>
      <w:lvlJc w:val="left"/>
      <w:pPr>
        <w:ind w:left="425" w:hanging="425"/>
      </w:pPr>
      <w:rPr>
        <w:rFonts w:hint="default"/>
      </w:rPr>
    </w:lvl>
  </w:abstractNum>
  <w:abstractNum w:abstractNumId="13">
    <w:nsid w:val="5715F760"/>
    <w:multiLevelType w:val="singleLevel"/>
    <w:tmpl w:val="5715F760"/>
    <w:lvl w:ilvl="0" w:tentative="0">
      <w:start w:val="1"/>
      <w:numFmt w:val="decimal"/>
      <w:suff w:val="nothing"/>
      <w:lvlText w:val="%1．"/>
      <w:lvlJc w:val="left"/>
      <w:pPr>
        <w:ind w:left="0" w:firstLine="400"/>
      </w:pPr>
      <w:rPr>
        <w:rFonts w:hint="default"/>
      </w:rPr>
    </w:lvl>
  </w:abstractNum>
  <w:abstractNum w:abstractNumId="14">
    <w:nsid w:val="62DA00DE"/>
    <w:multiLevelType w:val="singleLevel"/>
    <w:tmpl w:val="62DA00DE"/>
    <w:lvl w:ilvl="0" w:tentative="0">
      <w:start w:val="1"/>
      <w:numFmt w:val="decimal"/>
      <w:lvlText w:val="%1."/>
      <w:lvlJc w:val="left"/>
      <w:pPr>
        <w:tabs>
          <w:tab w:val="left" w:pos="425"/>
        </w:tabs>
        <w:ind w:left="425" w:hanging="425"/>
      </w:pPr>
      <w:rPr>
        <w:rFonts w:hint="default"/>
      </w:rPr>
    </w:lvl>
  </w:abstractNum>
  <w:abstractNum w:abstractNumId="15">
    <w:nsid w:val="66E4770E"/>
    <w:multiLevelType w:val="multilevel"/>
    <w:tmpl w:val="66E4770E"/>
    <w:lvl w:ilvl="0" w:tentative="0">
      <w:start w:val="1"/>
      <w:numFmt w:val="japaneseCounting"/>
      <w:lvlText w:val="第%1章"/>
      <w:lvlJc w:val="left"/>
      <w:pPr>
        <w:tabs>
          <w:tab w:val="left" w:pos="4543"/>
        </w:tabs>
        <w:ind w:left="4543" w:hanging="114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6">
    <w:nsid w:val="77CB68CA"/>
    <w:multiLevelType w:val="multilevel"/>
    <w:tmpl w:val="77CB68CA"/>
    <w:lvl w:ilvl="0" w:tentative="0">
      <w:start w:val="1"/>
      <w:numFmt w:val="decimal"/>
      <w:pStyle w:val="177"/>
      <w:lvlText w:val="%1."/>
      <w:lvlJc w:val="left"/>
      <w:pPr>
        <w:tabs>
          <w:tab w:val="left" w:pos="567"/>
        </w:tabs>
        <w:ind w:left="567" w:hanging="567"/>
      </w:pPr>
      <w:rPr>
        <w:rFonts w:hint="eastAsia" w:ascii="黑体" w:hAnsi="Arial" w:eastAsia="黑体"/>
        <w:b w:val="0"/>
        <w:i w:val="0"/>
        <w:sz w:val="21"/>
        <w:szCs w:val="21"/>
      </w:rPr>
    </w:lvl>
    <w:lvl w:ilvl="1" w:tentative="0">
      <w:start w:val="1"/>
      <w:numFmt w:val="decimal"/>
      <w:lvlText w:val="%1.%2"/>
      <w:lvlJc w:val="left"/>
      <w:pPr>
        <w:tabs>
          <w:tab w:val="left" w:pos="1588"/>
        </w:tabs>
        <w:ind w:left="1588" w:hanging="1021"/>
      </w:pPr>
      <w:rPr>
        <w:rFonts w:hint="eastAsia" w:ascii="黑体" w:hAnsi="宋体" w:eastAsia="黑体"/>
        <w:b w:val="0"/>
      </w:rPr>
    </w:lvl>
    <w:lvl w:ilvl="2" w:tentative="0">
      <w:start w:val="1"/>
      <w:numFmt w:val="decimal"/>
      <w:pStyle w:val="196"/>
      <w:lvlText w:val="%1.%2.%3"/>
      <w:lvlJc w:val="left"/>
      <w:pPr>
        <w:tabs>
          <w:tab w:val="left" w:pos="1247"/>
        </w:tabs>
        <w:ind w:left="567" w:firstLine="0"/>
      </w:pPr>
      <w:rPr>
        <w:rFonts w:hint="eastAsia" w:ascii="黑体" w:eastAsia="黑体"/>
        <w:b w:val="0"/>
        <w:sz w:val="21"/>
        <w:szCs w:val="21"/>
      </w:rPr>
    </w:lvl>
    <w:lvl w:ilvl="3" w:tentative="0">
      <w:start w:val="1"/>
      <w:numFmt w:val="decimal"/>
      <w:lvlText w:val="%1.%2.%3.%4"/>
      <w:lvlJc w:val="left"/>
      <w:pPr>
        <w:tabs>
          <w:tab w:val="left" w:pos="864"/>
        </w:tabs>
        <w:ind w:left="864" w:hanging="864"/>
      </w:pPr>
      <w:rPr>
        <w:rFonts w:hint="eastAsia" w:ascii="黑体" w:eastAsia="黑体"/>
        <w:b w:val="0"/>
      </w:rPr>
    </w:lvl>
    <w:lvl w:ilvl="4" w:tentative="0">
      <w:start w:val="1"/>
      <w:numFmt w:val="upperLetter"/>
      <w:lvlText w:val="%5"/>
      <w:lvlJc w:val="left"/>
      <w:pPr>
        <w:tabs>
          <w:tab w:val="left" w:pos="2835"/>
        </w:tabs>
        <w:ind w:left="3175" w:hanging="340"/>
      </w:pPr>
      <w:rPr>
        <w:rFonts w:hint="eastAsia" w:ascii="黑体" w:eastAsia="黑体"/>
      </w:rPr>
    </w:lvl>
    <w:lvl w:ilvl="5" w:tentative="0">
      <w:start w:val="1"/>
      <w:numFmt w:val="lowerLetter"/>
      <w:lvlText w:val="%6)"/>
      <w:lvlJc w:val="left"/>
      <w:pPr>
        <w:tabs>
          <w:tab w:val="left" w:pos="1800"/>
        </w:tabs>
        <w:ind w:left="1152" w:hanging="1152"/>
      </w:pPr>
      <w:rPr>
        <w:rFonts w:hint="eastAsia" w:ascii="黑体" w:eastAsia="黑体"/>
      </w:rPr>
    </w:lvl>
    <w:lvl w:ilvl="6" w:tentative="0">
      <w:start w:val="1"/>
      <w:numFmt w:val="decimal"/>
      <w:lvlText w:val="%1.%2.%3.%4.%5.%6.%7"/>
      <w:lvlJc w:val="left"/>
      <w:pPr>
        <w:tabs>
          <w:tab w:val="left" w:pos="1800"/>
        </w:tabs>
        <w:ind w:left="1296" w:hanging="1296"/>
      </w:pPr>
      <w:rPr>
        <w:rFonts w:hint="default"/>
      </w:rPr>
    </w:lvl>
    <w:lvl w:ilvl="7" w:tentative="0">
      <w:start w:val="1"/>
      <w:numFmt w:val="decimal"/>
      <w:lvlText w:val="%1.%2.%3.%4.%5.%6.%7.%8"/>
      <w:lvlJc w:val="left"/>
      <w:pPr>
        <w:tabs>
          <w:tab w:val="left" w:pos="2160"/>
        </w:tabs>
        <w:ind w:left="1440" w:hanging="1440"/>
      </w:pPr>
      <w:rPr>
        <w:rFonts w:hint="default"/>
      </w:rPr>
    </w:lvl>
    <w:lvl w:ilvl="8" w:tentative="0">
      <w:start w:val="1"/>
      <w:numFmt w:val="decimal"/>
      <w:lvlText w:val="%1.%2.%3.%4.%5.%6.%7.%8.%9"/>
      <w:lvlJc w:val="left"/>
      <w:pPr>
        <w:tabs>
          <w:tab w:val="left" w:pos="2520"/>
        </w:tabs>
        <w:ind w:left="1584" w:hanging="1584"/>
      </w:pPr>
      <w:rPr>
        <w:rFonts w:hint="default"/>
      </w:rPr>
    </w:lvl>
  </w:abstractNum>
  <w:abstractNum w:abstractNumId="17">
    <w:nsid w:val="7DFD1E08"/>
    <w:multiLevelType w:val="multilevel"/>
    <w:tmpl w:val="7DFD1E08"/>
    <w:lvl w:ilvl="0" w:tentative="0">
      <w:start w:val="4"/>
      <w:numFmt w:val="decimal"/>
      <w:lvlText w:val="%1."/>
      <w:lvlJc w:val="left"/>
      <w:pPr>
        <w:ind w:left="425" w:hanging="425"/>
      </w:pPr>
      <w:rPr>
        <w:rFonts w:hint="eastAsia"/>
      </w:rPr>
    </w:lvl>
    <w:lvl w:ilvl="1" w:tentative="0">
      <w:start w:val="4"/>
      <w:numFmt w:val="decimal"/>
      <w:pStyle w:val="140"/>
      <w:lvlText w:val="%1.%2."/>
      <w:lvlJc w:val="left"/>
      <w:pPr>
        <w:ind w:left="567" w:hanging="567"/>
      </w:pPr>
      <w:rPr>
        <w:rFonts w:hint="eastAsia" w:cs="Times New Roman"/>
        <w:b w:val="0"/>
        <w:bCs w:val="0"/>
        <w:i w:val="0"/>
        <w:iCs w:val="0"/>
        <w:caps w:val="0"/>
        <w:smallCaps w:val="0"/>
        <w:strike w:val="0"/>
        <w:dstrike w:val="0"/>
        <w:outline w:val="0"/>
        <w:shadow w:val="0"/>
        <w:emboss w:val="0"/>
        <w:imprint w:val="0"/>
        <w:vanish w:val="0"/>
        <w:spacing w:val="0"/>
        <w:position w:val="0"/>
        <w:u w:val="none"/>
        <w:vertAlign w:val="baseline"/>
      </w:rPr>
    </w:lvl>
    <w:lvl w:ilvl="2" w:tentative="0">
      <w:start w:val="3"/>
      <w:numFmt w:val="decimal"/>
      <w:lvlText w:val="%1.%2.%3."/>
      <w:lvlJc w:val="left"/>
      <w:pPr>
        <w:ind w:left="709" w:hanging="709"/>
      </w:pPr>
      <w:rPr>
        <w:rFonts w:hint="eastAsia" w:cs="Times New Roman"/>
        <w:b w:val="0"/>
        <w:bCs w:val="0"/>
        <w:i w:val="0"/>
        <w:iCs w:val="0"/>
        <w:caps w:val="0"/>
        <w:smallCaps w:val="0"/>
        <w:strike w:val="0"/>
        <w:dstrike w:val="0"/>
        <w:outline w:val="0"/>
        <w:shadow w:val="0"/>
        <w:emboss w:val="0"/>
        <w:imprint w:val="0"/>
        <w:vanish w:val="0"/>
        <w:spacing w:val="0"/>
        <w:position w:val="0"/>
        <w:u w:val="none"/>
        <w:vertAlign w:val="baseline"/>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8"/>
  </w:num>
  <w:num w:numId="2">
    <w:abstractNumId w:val="1"/>
  </w:num>
  <w:num w:numId="3">
    <w:abstractNumId w:val="3"/>
  </w:num>
  <w:num w:numId="4">
    <w:abstractNumId w:val="17"/>
  </w:num>
  <w:num w:numId="5">
    <w:abstractNumId w:val="2"/>
  </w:num>
  <w:num w:numId="6">
    <w:abstractNumId w:val="16"/>
  </w:num>
  <w:num w:numId="7">
    <w:abstractNumId w:val="10"/>
  </w:num>
  <w:num w:numId="8">
    <w:abstractNumId w:val="5"/>
  </w:num>
  <w:num w:numId="9">
    <w:abstractNumId w:val="0"/>
  </w:num>
  <w:num w:numId="10">
    <w:abstractNumId w:val="13"/>
  </w:num>
  <w:num w:numId="11">
    <w:abstractNumId w:val="9"/>
  </w:num>
  <w:num w:numId="12">
    <w:abstractNumId w:val="15"/>
  </w:num>
  <w:num w:numId="13">
    <w:abstractNumId w:val="6"/>
  </w:num>
  <w:num w:numId="14">
    <w:abstractNumId w:val="7"/>
  </w:num>
  <w:num w:numId="15">
    <w:abstractNumId w:val="4"/>
  </w:num>
  <w:num w:numId="16">
    <w:abstractNumId w:val="12"/>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31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jZDQyMTQ1MTMxODU1ZmM5NmNhYjFlNGJlMjU0ZDQifQ=="/>
  </w:docVars>
  <w:rsids>
    <w:rsidRoot w:val="00172A27"/>
    <w:rsid w:val="000B5E72"/>
    <w:rsid w:val="001C0DD5"/>
    <w:rsid w:val="001D54BE"/>
    <w:rsid w:val="0034731E"/>
    <w:rsid w:val="003638AD"/>
    <w:rsid w:val="003B7114"/>
    <w:rsid w:val="00594589"/>
    <w:rsid w:val="007738DE"/>
    <w:rsid w:val="007E249D"/>
    <w:rsid w:val="008B2575"/>
    <w:rsid w:val="00B415CA"/>
    <w:rsid w:val="00BF4650"/>
    <w:rsid w:val="00D21B5B"/>
    <w:rsid w:val="00E429AC"/>
    <w:rsid w:val="00EA326F"/>
    <w:rsid w:val="00F34157"/>
    <w:rsid w:val="00FE0354"/>
    <w:rsid w:val="01CD4F1F"/>
    <w:rsid w:val="01CD506F"/>
    <w:rsid w:val="025D3C33"/>
    <w:rsid w:val="0299777A"/>
    <w:rsid w:val="03310133"/>
    <w:rsid w:val="033A7147"/>
    <w:rsid w:val="034072F4"/>
    <w:rsid w:val="03D33F78"/>
    <w:rsid w:val="05BD6C4F"/>
    <w:rsid w:val="05BF60C0"/>
    <w:rsid w:val="068A051E"/>
    <w:rsid w:val="07714A42"/>
    <w:rsid w:val="07756776"/>
    <w:rsid w:val="084367D4"/>
    <w:rsid w:val="084E0615"/>
    <w:rsid w:val="08E36DB2"/>
    <w:rsid w:val="09545AC8"/>
    <w:rsid w:val="0AFF4E4A"/>
    <w:rsid w:val="0B7449C2"/>
    <w:rsid w:val="0B933243"/>
    <w:rsid w:val="0BD842AB"/>
    <w:rsid w:val="0BEE13A6"/>
    <w:rsid w:val="0D4C342B"/>
    <w:rsid w:val="0D792EAC"/>
    <w:rsid w:val="0D8D0EA8"/>
    <w:rsid w:val="0E175D7C"/>
    <w:rsid w:val="0E8F45F1"/>
    <w:rsid w:val="0FC90B63"/>
    <w:rsid w:val="100F10E1"/>
    <w:rsid w:val="114C6D7B"/>
    <w:rsid w:val="119D1D5C"/>
    <w:rsid w:val="124848DD"/>
    <w:rsid w:val="12AF40AF"/>
    <w:rsid w:val="142C6408"/>
    <w:rsid w:val="143E54A0"/>
    <w:rsid w:val="149208C7"/>
    <w:rsid w:val="17493924"/>
    <w:rsid w:val="17524BB4"/>
    <w:rsid w:val="17567E8F"/>
    <w:rsid w:val="17634B0D"/>
    <w:rsid w:val="17DD21C5"/>
    <w:rsid w:val="1A060CD7"/>
    <w:rsid w:val="1ABD1A3F"/>
    <w:rsid w:val="1C2362A8"/>
    <w:rsid w:val="1C644176"/>
    <w:rsid w:val="1C846CAA"/>
    <w:rsid w:val="1CCA1D4D"/>
    <w:rsid w:val="1D1919F8"/>
    <w:rsid w:val="1D1E3239"/>
    <w:rsid w:val="1D447F67"/>
    <w:rsid w:val="1D511438"/>
    <w:rsid w:val="1D7E18EE"/>
    <w:rsid w:val="1D952DF5"/>
    <w:rsid w:val="1DA4399A"/>
    <w:rsid w:val="1E014BA0"/>
    <w:rsid w:val="1F1727BF"/>
    <w:rsid w:val="1F4B1DA5"/>
    <w:rsid w:val="202A1238"/>
    <w:rsid w:val="20734F9D"/>
    <w:rsid w:val="21517356"/>
    <w:rsid w:val="217E3D4D"/>
    <w:rsid w:val="21B8302F"/>
    <w:rsid w:val="21ED0E21"/>
    <w:rsid w:val="225D0766"/>
    <w:rsid w:val="22C96A86"/>
    <w:rsid w:val="238649B8"/>
    <w:rsid w:val="23AD4E1E"/>
    <w:rsid w:val="246A716A"/>
    <w:rsid w:val="24AD2B4B"/>
    <w:rsid w:val="24C741C2"/>
    <w:rsid w:val="25350541"/>
    <w:rsid w:val="258B1F8D"/>
    <w:rsid w:val="268E2E7C"/>
    <w:rsid w:val="27A02191"/>
    <w:rsid w:val="27E04F0C"/>
    <w:rsid w:val="285C308D"/>
    <w:rsid w:val="28865E00"/>
    <w:rsid w:val="289A3148"/>
    <w:rsid w:val="2907617B"/>
    <w:rsid w:val="29A273A6"/>
    <w:rsid w:val="29F518B2"/>
    <w:rsid w:val="2A3B6454"/>
    <w:rsid w:val="2AE26DC9"/>
    <w:rsid w:val="2CA86A82"/>
    <w:rsid w:val="2F6D3579"/>
    <w:rsid w:val="30343EB8"/>
    <w:rsid w:val="30923BB0"/>
    <w:rsid w:val="31A71994"/>
    <w:rsid w:val="31C03214"/>
    <w:rsid w:val="3371124C"/>
    <w:rsid w:val="33716BC9"/>
    <w:rsid w:val="33BB31BC"/>
    <w:rsid w:val="33DA7906"/>
    <w:rsid w:val="3436155A"/>
    <w:rsid w:val="347A6C66"/>
    <w:rsid w:val="34E83EA9"/>
    <w:rsid w:val="35865A65"/>
    <w:rsid w:val="359C48DD"/>
    <w:rsid w:val="35B5220F"/>
    <w:rsid w:val="35F37D16"/>
    <w:rsid w:val="3674202A"/>
    <w:rsid w:val="368E0516"/>
    <w:rsid w:val="371116F1"/>
    <w:rsid w:val="379C09D5"/>
    <w:rsid w:val="38023102"/>
    <w:rsid w:val="384D3D8D"/>
    <w:rsid w:val="389F657A"/>
    <w:rsid w:val="38A02D03"/>
    <w:rsid w:val="38A92A23"/>
    <w:rsid w:val="39E25AC3"/>
    <w:rsid w:val="3A601B79"/>
    <w:rsid w:val="3A9A2C2A"/>
    <w:rsid w:val="3BCD47A7"/>
    <w:rsid w:val="3C440E8D"/>
    <w:rsid w:val="3C8E67FF"/>
    <w:rsid w:val="3CC80902"/>
    <w:rsid w:val="3D342B6E"/>
    <w:rsid w:val="3E7034D9"/>
    <w:rsid w:val="3F4534B5"/>
    <w:rsid w:val="402D4B16"/>
    <w:rsid w:val="405F495E"/>
    <w:rsid w:val="40B567C2"/>
    <w:rsid w:val="40F23A4C"/>
    <w:rsid w:val="411A359C"/>
    <w:rsid w:val="430D7208"/>
    <w:rsid w:val="4366434B"/>
    <w:rsid w:val="437D37DC"/>
    <w:rsid w:val="44E645F9"/>
    <w:rsid w:val="45E40A76"/>
    <w:rsid w:val="45EB594E"/>
    <w:rsid w:val="48AC304C"/>
    <w:rsid w:val="48CA449B"/>
    <w:rsid w:val="49772E24"/>
    <w:rsid w:val="4B6C5100"/>
    <w:rsid w:val="4BE75898"/>
    <w:rsid w:val="4C0C1018"/>
    <w:rsid w:val="4C52117B"/>
    <w:rsid w:val="4C85709E"/>
    <w:rsid w:val="4DED1D23"/>
    <w:rsid w:val="4DF06CFE"/>
    <w:rsid w:val="4E1E7926"/>
    <w:rsid w:val="4E2539F2"/>
    <w:rsid w:val="4F9421CB"/>
    <w:rsid w:val="4FE85234"/>
    <w:rsid w:val="50C06A6F"/>
    <w:rsid w:val="51535632"/>
    <w:rsid w:val="51AB25E2"/>
    <w:rsid w:val="52C77193"/>
    <w:rsid w:val="531A366F"/>
    <w:rsid w:val="53455313"/>
    <w:rsid w:val="53965B3B"/>
    <w:rsid w:val="53B7054A"/>
    <w:rsid w:val="54181E8F"/>
    <w:rsid w:val="5492579E"/>
    <w:rsid w:val="55AB065F"/>
    <w:rsid w:val="55FA184D"/>
    <w:rsid w:val="56074CC6"/>
    <w:rsid w:val="56456AAE"/>
    <w:rsid w:val="566A5FD0"/>
    <w:rsid w:val="574F5F4C"/>
    <w:rsid w:val="589715D5"/>
    <w:rsid w:val="59FA3F6D"/>
    <w:rsid w:val="5A0A5462"/>
    <w:rsid w:val="5AAF3A76"/>
    <w:rsid w:val="5ADB1E70"/>
    <w:rsid w:val="5B4C57D4"/>
    <w:rsid w:val="5BFC30FE"/>
    <w:rsid w:val="5C3667D4"/>
    <w:rsid w:val="5CDB033A"/>
    <w:rsid w:val="5CFA0384"/>
    <w:rsid w:val="5D422007"/>
    <w:rsid w:val="5D79574D"/>
    <w:rsid w:val="5DAF2A40"/>
    <w:rsid w:val="5E284D12"/>
    <w:rsid w:val="5F042803"/>
    <w:rsid w:val="5F5D6BEB"/>
    <w:rsid w:val="5FAD636F"/>
    <w:rsid w:val="600B149F"/>
    <w:rsid w:val="61994029"/>
    <w:rsid w:val="61EA2C17"/>
    <w:rsid w:val="61F6744C"/>
    <w:rsid w:val="635D0E7E"/>
    <w:rsid w:val="63827325"/>
    <w:rsid w:val="639F5962"/>
    <w:rsid w:val="64BC1D3B"/>
    <w:rsid w:val="64E01543"/>
    <w:rsid w:val="65130267"/>
    <w:rsid w:val="68DA1A60"/>
    <w:rsid w:val="6A1D6B70"/>
    <w:rsid w:val="6A903AE2"/>
    <w:rsid w:val="6AF56893"/>
    <w:rsid w:val="6B085BBE"/>
    <w:rsid w:val="6B0C4773"/>
    <w:rsid w:val="6B277F37"/>
    <w:rsid w:val="6B716B29"/>
    <w:rsid w:val="6C741EF9"/>
    <w:rsid w:val="6D094D94"/>
    <w:rsid w:val="6DC65A80"/>
    <w:rsid w:val="6E380D0C"/>
    <w:rsid w:val="6EB1615D"/>
    <w:rsid w:val="6ED42A0E"/>
    <w:rsid w:val="6EE168B7"/>
    <w:rsid w:val="706F08A3"/>
    <w:rsid w:val="70977707"/>
    <w:rsid w:val="71033854"/>
    <w:rsid w:val="711663FD"/>
    <w:rsid w:val="714D5CAB"/>
    <w:rsid w:val="73951FFE"/>
    <w:rsid w:val="73B96DD6"/>
    <w:rsid w:val="73BA04D5"/>
    <w:rsid w:val="753B3AE9"/>
    <w:rsid w:val="75664791"/>
    <w:rsid w:val="76190D95"/>
    <w:rsid w:val="770478DC"/>
    <w:rsid w:val="773C186D"/>
    <w:rsid w:val="78191BAF"/>
    <w:rsid w:val="78BC2324"/>
    <w:rsid w:val="78CC6D3B"/>
    <w:rsid w:val="78DC67E8"/>
    <w:rsid w:val="792340C6"/>
    <w:rsid w:val="799F11C0"/>
    <w:rsid w:val="7AAB15D2"/>
    <w:rsid w:val="7B6706DA"/>
    <w:rsid w:val="7C0F7C94"/>
    <w:rsid w:val="7C437203"/>
    <w:rsid w:val="7C6A2093"/>
    <w:rsid w:val="7CA009C3"/>
    <w:rsid w:val="7CBF52AE"/>
    <w:rsid w:val="7D863AB9"/>
    <w:rsid w:val="7DC70AA0"/>
    <w:rsid w:val="7E4E64CE"/>
    <w:rsid w:val="7E74003D"/>
    <w:rsid w:val="7F3C5B6C"/>
    <w:rsid w:val="7F6E0AB2"/>
    <w:rsid w:val="7FC3485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99"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7"/>
    <w:qFormat/>
    <w:uiPriority w:val="0"/>
    <w:pPr>
      <w:keepNext/>
      <w:keepLines/>
      <w:spacing w:before="340" w:beforeLines="0" w:after="330" w:afterLines="0" w:line="576" w:lineRule="auto"/>
      <w:outlineLvl w:val="0"/>
    </w:pPr>
    <w:rPr>
      <w:b/>
      <w:bCs/>
      <w:kern w:val="44"/>
      <w:sz w:val="44"/>
      <w:szCs w:val="44"/>
    </w:rPr>
  </w:style>
  <w:style w:type="paragraph" w:styleId="4">
    <w:name w:val="heading 2"/>
    <w:basedOn w:val="1"/>
    <w:next w:val="1"/>
    <w:link w:val="68"/>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5">
    <w:name w:val="heading 3"/>
    <w:basedOn w:val="1"/>
    <w:next w:val="1"/>
    <w:link w:val="69"/>
    <w:qFormat/>
    <w:uiPriority w:val="0"/>
    <w:pPr>
      <w:keepNext/>
      <w:keepLines/>
      <w:spacing w:before="260" w:beforeLines="0" w:after="260" w:afterLines="0" w:line="413" w:lineRule="auto"/>
      <w:outlineLvl w:val="2"/>
    </w:pPr>
    <w:rPr>
      <w:b/>
      <w:bCs/>
      <w:kern w:val="2"/>
      <w:sz w:val="32"/>
      <w:szCs w:val="32"/>
    </w:rPr>
  </w:style>
  <w:style w:type="paragraph" w:styleId="6">
    <w:name w:val="heading 4"/>
    <w:basedOn w:val="1"/>
    <w:next w:val="1"/>
    <w:link w:val="70"/>
    <w:qFormat/>
    <w:uiPriority w:val="0"/>
    <w:pPr>
      <w:keepNext/>
      <w:keepLines/>
      <w:spacing w:before="280" w:beforeLines="0" w:after="290" w:afterLines="0" w:line="372" w:lineRule="auto"/>
      <w:outlineLvl w:val="3"/>
    </w:pPr>
    <w:rPr>
      <w:rFonts w:ascii="Arial" w:hAnsi="Arial" w:eastAsia="黑体"/>
      <w:b/>
      <w:bCs/>
      <w:sz w:val="28"/>
      <w:szCs w:val="28"/>
    </w:rPr>
  </w:style>
  <w:style w:type="paragraph" w:styleId="7">
    <w:name w:val="heading 5"/>
    <w:basedOn w:val="1"/>
    <w:next w:val="1"/>
    <w:link w:val="71"/>
    <w:qFormat/>
    <w:uiPriority w:val="0"/>
    <w:pPr>
      <w:widowControl/>
      <w:numPr>
        <w:ilvl w:val="4"/>
        <w:numId w:val="1"/>
      </w:numPr>
      <w:tabs>
        <w:tab w:val="left" w:pos="2232"/>
        <w:tab w:val="clear" w:pos="2100"/>
      </w:tabs>
      <w:spacing w:before="240" w:beforeLines="0" w:after="60" w:afterLines="0"/>
      <w:jc w:val="left"/>
      <w:outlineLvl w:val="4"/>
    </w:pPr>
    <w:rPr>
      <w:i/>
      <w:kern w:val="0"/>
      <w:sz w:val="18"/>
      <w:szCs w:val="20"/>
      <w:lang w:val="fr-FR"/>
    </w:rPr>
  </w:style>
  <w:style w:type="paragraph" w:styleId="8">
    <w:name w:val="heading 6"/>
    <w:basedOn w:val="1"/>
    <w:next w:val="1"/>
    <w:qFormat/>
    <w:uiPriority w:val="0"/>
    <w:pPr>
      <w:keepNext/>
      <w:keepLines/>
      <w:widowControl/>
      <w:tabs>
        <w:tab w:val="left" w:pos="1440"/>
      </w:tabs>
      <w:spacing w:before="240" w:beforeLines="0" w:after="64" w:afterLines="0" w:line="317" w:lineRule="auto"/>
      <w:ind w:left="1152" w:hanging="1152"/>
      <w:jc w:val="left"/>
      <w:outlineLvl w:val="5"/>
    </w:pPr>
    <w:rPr>
      <w:rFonts w:ascii="Arial" w:hAnsi="Arial" w:eastAsia="黑体"/>
      <w:b/>
      <w:bCs/>
      <w:kern w:val="0"/>
      <w:sz w:val="24"/>
    </w:rPr>
  </w:style>
  <w:style w:type="paragraph" w:styleId="9">
    <w:name w:val="heading 7"/>
    <w:basedOn w:val="1"/>
    <w:next w:val="2"/>
    <w:link w:val="72"/>
    <w:qFormat/>
    <w:uiPriority w:val="99"/>
    <w:pPr>
      <w:keepNext/>
      <w:keepLines/>
      <w:widowControl/>
      <w:tabs>
        <w:tab w:val="left" w:pos="2520"/>
      </w:tabs>
      <w:spacing w:before="240" w:beforeLines="0" w:after="64" w:afterLines="0" w:line="317" w:lineRule="auto"/>
      <w:ind w:left="1296" w:hanging="1296"/>
      <w:jc w:val="left"/>
      <w:outlineLvl w:val="6"/>
    </w:pPr>
    <w:rPr>
      <w:b/>
      <w:bCs/>
      <w:kern w:val="0"/>
      <w:sz w:val="24"/>
    </w:rPr>
  </w:style>
  <w:style w:type="paragraph" w:styleId="10">
    <w:name w:val="heading 8"/>
    <w:basedOn w:val="1"/>
    <w:next w:val="1"/>
    <w:link w:val="73"/>
    <w:qFormat/>
    <w:uiPriority w:val="99"/>
    <w:pPr>
      <w:keepNext/>
      <w:keepLines/>
      <w:widowControl/>
      <w:tabs>
        <w:tab w:val="left" w:pos="1440"/>
      </w:tabs>
      <w:spacing w:before="240" w:beforeLines="0" w:after="64" w:afterLines="0" w:line="317" w:lineRule="auto"/>
      <w:ind w:left="1440" w:hanging="1440"/>
      <w:jc w:val="left"/>
      <w:outlineLvl w:val="7"/>
    </w:pPr>
    <w:rPr>
      <w:rFonts w:ascii="Arial" w:hAnsi="Arial" w:eastAsia="黑体"/>
      <w:kern w:val="0"/>
      <w:sz w:val="24"/>
    </w:rPr>
  </w:style>
  <w:style w:type="paragraph" w:styleId="11">
    <w:name w:val="heading 9"/>
    <w:basedOn w:val="1"/>
    <w:next w:val="1"/>
    <w:link w:val="74"/>
    <w:qFormat/>
    <w:uiPriority w:val="99"/>
    <w:pPr>
      <w:keepNext/>
      <w:keepLines/>
      <w:widowControl/>
      <w:tabs>
        <w:tab w:val="left" w:pos="1584"/>
      </w:tabs>
      <w:spacing w:before="240" w:beforeLines="0" w:after="64" w:afterLines="0" w:line="317" w:lineRule="auto"/>
      <w:ind w:left="1584" w:hanging="1584"/>
      <w:jc w:val="left"/>
      <w:outlineLvl w:val="8"/>
    </w:pPr>
    <w:rPr>
      <w:rFonts w:ascii="Arial" w:hAnsi="Arial" w:eastAsia="黑体"/>
      <w:kern w:val="0"/>
      <w:szCs w:val="21"/>
    </w:rPr>
  </w:style>
  <w:style w:type="character" w:default="1" w:styleId="53">
    <w:name w:val="Default Paragraph Font"/>
    <w:qFormat/>
    <w:uiPriority w:val="0"/>
  </w:style>
  <w:style w:type="table" w:default="1" w:styleId="51">
    <w:name w:val="Normal Table"/>
    <w:unhideWhenUsed/>
    <w:qFormat/>
    <w:uiPriority w:val="99"/>
    <w:tblPr>
      <w:tblCellMar>
        <w:top w:w="0" w:type="dxa"/>
        <w:left w:w="108" w:type="dxa"/>
        <w:bottom w:w="0" w:type="dxa"/>
        <w:right w:w="108" w:type="dxa"/>
      </w:tblCellMar>
    </w:tblPr>
  </w:style>
  <w:style w:type="paragraph" w:styleId="2">
    <w:name w:val="Normal Indent"/>
    <w:basedOn w:val="1"/>
    <w:link w:val="75"/>
    <w:qFormat/>
    <w:uiPriority w:val="0"/>
    <w:pPr>
      <w:ind w:firstLine="420" w:firstLineChars="200"/>
    </w:pPr>
  </w:style>
  <w:style w:type="paragraph" w:styleId="12">
    <w:name w:val="toc 7"/>
    <w:basedOn w:val="1"/>
    <w:next w:val="1"/>
    <w:unhideWhenUsed/>
    <w:qFormat/>
    <w:uiPriority w:val="0"/>
    <w:pPr>
      <w:ind w:left="2520" w:leftChars="1200"/>
    </w:pPr>
    <w:rPr>
      <w:rFonts w:ascii="Calibri" w:hAnsi="Calibri" w:eastAsia="宋体" w:cs="Times New Roman"/>
      <w:szCs w:val="22"/>
    </w:rPr>
  </w:style>
  <w:style w:type="paragraph" w:styleId="13">
    <w:name w:val="List Number 2"/>
    <w:basedOn w:val="1"/>
    <w:qFormat/>
    <w:uiPriority w:val="0"/>
    <w:pPr>
      <w:widowControl/>
      <w:numPr>
        <w:ilvl w:val="0"/>
        <w:numId w:val="2"/>
      </w:numPr>
      <w:tabs>
        <w:tab w:val="left" w:pos="851"/>
        <w:tab w:val="right" w:pos="10206"/>
        <w:tab w:val="clear" w:pos="780"/>
      </w:tabs>
      <w:spacing w:after="120" w:afterLines="0" w:line="240" w:lineRule="atLeast"/>
      <w:ind w:left="851" w:leftChars="0" w:hanging="426" w:firstLineChars="0"/>
    </w:pPr>
    <w:rPr>
      <w:rFonts w:ascii="Arial" w:hAnsi="Arial"/>
      <w:kern w:val="0"/>
      <w:sz w:val="18"/>
      <w:szCs w:val="20"/>
      <w:lang w:eastAsia="it-IT"/>
    </w:rPr>
  </w:style>
  <w:style w:type="paragraph" w:styleId="14">
    <w:name w:val="index 8"/>
    <w:basedOn w:val="1"/>
    <w:next w:val="1"/>
    <w:qFormat/>
    <w:uiPriority w:val="0"/>
    <w:pPr>
      <w:widowControl/>
      <w:ind w:left="2940"/>
      <w:jc w:val="left"/>
    </w:pPr>
    <w:rPr>
      <w:kern w:val="0"/>
      <w:sz w:val="20"/>
      <w:szCs w:val="20"/>
      <w:lang w:val="fr-FR"/>
    </w:rPr>
  </w:style>
  <w:style w:type="paragraph" w:styleId="15">
    <w:name w:val="index 5"/>
    <w:basedOn w:val="1"/>
    <w:next w:val="1"/>
    <w:qFormat/>
    <w:uiPriority w:val="0"/>
    <w:pPr>
      <w:widowControl/>
      <w:ind w:left="1680"/>
      <w:jc w:val="left"/>
    </w:pPr>
    <w:rPr>
      <w:kern w:val="0"/>
      <w:sz w:val="20"/>
      <w:szCs w:val="20"/>
      <w:lang w:val="fr-FR"/>
    </w:rPr>
  </w:style>
  <w:style w:type="paragraph" w:styleId="16">
    <w:name w:val="Document Map"/>
    <w:basedOn w:val="1"/>
    <w:qFormat/>
    <w:uiPriority w:val="0"/>
    <w:pPr>
      <w:shd w:val="clear" w:color="auto" w:fill="000080"/>
    </w:pPr>
  </w:style>
  <w:style w:type="paragraph" w:styleId="17">
    <w:name w:val="annotation text"/>
    <w:basedOn w:val="1"/>
    <w:link w:val="76"/>
    <w:qFormat/>
    <w:uiPriority w:val="0"/>
    <w:pPr>
      <w:jc w:val="left"/>
    </w:pPr>
  </w:style>
  <w:style w:type="paragraph" w:styleId="18">
    <w:name w:val="index 6"/>
    <w:basedOn w:val="1"/>
    <w:next w:val="1"/>
    <w:qFormat/>
    <w:uiPriority w:val="0"/>
    <w:pPr>
      <w:widowControl/>
      <w:ind w:left="2100"/>
      <w:jc w:val="left"/>
    </w:pPr>
    <w:rPr>
      <w:kern w:val="0"/>
      <w:sz w:val="20"/>
      <w:szCs w:val="20"/>
      <w:lang w:val="fr-FR"/>
    </w:rPr>
  </w:style>
  <w:style w:type="paragraph" w:styleId="19">
    <w:name w:val="Body Text 3"/>
    <w:basedOn w:val="1"/>
    <w:link w:val="77"/>
    <w:qFormat/>
    <w:uiPriority w:val="0"/>
    <w:rPr>
      <w:rFonts w:ascii="宋体"/>
      <w:sz w:val="24"/>
      <w:szCs w:val="20"/>
    </w:rPr>
  </w:style>
  <w:style w:type="paragraph" w:styleId="20">
    <w:name w:val="Body Text"/>
    <w:basedOn w:val="1"/>
    <w:link w:val="78"/>
    <w:qFormat/>
    <w:uiPriority w:val="0"/>
    <w:pPr>
      <w:spacing w:after="120" w:afterLines="0"/>
    </w:pPr>
  </w:style>
  <w:style w:type="paragraph" w:styleId="21">
    <w:name w:val="Body Text Indent"/>
    <w:basedOn w:val="1"/>
    <w:qFormat/>
    <w:uiPriority w:val="0"/>
    <w:pPr>
      <w:spacing w:after="120" w:afterLines="0"/>
      <w:ind w:left="420" w:leftChars="200"/>
    </w:pPr>
  </w:style>
  <w:style w:type="paragraph" w:styleId="22">
    <w:name w:val="index 4"/>
    <w:basedOn w:val="1"/>
    <w:next w:val="1"/>
    <w:qFormat/>
    <w:uiPriority w:val="0"/>
    <w:pPr>
      <w:widowControl/>
      <w:ind w:left="1260"/>
      <w:jc w:val="left"/>
    </w:pPr>
    <w:rPr>
      <w:kern w:val="0"/>
      <w:sz w:val="20"/>
      <w:szCs w:val="20"/>
      <w:lang w:val="fr-FR"/>
    </w:rPr>
  </w:style>
  <w:style w:type="paragraph" w:styleId="23">
    <w:name w:val="toc 5"/>
    <w:basedOn w:val="1"/>
    <w:next w:val="1"/>
    <w:unhideWhenUsed/>
    <w:qFormat/>
    <w:uiPriority w:val="0"/>
    <w:pPr>
      <w:ind w:left="1680" w:leftChars="800"/>
    </w:pPr>
    <w:rPr>
      <w:rFonts w:ascii="Calibri" w:hAnsi="Calibri" w:eastAsia="宋体" w:cs="Times New Roman"/>
      <w:szCs w:val="22"/>
    </w:rPr>
  </w:style>
  <w:style w:type="paragraph" w:styleId="24">
    <w:name w:val="toc 3"/>
    <w:basedOn w:val="1"/>
    <w:next w:val="1"/>
    <w:qFormat/>
    <w:uiPriority w:val="39"/>
    <w:pPr>
      <w:ind w:left="840" w:leftChars="400"/>
    </w:pPr>
  </w:style>
  <w:style w:type="paragraph" w:styleId="25">
    <w:name w:val="Plain Text"/>
    <w:basedOn w:val="1"/>
    <w:link w:val="79"/>
    <w:qFormat/>
    <w:uiPriority w:val="0"/>
    <w:rPr>
      <w:rFonts w:ascii="宋体" w:hAnsi="Courier New"/>
      <w:szCs w:val="20"/>
    </w:rPr>
  </w:style>
  <w:style w:type="paragraph" w:styleId="26">
    <w:name w:val="toc 8"/>
    <w:basedOn w:val="1"/>
    <w:next w:val="1"/>
    <w:unhideWhenUsed/>
    <w:qFormat/>
    <w:uiPriority w:val="0"/>
    <w:pPr>
      <w:ind w:left="2940" w:leftChars="1400"/>
    </w:pPr>
    <w:rPr>
      <w:rFonts w:ascii="Calibri" w:hAnsi="Calibri" w:eastAsia="宋体" w:cs="Times New Roman"/>
      <w:szCs w:val="22"/>
    </w:rPr>
  </w:style>
  <w:style w:type="paragraph" w:styleId="27">
    <w:name w:val="index 3"/>
    <w:basedOn w:val="1"/>
    <w:next w:val="1"/>
    <w:qFormat/>
    <w:uiPriority w:val="0"/>
    <w:pPr>
      <w:widowControl/>
      <w:ind w:left="840"/>
      <w:jc w:val="left"/>
    </w:pPr>
    <w:rPr>
      <w:kern w:val="0"/>
      <w:sz w:val="20"/>
      <w:szCs w:val="20"/>
      <w:lang w:val="fr-FR"/>
    </w:rPr>
  </w:style>
  <w:style w:type="paragraph" w:styleId="28">
    <w:name w:val="Date"/>
    <w:basedOn w:val="1"/>
    <w:next w:val="1"/>
    <w:link w:val="80"/>
    <w:qFormat/>
    <w:uiPriority w:val="0"/>
    <w:rPr>
      <w:sz w:val="24"/>
      <w:szCs w:val="20"/>
    </w:rPr>
  </w:style>
  <w:style w:type="paragraph" w:styleId="29">
    <w:name w:val="Body Text Indent 2"/>
    <w:basedOn w:val="1"/>
    <w:link w:val="81"/>
    <w:qFormat/>
    <w:uiPriority w:val="0"/>
    <w:pPr>
      <w:widowControl/>
      <w:ind w:left="709"/>
      <w:jc w:val="left"/>
    </w:pPr>
    <w:rPr>
      <w:kern w:val="0"/>
      <w:sz w:val="24"/>
      <w:szCs w:val="20"/>
      <w:lang w:val="fr-FR"/>
    </w:rPr>
  </w:style>
  <w:style w:type="paragraph" w:styleId="30">
    <w:name w:val="Balloon Text"/>
    <w:basedOn w:val="1"/>
    <w:link w:val="82"/>
    <w:qFormat/>
    <w:uiPriority w:val="0"/>
    <w:rPr>
      <w:sz w:val="18"/>
      <w:szCs w:val="18"/>
    </w:rPr>
  </w:style>
  <w:style w:type="paragraph" w:styleId="31">
    <w:name w:val="footer"/>
    <w:basedOn w:val="1"/>
    <w:link w:val="83"/>
    <w:qFormat/>
    <w:uiPriority w:val="0"/>
    <w:pPr>
      <w:tabs>
        <w:tab w:val="center" w:pos="4153"/>
        <w:tab w:val="right" w:pos="8306"/>
      </w:tabs>
      <w:snapToGrid w:val="0"/>
      <w:jc w:val="left"/>
    </w:pPr>
    <w:rPr>
      <w:sz w:val="18"/>
      <w:szCs w:val="18"/>
    </w:rPr>
  </w:style>
  <w:style w:type="paragraph" w:styleId="32">
    <w:name w:val="header"/>
    <w:basedOn w:val="1"/>
    <w:link w:val="84"/>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296"/>
      </w:tabs>
      <w:spacing w:line="440" w:lineRule="exact"/>
      <w:jc w:val="center"/>
    </w:pPr>
    <w:rPr>
      <w:b/>
    </w:rPr>
  </w:style>
  <w:style w:type="paragraph" w:styleId="34">
    <w:name w:val="toc 4"/>
    <w:basedOn w:val="1"/>
    <w:next w:val="1"/>
    <w:unhideWhenUsed/>
    <w:qFormat/>
    <w:uiPriority w:val="0"/>
    <w:pPr>
      <w:ind w:left="1260" w:leftChars="600"/>
    </w:pPr>
    <w:rPr>
      <w:rFonts w:ascii="Calibri" w:hAnsi="Calibri" w:eastAsia="宋体" w:cs="Times New Roman"/>
      <w:szCs w:val="22"/>
    </w:rPr>
  </w:style>
  <w:style w:type="paragraph" w:styleId="35">
    <w:name w:val="index heading"/>
    <w:basedOn w:val="1"/>
    <w:next w:val="36"/>
    <w:qFormat/>
    <w:uiPriority w:val="0"/>
    <w:pPr>
      <w:widowControl/>
      <w:jc w:val="left"/>
    </w:pPr>
    <w:rPr>
      <w:kern w:val="0"/>
      <w:sz w:val="20"/>
      <w:szCs w:val="20"/>
      <w:lang w:val="fr-FR"/>
    </w:rPr>
  </w:style>
  <w:style w:type="paragraph" w:styleId="36">
    <w:name w:val="index 1"/>
    <w:basedOn w:val="1"/>
    <w:next w:val="1"/>
    <w:qFormat/>
    <w:uiPriority w:val="0"/>
    <w:pPr>
      <w:spacing w:line="220" w:lineRule="exact"/>
      <w:jc w:val="center"/>
    </w:pPr>
    <w:rPr>
      <w:rFonts w:ascii="仿宋_GB2312" w:eastAsia="仿宋_GB2312"/>
      <w:szCs w:val="21"/>
    </w:rPr>
  </w:style>
  <w:style w:type="paragraph" w:styleId="37">
    <w:name w:val="Subtitle"/>
    <w:basedOn w:val="1"/>
    <w:next w:val="1"/>
    <w:link w:val="85"/>
    <w:qFormat/>
    <w:uiPriority w:val="0"/>
    <w:pPr>
      <w:spacing w:before="240" w:beforeLines="0" w:after="60" w:afterLines="0" w:line="312" w:lineRule="auto"/>
      <w:jc w:val="center"/>
      <w:outlineLvl w:val="1"/>
    </w:pPr>
    <w:rPr>
      <w:rFonts w:ascii="Cambria" w:hAnsi="Cambria"/>
      <w:b/>
      <w:bCs/>
      <w:kern w:val="28"/>
      <w:sz w:val="32"/>
      <w:szCs w:val="32"/>
    </w:rPr>
  </w:style>
  <w:style w:type="paragraph" w:styleId="38">
    <w:name w:val="footnote text"/>
    <w:basedOn w:val="1"/>
    <w:link w:val="86"/>
    <w:qFormat/>
    <w:uiPriority w:val="0"/>
    <w:pPr>
      <w:widowControl/>
      <w:snapToGrid w:val="0"/>
      <w:jc w:val="left"/>
    </w:pPr>
    <w:rPr>
      <w:kern w:val="0"/>
      <w:sz w:val="18"/>
      <w:szCs w:val="20"/>
      <w:lang w:val="fr-FR"/>
    </w:rPr>
  </w:style>
  <w:style w:type="paragraph" w:styleId="39">
    <w:name w:val="toc 6"/>
    <w:basedOn w:val="1"/>
    <w:next w:val="1"/>
    <w:unhideWhenUsed/>
    <w:qFormat/>
    <w:uiPriority w:val="0"/>
    <w:pPr>
      <w:ind w:left="2100" w:leftChars="1000"/>
    </w:pPr>
    <w:rPr>
      <w:rFonts w:ascii="Calibri" w:hAnsi="Calibri" w:eastAsia="宋体" w:cs="Times New Roman"/>
      <w:szCs w:val="22"/>
    </w:rPr>
  </w:style>
  <w:style w:type="paragraph" w:styleId="40">
    <w:name w:val="Body Text Indent 3"/>
    <w:basedOn w:val="1"/>
    <w:qFormat/>
    <w:uiPriority w:val="0"/>
    <w:pPr>
      <w:spacing w:after="120" w:afterLines="0"/>
      <w:ind w:left="420" w:leftChars="200"/>
    </w:pPr>
    <w:rPr>
      <w:sz w:val="16"/>
      <w:szCs w:val="16"/>
    </w:rPr>
  </w:style>
  <w:style w:type="paragraph" w:styleId="41">
    <w:name w:val="index 7"/>
    <w:basedOn w:val="1"/>
    <w:next w:val="1"/>
    <w:qFormat/>
    <w:uiPriority w:val="0"/>
    <w:pPr>
      <w:widowControl/>
      <w:ind w:left="2520"/>
      <w:jc w:val="left"/>
    </w:pPr>
    <w:rPr>
      <w:kern w:val="0"/>
      <w:sz w:val="20"/>
      <w:szCs w:val="20"/>
      <w:lang w:val="fr-FR"/>
    </w:rPr>
  </w:style>
  <w:style w:type="paragraph" w:styleId="42">
    <w:name w:val="index 9"/>
    <w:basedOn w:val="1"/>
    <w:next w:val="1"/>
    <w:qFormat/>
    <w:uiPriority w:val="0"/>
    <w:pPr>
      <w:widowControl/>
      <w:ind w:left="3360"/>
      <w:jc w:val="left"/>
    </w:pPr>
    <w:rPr>
      <w:kern w:val="0"/>
      <w:sz w:val="20"/>
      <w:szCs w:val="20"/>
      <w:lang w:val="fr-FR"/>
    </w:rPr>
  </w:style>
  <w:style w:type="paragraph" w:styleId="43">
    <w:name w:val="toc 2"/>
    <w:basedOn w:val="1"/>
    <w:next w:val="1"/>
    <w:qFormat/>
    <w:uiPriority w:val="39"/>
    <w:pPr>
      <w:ind w:left="420" w:leftChars="200"/>
    </w:pPr>
  </w:style>
  <w:style w:type="paragraph" w:styleId="44">
    <w:name w:val="toc 9"/>
    <w:basedOn w:val="1"/>
    <w:next w:val="1"/>
    <w:unhideWhenUsed/>
    <w:qFormat/>
    <w:uiPriority w:val="0"/>
    <w:pPr>
      <w:ind w:left="3360" w:leftChars="1600"/>
    </w:pPr>
    <w:rPr>
      <w:rFonts w:ascii="Calibri" w:hAnsi="Calibri" w:eastAsia="宋体" w:cs="Times New Roman"/>
      <w:szCs w:val="22"/>
    </w:rPr>
  </w:style>
  <w:style w:type="paragraph" w:styleId="45">
    <w:name w:val="HTML Preformatted"/>
    <w:basedOn w:val="1"/>
    <w:link w:val="8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6">
    <w:name w:val="Normal (Web)"/>
    <w:basedOn w:val="1"/>
    <w:qFormat/>
    <w:uiPriority w:val="99"/>
    <w:pPr>
      <w:widowControl/>
      <w:spacing w:before="100" w:beforeLines="0" w:beforeAutospacing="1" w:after="100" w:afterLines="0" w:afterAutospacing="1"/>
      <w:jc w:val="left"/>
    </w:pPr>
    <w:rPr>
      <w:rFonts w:ascii="ˎ̥" w:hAnsi="ˎ̥" w:cs="宋体"/>
      <w:kern w:val="0"/>
      <w:sz w:val="24"/>
    </w:rPr>
  </w:style>
  <w:style w:type="paragraph" w:styleId="47">
    <w:name w:val="index 2"/>
    <w:basedOn w:val="1"/>
    <w:next w:val="1"/>
    <w:qFormat/>
    <w:uiPriority w:val="0"/>
    <w:pPr>
      <w:widowControl/>
      <w:ind w:left="420"/>
      <w:jc w:val="left"/>
    </w:pPr>
    <w:rPr>
      <w:kern w:val="0"/>
      <w:sz w:val="20"/>
      <w:szCs w:val="20"/>
      <w:lang w:val="fr-FR"/>
    </w:rPr>
  </w:style>
  <w:style w:type="paragraph" w:styleId="48">
    <w:name w:val="Title"/>
    <w:basedOn w:val="1"/>
    <w:link w:val="88"/>
    <w:qFormat/>
    <w:uiPriority w:val="99"/>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49">
    <w:name w:val="annotation subject"/>
    <w:basedOn w:val="17"/>
    <w:next w:val="17"/>
    <w:link w:val="89"/>
    <w:qFormat/>
    <w:uiPriority w:val="0"/>
    <w:rPr>
      <w:b/>
      <w:bCs/>
    </w:rPr>
  </w:style>
  <w:style w:type="paragraph" w:styleId="50">
    <w:name w:val="Body Text First Indent"/>
    <w:basedOn w:val="20"/>
    <w:link w:val="90"/>
    <w:qFormat/>
    <w:uiPriority w:val="0"/>
    <w:pPr>
      <w:ind w:firstLine="420" w:firstLineChars="100"/>
    </w:pPr>
  </w:style>
  <w:style w:type="table" w:styleId="52">
    <w:name w:val="Table Grid"/>
    <w:basedOn w:val="5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qFormat/>
    <w:uiPriority w:val="0"/>
  </w:style>
  <w:style w:type="character" w:styleId="56">
    <w:name w:val="FollowedHyperlink"/>
    <w:qFormat/>
    <w:uiPriority w:val="99"/>
    <w:rPr>
      <w:color w:val="136EC2"/>
      <w:u w:val="single"/>
    </w:rPr>
  </w:style>
  <w:style w:type="character" w:styleId="57">
    <w:name w:val="Emphasis"/>
    <w:qFormat/>
    <w:uiPriority w:val="0"/>
  </w:style>
  <w:style w:type="character" w:styleId="58">
    <w:name w:val="HTML Definition"/>
    <w:qFormat/>
    <w:uiPriority w:val="0"/>
  </w:style>
  <w:style w:type="character" w:styleId="59">
    <w:name w:val="HTML Variable"/>
    <w:qFormat/>
    <w:uiPriority w:val="0"/>
  </w:style>
  <w:style w:type="character" w:styleId="60">
    <w:name w:val="Hyperlink"/>
    <w:qFormat/>
    <w:uiPriority w:val="99"/>
    <w:rPr>
      <w:color w:val="136EC2"/>
      <w:u w:val="single"/>
    </w:rPr>
  </w:style>
  <w:style w:type="character" w:styleId="61">
    <w:name w:val="HTML Code"/>
    <w:qFormat/>
    <w:uiPriority w:val="0"/>
    <w:rPr>
      <w:rFonts w:ascii="Courier New" w:hAnsi="Courier New" w:eastAsia="Courier New" w:cs="Courier New"/>
      <w:sz w:val="20"/>
    </w:rPr>
  </w:style>
  <w:style w:type="character" w:styleId="62">
    <w:name w:val="annotation reference"/>
    <w:qFormat/>
    <w:uiPriority w:val="0"/>
    <w:rPr>
      <w:sz w:val="21"/>
      <w:szCs w:val="21"/>
    </w:rPr>
  </w:style>
  <w:style w:type="character" w:styleId="63">
    <w:name w:val="HTML Cite"/>
    <w:qFormat/>
    <w:uiPriority w:val="0"/>
  </w:style>
  <w:style w:type="character" w:styleId="64">
    <w:name w:val="footnote reference"/>
    <w:qFormat/>
    <w:uiPriority w:val="0"/>
  </w:style>
  <w:style w:type="character" w:styleId="65">
    <w:name w:val="HTML Keyboard"/>
    <w:qFormat/>
    <w:uiPriority w:val="0"/>
    <w:rPr>
      <w:rFonts w:ascii="Courier New" w:hAnsi="Courier New" w:eastAsia="Courier New" w:cs="Courier New"/>
      <w:sz w:val="20"/>
    </w:rPr>
  </w:style>
  <w:style w:type="character" w:styleId="66">
    <w:name w:val="HTML Sample"/>
    <w:qFormat/>
    <w:uiPriority w:val="0"/>
    <w:rPr>
      <w:rFonts w:ascii="Courier New" w:hAnsi="Courier New" w:eastAsia="Courier New" w:cs="Courier New"/>
    </w:rPr>
  </w:style>
  <w:style w:type="character" w:customStyle="1" w:styleId="67">
    <w:name w:val="标题 1 Char"/>
    <w:link w:val="3"/>
    <w:qFormat/>
    <w:uiPriority w:val="0"/>
    <w:rPr>
      <w:b/>
      <w:bCs/>
      <w:kern w:val="44"/>
      <w:sz w:val="44"/>
      <w:szCs w:val="44"/>
    </w:rPr>
  </w:style>
  <w:style w:type="character" w:customStyle="1" w:styleId="68">
    <w:name w:val="标题 2 Char"/>
    <w:link w:val="4"/>
    <w:qFormat/>
    <w:uiPriority w:val="0"/>
    <w:rPr>
      <w:rFonts w:ascii="Arial" w:hAnsi="Arial" w:eastAsia="黑体"/>
      <w:b/>
      <w:bCs/>
      <w:kern w:val="2"/>
      <w:sz w:val="32"/>
      <w:szCs w:val="32"/>
      <w:lang w:val="en-US" w:eastAsia="zh-CN" w:bidi="ar-SA"/>
    </w:rPr>
  </w:style>
  <w:style w:type="character" w:customStyle="1" w:styleId="69">
    <w:name w:val="标题 3 Char"/>
    <w:link w:val="5"/>
    <w:qFormat/>
    <w:uiPriority w:val="0"/>
    <w:rPr>
      <w:b/>
      <w:bCs/>
      <w:kern w:val="2"/>
      <w:sz w:val="32"/>
      <w:szCs w:val="32"/>
    </w:rPr>
  </w:style>
  <w:style w:type="character" w:customStyle="1" w:styleId="70">
    <w:name w:val="标题 4 Char"/>
    <w:link w:val="6"/>
    <w:qFormat/>
    <w:uiPriority w:val="0"/>
    <w:rPr>
      <w:rFonts w:ascii="Arial" w:hAnsi="Arial" w:eastAsia="黑体"/>
      <w:b/>
      <w:bCs/>
      <w:kern w:val="2"/>
      <w:sz w:val="28"/>
      <w:szCs w:val="28"/>
      <w:lang w:bidi="ar-SA"/>
    </w:rPr>
  </w:style>
  <w:style w:type="character" w:customStyle="1" w:styleId="71">
    <w:name w:val="标题 5 Char"/>
    <w:link w:val="7"/>
    <w:qFormat/>
    <w:uiPriority w:val="0"/>
    <w:rPr>
      <w:i/>
      <w:sz w:val="18"/>
      <w:lang w:val="fr-FR"/>
    </w:rPr>
  </w:style>
  <w:style w:type="character" w:customStyle="1" w:styleId="72">
    <w:name w:val="标题 7 Char"/>
    <w:link w:val="9"/>
    <w:qFormat/>
    <w:uiPriority w:val="99"/>
    <w:rPr>
      <w:b/>
      <w:bCs/>
      <w:sz w:val="24"/>
      <w:szCs w:val="24"/>
      <w:lang w:bidi="ar-SA"/>
    </w:rPr>
  </w:style>
  <w:style w:type="character" w:customStyle="1" w:styleId="73">
    <w:name w:val="标题 8 Char"/>
    <w:link w:val="10"/>
    <w:qFormat/>
    <w:uiPriority w:val="99"/>
    <w:rPr>
      <w:rFonts w:ascii="Arial" w:hAnsi="Arial" w:eastAsia="黑体"/>
      <w:sz w:val="24"/>
      <w:szCs w:val="24"/>
      <w:lang w:bidi="ar-SA"/>
    </w:rPr>
  </w:style>
  <w:style w:type="character" w:customStyle="1" w:styleId="74">
    <w:name w:val="标题 9 Char"/>
    <w:link w:val="11"/>
    <w:qFormat/>
    <w:uiPriority w:val="99"/>
    <w:rPr>
      <w:rFonts w:ascii="Arial" w:hAnsi="Arial" w:eastAsia="黑体"/>
      <w:sz w:val="21"/>
      <w:szCs w:val="21"/>
      <w:lang w:bidi="ar-SA"/>
    </w:rPr>
  </w:style>
  <w:style w:type="character" w:customStyle="1" w:styleId="75">
    <w:name w:val="正文缩进 Char"/>
    <w:link w:val="2"/>
    <w:qFormat/>
    <w:uiPriority w:val="0"/>
    <w:rPr>
      <w:kern w:val="2"/>
      <w:sz w:val="21"/>
      <w:szCs w:val="24"/>
    </w:rPr>
  </w:style>
  <w:style w:type="character" w:customStyle="1" w:styleId="76">
    <w:name w:val="批注文字 Char"/>
    <w:link w:val="17"/>
    <w:qFormat/>
    <w:uiPriority w:val="0"/>
    <w:rPr>
      <w:kern w:val="2"/>
      <w:sz w:val="21"/>
      <w:szCs w:val="24"/>
    </w:rPr>
  </w:style>
  <w:style w:type="character" w:customStyle="1" w:styleId="77">
    <w:name w:val="正文文本 3 Char"/>
    <w:link w:val="19"/>
    <w:qFormat/>
    <w:uiPriority w:val="0"/>
    <w:rPr>
      <w:rFonts w:ascii="宋体"/>
      <w:kern w:val="2"/>
      <w:sz w:val="24"/>
    </w:rPr>
  </w:style>
  <w:style w:type="character" w:customStyle="1" w:styleId="78">
    <w:name w:val="正文文本 Char"/>
    <w:link w:val="20"/>
    <w:qFormat/>
    <w:uiPriority w:val="0"/>
    <w:rPr>
      <w:kern w:val="2"/>
      <w:sz w:val="21"/>
      <w:szCs w:val="24"/>
    </w:rPr>
  </w:style>
  <w:style w:type="character" w:customStyle="1" w:styleId="79">
    <w:name w:val="纯文本 Char"/>
    <w:link w:val="25"/>
    <w:qFormat/>
    <w:uiPriority w:val="0"/>
    <w:rPr>
      <w:rFonts w:ascii="宋体" w:hAnsi="Courier New"/>
      <w:kern w:val="2"/>
      <w:sz w:val="21"/>
    </w:rPr>
  </w:style>
  <w:style w:type="character" w:customStyle="1" w:styleId="80">
    <w:name w:val="日期 Char"/>
    <w:link w:val="28"/>
    <w:qFormat/>
    <w:uiPriority w:val="0"/>
    <w:rPr>
      <w:kern w:val="2"/>
      <w:sz w:val="24"/>
    </w:rPr>
  </w:style>
  <w:style w:type="character" w:customStyle="1" w:styleId="81">
    <w:name w:val="正文文本缩进 2 Char"/>
    <w:link w:val="29"/>
    <w:qFormat/>
    <w:uiPriority w:val="0"/>
    <w:rPr>
      <w:sz w:val="24"/>
      <w:lang w:val="fr-FR"/>
    </w:rPr>
  </w:style>
  <w:style w:type="character" w:customStyle="1" w:styleId="82">
    <w:name w:val="批注框文本 Char"/>
    <w:link w:val="30"/>
    <w:qFormat/>
    <w:uiPriority w:val="0"/>
    <w:rPr>
      <w:kern w:val="2"/>
      <w:sz w:val="18"/>
      <w:szCs w:val="18"/>
    </w:rPr>
  </w:style>
  <w:style w:type="character" w:customStyle="1" w:styleId="83">
    <w:name w:val="页脚 Char"/>
    <w:link w:val="31"/>
    <w:qFormat/>
    <w:uiPriority w:val="0"/>
    <w:rPr>
      <w:kern w:val="2"/>
      <w:sz w:val="18"/>
      <w:szCs w:val="18"/>
    </w:rPr>
  </w:style>
  <w:style w:type="character" w:customStyle="1" w:styleId="84">
    <w:name w:val="页眉 Char"/>
    <w:link w:val="32"/>
    <w:qFormat/>
    <w:uiPriority w:val="0"/>
    <w:rPr>
      <w:kern w:val="2"/>
      <w:sz w:val="18"/>
      <w:szCs w:val="18"/>
    </w:rPr>
  </w:style>
  <w:style w:type="character" w:customStyle="1" w:styleId="85">
    <w:name w:val="副标题 Char"/>
    <w:link w:val="37"/>
    <w:qFormat/>
    <w:uiPriority w:val="0"/>
    <w:rPr>
      <w:rFonts w:ascii="Cambria" w:hAnsi="Cambria"/>
      <w:b/>
      <w:bCs/>
      <w:kern w:val="28"/>
      <w:sz w:val="32"/>
      <w:szCs w:val="32"/>
      <w:lang w:bidi="ar-SA"/>
    </w:rPr>
  </w:style>
  <w:style w:type="character" w:customStyle="1" w:styleId="86">
    <w:name w:val="脚注文本 Char"/>
    <w:link w:val="38"/>
    <w:qFormat/>
    <w:uiPriority w:val="0"/>
    <w:rPr>
      <w:sz w:val="18"/>
      <w:lang w:val="fr-FR"/>
    </w:rPr>
  </w:style>
  <w:style w:type="character" w:customStyle="1" w:styleId="87">
    <w:name w:val="HTML 预设格式 Char"/>
    <w:link w:val="45"/>
    <w:qFormat/>
    <w:uiPriority w:val="99"/>
    <w:rPr>
      <w:rFonts w:ascii="宋体" w:hAnsi="宋体"/>
      <w:sz w:val="24"/>
      <w:szCs w:val="24"/>
      <w:lang w:bidi="ar-SA"/>
    </w:rPr>
  </w:style>
  <w:style w:type="character" w:customStyle="1" w:styleId="88">
    <w:name w:val="标题 Char"/>
    <w:link w:val="48"/>
    <w:qFormat/>
    <w:uiPriority w:val="99"/>
    <w:rPr>
      <w:rFonts w:ascii="Arial" w:hAnsi="Arial"/>
      <w:b/>
      <w:sz w:val="32"/>
    </w:rPr>
  </w:style>
  <w:style w:type="character" w:customStyle="1" w:styleId="89">
    <w:name w:val="批注主题 Char"/>
    <w:link w:val="49"/>
    <w:qFormat/>
    <w:uiPriority w:val="0"/>
    <w:rPr>
      <w:b/>
      <w:bCs/>
      <w:kern w:val="2"/>
      <w:sz w:val="21"/>
      <w:szCs w:val="24"/>
      <w:lang w:bidi="ar-SA"/>
    </w:rPr>
  </w:style>
  <w:style w:type="character" w:customStyle="1" w:styleId="90">
    <w:name w:val="正文首行缩进 Char"/>
    <w:link w:val="50"/>
    <w:qFormat/>
    <w:uiPriority w:val="0"/>
  </w:style>
  <w:style w:type="character" w:customStyle="1" w:styleId="91">
    <w:name w:val="Header Char"/>
    <w:semiHidden/>
    <w:qFormat/>
    <w:locked/>
    <w:uiPriority w:val="0"/>
    <w:rPr>
      <w:rFonts w:cs="Times New Roman"/>
      <w:kern w:val="0"/>
      <w:sz w:val="18"/>
      <w:szCs w:val="18"/>
    </w:rPr>
  </w:style>
  <w:style w:type="character" w:customStyle="1" w:styleId="92">
    <w:name w:val="Date Char"/>
    <w:qFormat/>
    <w:locked/>
    <w:uiPriority w:val="0"/>
    <w:rPr>
      <w:rFonts w:cs="Times New Roman"/>
      <w:kern w:val="2"/>
      <w:sz w:val="24"/>
    </w:rPr>
  </w:style>
  <w:style w:type="character" w:customStyle="1" w:styleId="93">
    <w:name w:val="正文文本 3 字符2"/>
    <w:qFormat/>
    <w:uiPriority w:val="0"/>
    <w:rPr>
      <w:kern w:val="2"/>
      <w:sz w:val="28"/>
      <w:szCs w:val="24"/>
    </w:rPr>
  </w:style>
  <w:style w:type="character" w:customStyle="1" w:styleId="94">
    <w:name w:val="icontext2"/>
    <w:basedOn w:val="53"/>
    <w:qFormat/>
    <w:uiPriority w:val="0"/>
  </w:style>
  <w:style w:type="character" w:customStyle="1" w:styleId="95">
    <w:name w:val="edit_class"/>
    <w:basedOn w:val="53"/>
    <w:qFormat/>
    <w:uiPriority w:val="0"/>
  </w:style>
  <w:style w:type="character" w:customStyle="1" w:styleId="96">
    <w:name w:val="cy"/>
    <w:basedOn w:val="53"/>
    <w:qFormat/>
    <w:uiPriority w:val="0"/>
  </w:style>
  <w:style w:type="character" w:customStyle="1" w:styleId="97">
    <w:name w:val="icontext1"/>
    <w:basedOn w:val="53"/>
    <w:qFormat/>
    <w:uiPriority w:val="0"/>
  </w:style>
  <w:style w:type="character" w:customStyle="1" w:styleId="98">
    <w:name w:val="ico1658"/>
    <w:basedOn w:val="53"/>
    <w:qFormat/>
    <w:uiPriority w:val="0"/>
  </w:style>
  <w:style w:type="character" w:customStyle="1" w:styleId="99">
    <w:name w:val="bds_more2"/>
    <w:qFormat/>
    <w:uiPriority w:val="0"/>
    <w:rPr>
      <w:rFonts w:hint="eastAsia" w:ascii="宋体" w:hAnsi="宋体" w:eastAsia="宋体" w:cs="宋体"/>
    </w:rPr>
  </w:style>
  <w:style w:type="character" w:customStyle="1" w:styleId="100">
    <w:name w:val="active2"/>
    <w:basedOn w:val="53"/>
    <w:qFormat/>
    <w:uiPriority w:val="0"/>
    <w:rPr>
      <w:color w:val="00FF00"/>
      <w:shd w:val="clear" w:color="auto" w:fill="111111"/>
    </w:rPr>
  </w:style>
  <w:style w:type="character" w:customStyle="1" w:styleId="101">
    <w:name w:val="iconline21"/>
    <w:basedOn w:val="53"/>
    <w:qFormat/>
    <w:uiPriority w:val="0"/>
  </w:style>
  <w:style w:type="character" w:customStyle="1" w:styleId="102">
    <w:name w:val="w32"/>
    <w:basedOn w:val="53"/>
    <w:qFormat/>
    <w:uiPriority w:val="0"/>
  </w:style>
  <w:style w:type="character" w:customStyle="1" w:styleId="103">
    <w:name w:val="iconline2"/>
    <w:basedOn w:val="53"/>
    <w:qFormat/>
    <w:uiPriority w:val="0"/>
  </w:style>
  <w:style w:type="character" w:customStyle="1" w:styleId="104">
    <w:name w:val="button4"/>
    <w:basedOn w:val="53"/>
    <w:qFormat/>
    <w:uiPriority w:val="0"/>
  </w:style>
  <w:style w:type="character" w:customStyle="1" w:styleId="105">
    <w:name w:val="biggerthanmax"/>
    <w:basedOn w:val="53"/>
    <w:qFormat/>
    <w:uiPriority w:val="0"/>
    <w:rPr>
      <w:shd w:val="clear" w:color="auto" w:fill="FFFF00"/>
    </w:rPr>
  </w:style>
  <w:style w:type="character" w:customStyle="1" w:styleId="106">
    <w:name w:val="layui-layer-tabnow"/>
    <w:basedOn w:val="53"/>
    <w:qFormat/>
    <w:uiPriority w:val="0"/>
    <w:rPr>
      <w:bdr w:val="single" w:color="CCCCCC" w:sz="6" w:space="0"/>
      <w:shd w:val="clear" w:color="auto" w:fill="FFFFFF"/>
    </w:rPr>
  </w:style>
  <w:style w:type="character" w:customStyle="1" w:styleId="107">
    <w:name w:val="morelink-item"/>
    <w:qFormat/>
    <w:uiPriority w:val="0"/>
  </w:style>
  <w:style w:type="character" w:customStyle="1" w:styleId="108">
    <w:name w:val="plus"/>
    <w:qFormat/>
    <w:uiPriority w:val="0"/>
    <w:rPr>
      <w:b/>
      <w:vanish/>
      <w:color w:val="1F8DEF"/>
      <w:sz w:val="24"/>
      <w:szCs w:val="24"/>
    </w:rPr>
  </w:style>
  <w:style w:type="character" w:customStyle="1" w:styleId="109">
    <w:name w:val="列出段落 Char"/>
    <w:link w:val="110"/>
    <w:qFormat/>
    <w:uiPriority w:val="34"/>
    <w:rPr>
      <w:kern w:val="2"/>
      <w:sz w:val="21"/>
    </w:rPr>
  </w:style>
  <w:style w:type="paragraph" w:customStyle="1" w:styleId="110">
    <w:name w:val="列出段落1"/>
    <w:basedOn w:val="1"/>
    <w:link w:val="109"/>
    <w:qFormat/>
    <w:uiPriority w:val="34"/>
    <w:pPr>
      <w:ind w:firstLine="420" w:firstLineChars="200"/>
    </w:pPr>
    <w:rPr>
      <w:szCs w:val="20"/>
    </w:rPr>
  </w:style>
  <w:style w:type="character" w:customStyle="1" w:styleId="111">
    <w:name w:val="font41"/>
    <w:qFormat/>
    <w:uiPriority w:val="0"/>
    <w:rPr>
      <w:rFonts w:hint="default" w:ascii="Times New Roman" w:hAnsi="Times New Roman" w:cs="Times New Roman"/>
      <w:color w:val="000000"/>
      <w:sz w:val="21"/>
      <w:szCs w:val="21"/>
      <w:u w:val="none"/>
    </w:rPr>
  </w:style>
  <w:style w:type="character" w:customStyle="1" w:styleId="112">
    <w:name w:val="viewscale"/>
    <w:basedOn w:val="53"/>
    <w:qFormat/>
    <w:uiPriority w:val="0"/>
    <w:rPr>
      <w:color w:val="FFFFFF"/>
      <w:sz w:val="24"/>
      <w:szCs w:val="24"/>
    </w:rPr>
  </w:style>
  <w:style w:type="character" w:customStyle="1" w:styleId="113">
    <w:name w:val="polysemyexp"/>
    <w:qFormat/>
    <w:uiPriority w:val="0"/>
    <w:rPr>
      <w:color w:val="AAAAAA"/>
      <w:sz w:val="18"/>
      <w:szCs w:val="18"/>
    </w:rPr>
  </w:style>
  <w:style w:type="character" w:customStyle="1" w:styleId="114">
    <w:name w:val="moreaction32"/>
    <w:basedOn w:val="53"/>
    <w:qFormat/>
    <w:uiPriority w:val="0"/>
  </w:style>
  <w:style w:type="character" w:customStyle="1" w:styleId="115">
    <w:name w:val="icontext3"/>
    <w:basedOn w:val="53"/>
    <w:qFormat/>
    <w:uiPriority w:val="0"/>
  </w:style>
  <w:style w:type="character" w:customStyle="1" w:styleId="116">
    <w:name w:val="drapbtn"/>
    <w:basedOn w:val="53"/>
    <w:qFormat/>
    <w:uiPriority w:val="0"/>
  </w:style>
  <w:style w:type="character" w:customStyle="1" w:styleId="117">
    <w:name w:val="ico1659"/>
    <w:basedOn w:val="53"/>
    <w:qFormat/>
    <w:uiPriority w:val="0"/>
  </w:style>
  <w:style w:type="character" w:customStyle="1" w:styleId="118">
    <w:name w:val="design_class"/>
    <w:basedOn w:val="53"/>
    <w:qFormat/>
    <w:uiPriority w:val="0"/>
  </w:style>
  <w:style w:type="character" w:customStyle="1" w:styleId="119">
    <w:name w:val="bds_nopic1"/>
    <w:qFormat/>
    <w:uiPriority w:val="0"/>
  </w:style>
  <w:style w:type="character" w:customStyle="1" w:styleId="120">
    <w:name w:val="xdrichtextbox"/>
    <w:basedOn w:val="53"/>
    <w:qFormat/>
    <w:uiPriority w:val="0"/>
    <w:rPr>
      <w:color w:val="auto"/>
      <w:sz w:val="18"/>
      <w:szCs w:val="18"/>
      <w:u w:val="none"/>
      <w:bdr w:val="single" w:color="DCDCDC" w:sz="8" w:space="0"/>
      <w:shd w:val="clear" w:color="auto" w:fill="auto"/>
    </w:rPr>
  </w:style>
  <w:style w:type="character" w:customStyle="1" w:styleId="121">
    <w:name w:val="browse_class&gt;span"/>
    <w:basedOn w:val="53"/>
    <w:qFormat/>
    <w:uiPriority w:val="0"/>
  </w:style>
  <w:style w:type="character" w:customStyle="1" w:styleId="122">
    <w:name w:val="estimate_gray"/>
    <w:basedOn w:val="53"/>
    <w:qFormat/>
    <w:uiPriority w:val="0"/>
    <w:rPr>
      <w:color w:val="FFFFFF"/>
    </w:rPr>
  </w:style>
  <w:style w:type="character" w:customStyle="1" w:styleId="123">
    <w:name w:val="hilite6"/>
    <w:basedOn w:val="53"/>
    <w:qFormat/>
    <w:uiPriority w:val="0"/>
    <w:rPr>
      <w:color w:val="FFFFFF"/>
      <w:shd w:val="clear" w:color="auto" w:fill="666666"/>
    </w:rPr>
  </w:style>
  <w:style w:type="character" w:customStyle="1" w:styleId="124">
    <w:name w:val="Body Text Char"/>
    <w:qFormat/>
    <w:locked/>
    <w:uiPriority w:val="0"/>
    <w:rPr>
      <w:rFonts w:eastAsia="宋体"/>
      <w:kern w:val="2"/>
      <w:sz w:val="21"/>
      <w:szCs w:val="24"/>
      <w:lang w:val="en-US" w:eastAsia="zh-CN" w:bidi="ar-SA"/>
    </w:rPr>
  </w:style>
  <w:style w:type="character" w:customStyle="1" w:styleId="125">
    <w:name w:val="sidecatalog-index2"/>
    <w:qFormat/>
    <w:uiPriority w:val="0"/>
    <w:rPr>
      <w:rFonts w:ascii="Arail" w:hAnsi="Arail" w:eastAsia="Arail" w:cs="Arail"/>
      <w:color w:val="999999"/>
      <w:sz w:val="21"/>
      <w:szCs w:val="21"/>
    </w:rPr>
  </w:style>
  <w:style w:type="character" w:customStyle="1" w:styleId="126">
    <w:name w:val="tmpztreemove_arrow"/>
    <w:basedOn w:val="53"/>
    <w:qFormat/>
    <w:uiPriority w:val="0"/>
  </w:style>
  <w:style w:type="character" w:customStyle="1" w:styleId="127">
    <w:name w:val="bds_more4"/>
    <w:qFormat/>
    <w:uiPriority w:val="0"/>
  </w:style>
  <w:style w:type="character" w:customStyle="1" w:styleId="128">
    <w:name w:val="正文文本 3 字符1"/>
    <w:qFormat/>
    <w:uiPriority w:val="0"/>
    <w:rPr>
      <w:kern w:val="2"/>
      <w:sz w:val="28"/>
      <w:szCs w:val="24"/>
    </w:rPr>
  </w:style>
  <w:style w:type="character" w:customStyle="1" w:styleId="129">
    <w:name w:val="bds_nopic"/>
    <w:qFormat/>
    <w:uiPriority w:val="0"/>
  </w:style>
  <w:style w:type="character" w:customStyle="1" w:styleId="130">
    <w:name w:val="pagechatarealistclose_box"/>
    <w:basedOn w:val="53"/>
    <w:qFormat/>
    <w:uiPriority w:val="0"/>
  </w:style>
  <w:style w:type="character" w:customStyle="1" w:styleId="131">
    <w:name w:val="lemmatitleh12"/>
    <w:qFormat/>
    <w:uiPriority w:val="0"/>
  </w:style>
  <w:style w:type="character" w:customStyle="1" w:styleId="132">
    <w:name w:val="polysemyred"/>
    <w:qFormat/>
    <w:uiPriority w:val="0"/>
    <w:rPr>
      <w:color w:val="FF6666"/>
      <w:sz w:val="18"/>
      <w:szCs w:val="18"/>
    </w:rPr>
  </w:style>
  <w:style w:type="character" w:customStyle="1" w:styleId="133">
    <w:name w:val="bds_more3"/>
    <w:qFormat/>
    <w:uiPriority w:val="0"/>
  </w:style>
  <w:style w:type="character" w:customStyle="1" w:styleId="134">
    <w:name w:val="desc"/>
    <w:qFormat/>
    <w:uiPriority w:val="0"/>
    <w:rPr>
      <w:color w:val="000000"/>
      <w:sz w:val="18"/>
      <w:szCs w:val="18"/>
    </w:rPr>
  </w:style>
  <w:style w:type="character" w:customStyle="1" w:styleId="135">
    <w:name w:val="after"/>
    <w:basedOn w:val="53"/>
    <w:qFormat/>
    <w:uiPriority w:val="0"/>
    <w:rPr>
      <w:sz w:val="16"/>
      <w:szCs w:val="0"/>
    </w:rPr>
  </w:style>
  <w:style w:type="character" w:customStyle="1" w:styleId="136">
    <w:name w:val="bds_nopic2"/>
    <w:qFormat/>
    <w:uiPriority w:val="0"/>
  </w:style>
  <w:style w:type="character" w:customStyle="1" w:styleId="137">
    <w:name w:val="正文缩进 Char1"/>
    <w:qFormat/>
    <w:uiPriority w:val="0"/>
    <w:rPr>
      <w:rFonts w:ascii="宋体"/>
      <w:sz w:val="24"/>
    </w:rPr>
  </w:style>
  <w:style w:type="character" w:customStyle="1" w:styleId="138">
    <w:name w:val="样式1 Char Char"/>
    <w:link w:val="139"/>
    <w:qFormat/>
    <w:uiPriority w:val="0"/>
    <w:rPr>
      <w:rFonts w:ascii="宋体" w:hAnsi="宋体"/>
      <w:kern w:val="2"/>
      <w:sz w:val="24"/>
      <w:szCs w:val="21"/>
    </w:rPr>
  </w:style>
  <w:style w:type="paragraph" w:customStyle="1" w:styleId="139">
    <w:name w:val="样式1"/>
    <w:basedOn w:val="140"/>
    <w:link w:val="138"/>
    <w:qFormat/>
    <w:uiPriority w:val="0"/>
    <w:pPr>
      <w:numPr>
        <w:ilvl w:val="2"/>
        <w:numId w:val="3"/>
      </w:numPr>
    </w:pPr>
  </w:style>
  <w:style w:type="paragraph" w:customStyle="1" w:styleId="140">
    <w:name w:val="带编号正文"/>
    <w:basedOn w:val="1"/>
    <w:link w:val="141"/>
    <w:qFormat/>
    <w:uiPriority w:val="0"/>
    <w:pPr>
      <w:numPr>
        <w:ilvl w:val="1"/>
        <w:numId w:val="4"/>
      </w:numPr>
      <w:snapToGrid w:val="0"/>
      <w:spacing w:line="460" w:lineRule="exact"/>
      <w:jc w:val="left"/>
    </w:pPr>
    <w:rPr>
      <w:rFonts w:ascii="宋体" w:hAnsi="宋体"/>
      <w:sz w:val="24"/>
      <w:szCs w:val="21"/>
    </w:rPr>
  </w:style>
  <w:style w:type="character" w:customStyle="1" w:styleId="141">
    <w:name w:val="带编号正文 Char Char"/>
    <w:link w:val="140"/>
    <w:qFormat/>
    <w:uiPriority w:val="0"/>
    <w:rPr>
      <w:rFonts w:ascii="宋体" w:hAnsi="宋体"/>
      <w:kern w:val="2"/>
      <w:sz w:val="24"/>
      <w:szCs w:val="21"/>
    </w:rPr>
  </w:style>
  <w:style w:type="character" w:customStyle="1" w:styleId="142">
    <w:name w:val="cdropleft"/>
    <w:basedOn w:val="53"/>
    <w:qFormat/>
    <w:uiPriority w:val="0"/>
  </w:style>
  <w:style w:type="character" w:customStyle="1" w:styleId="143">
    <w:name w:val="sidecatalog-dot"/>
    <w:qFormat/>
    <w:uiPriority w:val="0"/>
  </w:style>
  <w:style w:type="character" w:customStyle="1" w:styleId="144">
    <w:name w:val="first-child"/>
    <w:basedOn w:val="53"/>
    <w:qFormat/>
    <w:uiPriority w:val="0"/>
  </w:style>
  <w:style w:type="character" w:customStyle="1" w:styleId="145">
    <w:name w:val="font01"/>
    <w:basedOn w:val="53"/>
    <w:qFormat/>
    <w:uiPriority w:val="0"/>
    <w:rPr>
      <w:rFonts w:hint="eastAsia" w:ascii="宋体" w:hAnsi="宋体" w:eastAsia="宋体" w:cs="宋体"/>
      <w:color w:val="000000"/>
      <w:sz w:val="20"/>
      <w:szCs w:val="20"/>
      <w:u w:val="none"/>
    </w:rPr>
  </w:style>
  <w:style w:type="character" w:customStyle="1" w:styleId="146">
    <w:name w:val="bds_more1"/>
    <w:qFormat/>
    <w:uiPriority w:val="0"/>
  </w:style>
  <w:style w:type="character" w:customStyle="1" w:styleId="147">
    <w:name w:val="estimate_gray1"/>
    <w:basedOn w:val="53"/>
    <w:qFormat/>
    <w:uiPriority w:val="0"/>
  </w:style>
  <w:style w:type="character" w:customStyle="1" w:styleId="148">
    <w:name w:val="pagechatarealistclose_box1"/>
    <w:basedOn w:val="53"/>
    <w:qFormat/>
    <w:uiPriority w:val="0"/>
  </w:style>
  <w:style w:type="character" w:customStyle="1" w:styleId="149">
    <w:name w:val="正文文本 3 Char1"/>
    <w:qFormat/>
    <w:uiPriority w:val="0"/>
    <w:rPr>
      <w:kern w:val="2"/>
      <w:sz w:val="28"/>
      <w:szCs w:val="24"/>
    </w:rPr>
  </w:style>
  <w:style w:type="character" w:customStyle="1" w:styleId="150">
    <w:name w:val="font161"/>
    <w:qFormat/>
    <w:uiPriority w:val="0"/>
    <w:rPr>
      <w:b/>
      <w:bCs/>
      <w:sz w:val="32"/>
      <w:szCs w:val="32"/>
    </w:rPr>
  </w:style>
  <w:style w:type="character" w:customStyle="1" w:styleId="151">
    <w:name w:val="表格 Char Char"/>
    <w:link w:val="152"/>
    <w:qFormat/>
    <w:uiPriority w:val="0"/>
    <w:rPr>
      <w:rFonts w:ascii="华文细黑" w:hAnsi="华文细黑"/>
      <w:sz w:val="21"/>
    </w:rPr>
  </w:style>
  <w:style w:type="paragraph" w:customStyle="1" w:styleId="152">
    <w:name w:val="表格"/>
    <w:basedOn w:val="1"/>
    <w:link w:val="151"/>
    <w:qFormat/>
    <w:uiPriority w:val="0"/>
    <w:pPr>
      <w:jc w:val="center"/>
      <w:textAlignment w:val="center"/>
    </w:pPr>
    <w:rPr>
      <w:rFonts w:ascii="华文细黑" w:hAnsi="华文细黑"/>
      <w:kern w:val="0"/>
      <w:szCs w:val="20"/>
    </w:rPr>
  </w:style>
  <w:style w:type="character" w:customStyle="1" w:styleId="153">
    <w:name w:val="menutitle7"/>
    <w:qFormat/>
    <w:uiPriority w:val="0"/>
    <w:rPr>
      <w:b/>
      <w:bCs/>
      <w:color w:val="0660A4"/>
      <w:sz w:val="18"/>
      <w:szCs w:val="18"/>
    </w:rPr>
  </w:style>
  <w:style w:type="character" w:customStyle="1" w:styleId="154">
    <w:name w:val="icontext12"/>
    <w:basedOn w:val="53"/>
    <w:qFormat/>
    <w:uiPriority w:val="0"/>
  </w:style>
  <w:style w:type="character" w:customStyle="1" w:styleId="155">
    <w:name w:val="icontext11"/>
    <w:basedOn w:val="53"/>
    <w:qFormat/>
    <w:uiPriority w:val="0"/>
  </w:style>
  <w:style w:type="character" w:customStyle="1" w:styleId="156">
    <w:name w:val="正文文本 3 字符"/>
    <w:qFormat/>
    <w:locked/>
    <w:uiPriority w:val="0"/>
    <w:rPr>
      <w:rFonts w:cs="Times New Roman"/>
      <w:kern w:val="2"/>
      <w:sz w:val="24"/>
      <w:szCs w:val="24"/>
    </w:rPr>
  </w:style>
  <w:style w:type="character" w:customStyle="1" w:styleId="157">
    <w:name w:val="choosename"/>
    <w:basedOn w:val="53"/>
    <w:qFormat/>
    <w:uiPriority w:val="0"/>
  </w:style>
  <w:style w:type="character" w:customStyle="1" w:styleId="158">
    <w:name w:val="font21"/>
    <w:qFormat/>
    <w:uiPriority w:val="0"/>
    <w:rPr>
      <w:rFonts w:hint="eastAsia" w:ascii="宋体" w:hAnsi="宋体" w:eastAsia="宋体" w:cs="宋体"/>
      <w:color w:val="000000"/>
      <w:sz w:val="20"/>
      <w:szCs w:val="20"/>
      <w:u w:val="none"/>
    </w:rPr>
  </w:style>
  <w:style w:type="character" w:customStyle="1" w:styleId="159">
    <w:name w:val="liked_gray"/>
    <w:basedOn w:val="53"/>
    <w:qFormat/>
    <w:uiPriority w:val="0"/>
    <w:rPr>
      <w:color w:val="FFFFFF"/>
    </w:rPr>
  </w:style>
  <w:style w:type="character" w:customStyle="1" w:styleId="160">
    <w:name w:val="bds_more"/>
    <w:qFormat/>
    <w:uiPriority w:val="0"/>
  </w:style>
  <w:style w:type="character" w:customStyle="1" w:styleId="161">
    <w:name w:val="sort1"/>
    <w:qFormat/>
    <w:uiPriority w:val="0"/>
    <w:rPr>
      <w:color w:val="FFFFFF"/>
      <w:bdr w:val="single" w:color="auto" w:sz="24" w:space="0"/>
    </w:rPr>
  </w:style>
  <w:style w:type="character" w:customStyle="1" w:styleId="162">
    <w:name w:val="cdropright"/>
    <w:basedOn w:val="53"/>
    <w:qFormat/>
    <w:uiPriority w:val="0"/>
  </w:style>
  <w:style w:type="character" w:customStyle="1" w:styleId="163">
    <w:name w:val="hover46"/>
    <w:basedOn w:val="53"/>
    <w:qFormat/>
    <w:uiPriority w:val="0"/>
    <w:rPr>
      <w:color w:val="FFFFFF"/>
    </w:rPr>
  </w:style>
  <w:style w:type="character" w:customStyle="1" w:styleId="164">
    <w:name w:val="sidecatalog-index1"/>
    <w:qFormat/>
    <w:uiPriority w:val="0"/>
    <w:rPr>
      <w:rFonts w:ascii="Arial" w:hAnsi="Arial" w:cs="Arial"/>
      <w:b/>
      <w:color w:val="999999"/>
      <w:sz w:val="21"/>
      <w:szCs w:val="21"/>
    </w:rPr>
  </w:style>
  <w:style w:type="character" w:customStyle="1" w:styleId="165">
    <w:name w:val="sort"/>
    <w:qFormat/>
    <w:uiPriority w:val="0"/>
  </w:style>
  <w:style w:type="character" w:customStyle="1" w:styleId="166">
    <w:name w:val="font11"/>
    <w:qFormat/>
    <w:uiPriority w:val="0"/>
    <w:rPr>
      <w:rFonts w:hint="default" w:ascii="Times New Roman" w:hAnsi="Times New Roman" w:cs="Times New Roman"/>
      <w:color w:val="000000"/>
      <w:sz w:val="22"/>
      <w:szCs w:val="22"/>
      <w:u w:val="none"/>
    </w:rPr>
  </w:style>
  <w:style w:type="character" w:customStyle="1" w:styleId="167">
    <w:name w:val="Body Text 3 Char"/>
    <w:qFormat/>
    <w:locked/>
    <w:uiPriority w:val="0"/>
    <w:rPr>
      <w:kern w:val="2"/>
      <w:sz w:val="24"/>
    </w:rPr>
  </w:style>
  <w:style w:type="character" w:customStyle="1" w:styleId="168">
    <w:name w:val="sidecatalog-dot1"/>
    <w:qFormat/>
    <w:uiPriority w:val="0"/>
  </w:style>
  <w:style w:type="paragraph" w:customStyle="1" w:styleId="169">
    <w:name w:val="Table text"/>
    <w:basedOn w:val="1"/>
    <w:qFormat/>
    <w:uiPriority w:val="0"/>
    <w:pPr>
      <w:widowControl/>
      <w:spacing w:before="120" w:beforeLines="0" w:after="120" w:afterLines="0"/>
    </w:pPr>
    <w:rPr>
      <w:kern w:val="0"/>
      <w:sz w:val="24"/>
      <w:szCs w:val="20"/>
      <w:lang w:eastAsia="en-US"/>
    </w:rPr>
  </w:style>
  <w:style w:type="paragraph" w:customStyle="1" w:styleId="170">
    <w:name w:val="1"/>
    <w:basedOn w:val="1"/>
    <w:next w:val="1"/>
    <w:qFormat/>
    <w:uiPriority w:val="0"/>
  </w:style>
  <w:style w:type="paragraph" w:styleId="171">
    <w:name w:val="List Paragraph"/>
    <w:basedOn w:val="1"/>
    <w:qFormat/>
    <w:uiPriority w:val="0"/>
    <w:pPr>
      <w:spacing w:line="360" w:lineRule="auto"/>
      <w:ind w:firstLine="420" w:firstLineChars="200"/>
    </w:pPr>
    <w:rPr>
      <w:rFonts w:ascii="Calibri" w:hAnsi="Calibri" w:eastAsia="微软雅黑"/>
      <w:sz w:val="24"/>
      <w:szCs w:val="22"/>
    </w:rPr>
  </w:style>
  <w:style w:type="paragraph" w:customStyle="1" w:styleId="172">
    <w:name w:val="样式 样式 首行缩进:  2 字符 + 首行缩进:  2 字符 Char Char"/>
    <w:basedOn w:val="1"/>
    <w:qFormat/>
    <w:uiPriority w:val="0"/>
    <w:pPr>
      <w:ind w:firstLine="480" w:firstLineChars="200"/>
    </w:pPr>
    <w:rPr>
      <w:sz w:val="24"/>
      <w:szCs w:val="20"/>
    </w:rPr>
  </w:style>
  <w:style w:type="paragraph" w:customStyle="1" w:styleId="173">
    <w:name w:val="样式 标题 3 + 左侧:  1.5 厘米 首行缩进:  0 厘米"/>
    <w:basedOn w:val="5"/>
    <w:next w:val="20"/>
    <w:qFormat/>
    <w:uiPriority w:val="0"/>
    <w:pPr>
      <w:numPr>
        <w:ilvl w:val="2"/>
        <w:numId w:val="5"/>
      </w:numPr>
      <w:tabs>
        <w:tab w:val="left" w:pos="1984"/>
      </w:tabs>
    </w:pPr>
    <w:rPr>
      <w:rFonts w:cs="宋体"/>
      <w:iCs/>
    </w:rPr>
  </w:style>
  <w:style w:type="paragraph" w:customStyle="1" w:styleId="174">
    <w:name w:val="Char Char1 Char Char Char Char Char Char Char Char Char Char Char Char Char Char Char"/>
    <w:basedOn w:val="1"/>
    <w:qFormat/>
    <w:uiPriority w:val="0"/>
    <w:pPr>
      <w:widowControl/>
      <w:spacing w:after="160" w:afterLines="0" w:line="240" w:lineRule="exact"/>
      <w:jc w:val="left"/>
    </w:pPr>
    <w:rPr>
      <w:rFonts w:ascii="Verdana" w:hAnsi="Verdana" w:eastAsia="仿宋_GB2312"/>
      <w:kern w:val="0"/>
      <w:sz w:val="20"/>
      <w:szCs w:val="20"/>
      <w:lang w:eastAsia="en-US"/>
    </w:rPr>
  </w:style>
  <w:style w:type="paragraph" w:customStyle="1" w:styleId="17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76">
    <w:name w:val="彩色列表 - 强调文字颜色 11"/>
    <w:basedOn w:val="1"/>
    <w:qFormat/>
    <w:uiPriority w:val="34"/>
    <w:pPr>
      <w:ind w:firstLine="420" w:firstLineChars="200"/>
    </w:pPr>
  </w:style>
  <w:style w:type="paragraph" w:customStyle="1" w:styleId="177">
    <w:name w:val="SOP body"/>
    <w:basedOn w:val="1"/>
    <w:qFormat/>
    <w:uiPriority w:val="0"/>
    <w:pPr>
      <w:widowControl/>
      <w:numPr>
        <w:ilvl w:val="0"/>
        <w:numId w:val="6"/>
      </w:numPr>
      <w:tabs>
        <w:tab w:val="left" w:pos="1208"/>
        <w:tab w:val="clear" w:pos="567"/>
      </w:tabs>
      <w:spacing w:line="312" w:lineRule="auto"/>
    </w:pPr>
    <w:rPr>
      <w:rFonts w:ascii="Arial" w:hAnsi="Arial" w:cs="Arial"/>
      <w:kern w:val="0"/>
      <w:sz w:val="20"/>
      <w:lang w:val="en-GB" w:eastAsia="en-US"/>
    </w:rPr>
  </w:style>
  <w:style w:type="paragraph" w:customStyle="1" w:styleId="178">
    <w:name w:val="评标报告_正文-国际"/>
    <w:basedOn w:val="1"/>
    <w:qFormat/>
    <w:uiPriority w:val="0"/>
    <w:pPr>
      <w:spacing w:after="156" w:afterLines="50" w:line="440" w:lineRule="exact"/>
      <w:ind w:firstLine="200" w:firstLineChars="200"/>
    </w:pPr>
    <w:rPr>
      <w:rFonts w:ascii="仿宋_GB2312" w:hAnsi="宋体"/>
      <w:bCs/>
      <w:sz w:val="24"/>
    </w:rPr>
  </w:style>
  <w:style w:type="paragraph" w:customStyle="1" w:styleId="179">
    <w:name w:val="Text"/>
    <w:basedOn w:val="1"/>
    <w:qFormat/>
    <w:uiPriority w:val="0"/>
    <w:pPr>
      <w:widowControl/>
      <w:spacing w:before="120"/>
    </w:pPr>
    <w:rPr>
      <w:rFonts w:ascii="Calibri" w:hAnsi="Calibri" w:eastAsia="宋体" w:cs="Times New Roman"/>
      <w:sz w:val="24"/>
      <w:szCs w:val="22"/>
      <w:lang w:eastAsia="en-US"/>
    </w:rPr>
  </w:style>
  <w:style w:type="paragraph" w:customStyle="1" w:styleId="180">
    <w:name w:val="样式 标题 2H2h22nd levelTitre2l22Header 2h:2h:2appT2ALev..."/>
    <w:basedOn w:val="4"/>
    <w:qFormat/>
    <w:uiPriority w:val="0"/>
    <w:pPr>
      <w:spacing w:before="156" w:beforeLines="50" w:after="156" w:afterLines="50" w:line="240" w:lineRule="auto"/>
      <w:ind w:firstLine="196" w:firstLineChars="196"/>
    </w:pPr>
    <w:rPr>
      <w:rFonts w:ascii="宋体" w:hAnsi="宋体" w:eastAsia="宋体" w:cs="宋体"/>
      <w:color w:val="000000"/>
      <w:sz w:val="28"/>
      <w:szCs w:val="28"/>
    </w:rPr>
  </w:style>
  <w:style w:type="paragraph" w:customStyle="1" w:styleId="181">
    <w:name w:val="_Style 179"/>
    <w:unhideWhenUsed/>
    <w:qFormat/>
    <w:uiPriority w:val="99"/>
    <w:rPr>
      <w:rFonts w:ascii="Times New Roman" w:hAnsi="Times New Roman" w:eastAsia="宋体" w:cs="Times New Roman"/>
      <w:kern w:val="2"/>
      <w:sz w:val="21"/>
      <w:szCs w:val="24"/>
      <w:lang w:val="en-US" w:eastAsia="zh-CN" w:bidi="ar-SA"/>
    </w:rPr>
  </w:style>
  <w:style w:type="paragraph" w:customStyle="1" w:styleId="182">
    <w:name w:val="p0"/>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83">
    <w:name w:val="样式 标题 3 + (中文) 黑体 小四 非加粗 段前: 7.8 磅 段后: 0 磅 行距: 固定值 20 磅"/>
    <w:basedOn w:val="5"/>
    <w:qFormat/>
    <w:uiPriority w:val="0"/>
    <w:pPr>
      <w:spacing w:before="0" w:beforeLines="0" w:after="0" w:afterLines="0" w:line="400" w:lineRule="exact"/>
    </w:pPr>
    <w:rPr>
      <w:rFonts w:eastAsia="黑体" w:cs="宋体"/>
      <w:b w:val="0"/>
      <w:bCs w:val="0"/>
      <w:sz w:val="24"/>
      <w:szCs w:val="20"/>
    </w:rPr>
  </w:style>
  <w:style w:type="paragraph" w:customStyle="1" w:styleId="184">
    <w:name w:val="表格文字"/>
    <w:basedOn w:val="1"/>
    <w:qFormat/>
    <w:uiPriority w:val="0"/>
    <w:pPr>
      <w:adjustRightInd w:val="0"/>
      <w:spacing w:line="420" w:lineRule="atLeast"/>
      <w:jc w:val="left"/>
      <w:textAlignment w:val="baseline"/>
    </w:pPr>
    <w:rPr>
      <w:kern w:val="0"/>
      <w:szCs w:val="20"/>
    </w:rPr>
  </w:style>
  <w:style w:type="paragraph" w:customStyle="1" w:styleId="185">
    <w:name w:val="Lilly Heading 4"/>
    <w:basedOn w:val="6"/>
    <w:next w:val="1"/>
    <w:qFormat/>
    <w:uiPriority w:val="99"/>
    <w:pPr>
      <w:keepLines w:val="0"/>
      <w:widowControl/>
      <w:numPr>
        <w:ilvl w:val="3"/>
        <w:numId w:val="7"/>
      </w:numPr>
      <w:tabs>
        <w:tab w:val="left" w:pos="851"/>
        <w:tab w:val="left" w:pos="864"/>
        <w:tab w:val="left" w:pos="2552"/>
        <w:tab w:val="clear" w:pos="2220"/>
      </w:tabs>
      <w:spacing w:before="240" w:beforeLines="0" w:after="120" w:afterLines="0" w:line="240" w:lineRule="auto"/>
      <w:jc w:val="left"/>
    </w:pPr>
    <w:rPr>
      <w:rFonts w:ascii="Times New Roman" w:hAnsi="Times New Roman" w:eastAsia="宋体"/>
      <w:b w:val="0"/>
      <w:bCs w:val="0"/>
      <w:i/>
      <w:iCs/>
      <w:kern w:val="0"/>
      <w:sz w:val="20"/>
      <w:szCs w:val="20"/>
      <w:lang w:eastAsia="en-US"/>
    </w:rPr>
  </w:style>
  <w:style w:type="paragraph" w:customStyle="1" w:styleId="186">
    <w:name w:val="List Paragraph1"/>
    <w:basedOn w:val="1"/>
    <w:qFormat/>
    <w:uiPriority w:val="34"/>
    <w:pPr>
      <w:ind w:firstLine="420" w:firstLineChars="200"/>
    </w:pPr>
    <w:rPr>
      <w:szCs w:val="20"/>
    </w:rPr>
  </w:style>
  <w:style w:type="paragraph" w:customStyle="1" w:styleId="187">
    <w:name w:val="Default"/>
    <w:qFormat/>
    <w:uiPriority w:val="99"/>
    <w:pPr>
      <w:widowControl w:val="0"/>
      <w:autoSpaceDE w:val="0"/>
      <w:autoSpaceDN w:val="0"/>
      <w:adjustRightInd w:val="0"/>
    </w:pPr>
    <w:rPr>
      <w:rFonts w:ascii="Times New Roman" w:hAnsi="Times New Roman" w:eastAsia="宋体" w:cs="Calibri"/>
      <w:color w:val="000000"/>
      <w:sz w:val="24"/>
      <w:szCs w:val="24"/>
      <w:lang w:val="en-US" w:eastAsia="en-US" w:bidi="ar-SA"/>
    </w:rPr>
  </w:style>
  <w:style w:type="paragraph" w:customStyle="1" w:styleId="188">
    <w:name w:val="评标报告_标题-国际"/>
    <w:basedOn w:val="5"/>
    <w:next w:val="1"/>
    <w:qFormat/>
    <w:uiPriority w:val="0"/>
    <w:pPr>
      <w:spacing w:before="360" w:beforeLines="0" w:after="120" w:afterLines="0" w:line="440" w:lineRule="exact"/>
    </w:pPr>
    <w:rPr>
      <w:rFonts w:ascii="仿宋_GB2312"/>
      <w:sz w:val="24"/>
    </w:rPr>
  </w:style>
  <w:style w:type="paragraph" w:customStyle="1" w:styleId="189">
    <w:name w:val="Lilly Heading 3"/>
    <w:basedOn w:val="5"/>
    <w:next w:val="1"/>
    <w:qFormat/>
    <w:uiPriority w:val="99"/>
    <w:pPr>
      <w:keepLines w:val="0"/>
      <w:widowControl/>
      <w:numPr>
        <w:ilvl w:val="2"/>
        <w:numId w:val="7"/>
      </w:numPr>
      <w:tabs>
        <w:tab w:val="left" w:pos="851"/>
        <w:tab w:val="left" w:pos="1080"/>
        <w:tab w:val="left" w:pos="1701"/>
        <w:tab w:val="clear" w:pos="1740"/>
      </w:tabs>
      <w:spacing w:before="240" w:beforeLines="0" w:after="120" w:afterLines="0" w:line="240" w:lineRule="auto"/>
      <w:jc w:val="left"/>
    </w:pPr>
    <w:rPr>
      <w:i/>
      <w:iCs/>
      <w:kern w:val="0"/>
      <w:sz w:val="20"/>
      <w:szCs w:val="20"/>
      <w:lang w:val="en-US" w:eastAsia="en-US"/>
    </w:rPr>
  </w:style>
  <w:style w:type="paragraph" w:customStyle="1" w:styleId="190">
    <w:name w:val="Lilly Body Text 2"/>
    <w:basedOn w:val="1"/>
    <w:qFormat/>
    <w:uiPriority w:val="99"/>
    <w:pPr>
      <w:widowControl/>
      <w:spacing w:before="60" w:beforeLines="0" w:after="120" w:afterLines="0"/>
      <w:ind w:left="993"/>
    </w:pPr>
    <w:rPr>
      <w:kern w:val="0"/>
      <w:sz w:val="20"/>
      <w:szCs w:val="20"/>
      <w:lang w:eastAsia="en-US"/>
    </w:rPr>
  </w:style>
  <w:style w:type="paragraph" w:customStyle="1" w:styleId="191">
    <w:name w:val="Table Text"/>
    <w:basedOn w:val="1"/>
    <w:qFormat/>
    <w:uiPriority w:val="0"/>
    <w:pPr>
      <w:widowControl/>
      <w:spacing w:before="60" w:beforeLines="0" w:after="60" w:afterLines="0"/>
      <w:jc w:val="center"/>
    </w:pPr>
    <w:rPr>
      <w:kern w:val="0"/>
      <w:sz w:val="24"/>
      <w:szCs w:val="20"/>
      <w:lang w:val="fr-FR" w:eastAsia="en-US"/>
    </w:rPr>
  </w:style>
  <w:style w:type="paragraph" w:customStyle="1" w:styleId="192">
    <w:name w:val="font0"/>
    <w:basedOn w:val="1"/>
    <w:qFormat/>
    <w:uiPriority w:val="0"/>
    <w:pPr>
      <w:widowControl/>
      <w:spacing w:before="100" w:beforeLines="0" w:beforeAutospacing="1" w:after="100" w:afterLines="0" w:afterAutospacing="1"/>
      <w:jc w:val="left"/>
    </w:pPr>
    <w:rPr>
      <w:rFonts w:hint="eastAsia" w:ascii="宋体" w:hAnsi="宋体"/>
      <w:kern w:val="0"/>
      <w:sz w:val="24"/>
    </w:rPr>
  </w:style>
  <w:style w:type="paragraph" w:customStyle="1" w:styleId="193">
    <w:name w:val="Char Char Char Char"/>
    <w:basedOn w:val="1"/>
    <w:qFormat/>
    <w:uiPriority w:val="0"/>
    <w:rPr>
      <w:rFonts w:ascii="Tahoma" w:hAnsi="Tahoma"/>
      <w:sz w:val="24"/>
      <w:szCs w:val="20"/>
    </w:rPr>
  </w:style>
  <w:style w:type="paragraph" w:customStyle="1" w:styleId="194">
    <w:name w:val="Lilly Heading 2"/>
    <w:basedOn w:val="4"/>
    <w:next w:val="190"/>
    <w:qFormat/>
    <w:uiPriority w:val="99"/>
    <w:pPr>
      <w:keepLines w:val="0"/>
      <w:widowControl/>
      <w:numPr>
        <w:ilvl w:val="1"/>
        <w:numId w:val="7"/>
      </w:numPr>
      <w:tabs>
        <w:tab w:val="left" w:pos="576"/>
        <w:tab w:val="left" w:pos="851"/>
        <w:tab w:val="left" w:pos="993"/>
        <w:tab w:val="clear" w:pos="1560"/>
      </w:tabs>
      <w:spacing w:before="240" w:beforeLines="0" w:after="120" w:afterLines="0" w:line="240" w:lineRule="auto"/>
      <w:jc w:val="left"/>
    </w:pPr>
    <w:rPr>
      <w:rFonts w:ascii="Times New Roman" w:hAnsi="Times New Roman" w:eastAsia="宋体"/>
      <w:kern w:val="0"/>
      <w:sz w:val="20"/>
      <w:szCs w:val="20"/>
      <w:lang w:eastAsia="en-US"/>
    </w:rPr>
  </w:style>
  <w:style w:type="paragraph" w:customStyle="1" w:styleId="195">
    <w:name w:val="Body Text 2"/>
    <w:basedOn w:val="1"/>
    <w:qFormat/>
    <w:uiPriority w:val="0"/>
    <w:pPr>
      <w:widowControl/>
      <w:jc w:val="left"/>
    </w:pPr>
    <w:rPr>
      <w:i/>
      <w:kern w:val="0"/>
      <w:sz w:val="20"/>
      <w:szCs w:val="20"/>
      <w:lang w:val="fr-FR"/>
    </w:rPr>
  </w:style>
  <w:style w:type="paragraph" w:customStyle="1" w:styleId="196">
    <w:name w:val="SOP body 1"/>
    <w:basedOn w:val="177"/>
    <w:qFormat/>
    <w:uiPriority w:val="0"/>
    <w:pPr>
      <w:numPr>
        <w:ilvl w:val="2"/>
        <w:numId w:val="6"/>
      </w:numPr>
      <w:tabs>
        <w:tab w:val="left" w:pos="1930"/>
        <w:tab w:val="clear" w:pos="1247"/>
        <w:tab w:val="clear" w:pos="1208"/>
      </w:tabs>
    </w:pPr>
  </w:style>
  <w:style w:type="paragraph" w:customStyle="1" w:styleId="197">
    <w:name w:val="Heading Left"/>
    <w:basedOn w:val="1"/>
    <w:qFormat/>
    <w:uiPriority w:val="0"/>
    <w:pPr>
      <w:widowControl/>
      <w:tabs>
        <w:tab w:val="center" w:pos="4820"/>
        <w:tab w:val="right" w:pos="9639"/>
      </w:tabs>
      <w:spacing w:before="120" w:beforeLines="0" w:after="120" w:afterLines="0"/>
      <w:jc w:val="left"/>
    </w:pPr>
    <w:rPr>
      <w:rFonts w:ascii="Arial" w:hAnsi="Arial"/>
      <w:b/>
      <w:caps/>
      <w:kern w:val="0"/>
      <w:szCs w:val="20"/>
      <w:lang w:val="en-GB" w:eastAsia="en-US"/>
    </w:rPr>
  </w:style>
  <w:style w:type="paragraph" w:customStyle="1" w:styleId="198">
    <w:name w:val="Char Char Char Char Char Char Char"/>
    <w:basedOn w:val="1"/>
    <w:qFormat/>
    <w:uiPriority w:val="0"/>
    <w:rPr>
      <w:rFonts w:ascii="宋体" w:hAnsi="宋体" w:eastAsia="黑体"/>
      <w:sz w:val="32"/>
      <w:szCs w:val="20"/>
      <w:lang w:eastAsia="en-US"/>
    </w:rPr>
  </w:style>
  <w:style w:type="paragraph" w:customStyle="1" w:styleId="199">
    <w:name w:val="彩色底纹 - 强调文字颜色 11"/>
    <w:semiHidden/>
    <w:qFormat/>
    <w:uiPriority w:val="99"/>
    <w:rPr>
      <w:rFonts w:ascii="Times New Roman" w:hAnsi="Times New Roman" w:eastAsia="宋体" w:cs="Times New Roman"/>
      <w:kern w:val="2"/>
      <w:sz w:val="21"/>
      <w:szCs w:val="24"/>
      <w:lang w:val="en-US" w:eastAsia="zh-CN" w:bidi="ar-SA"/>
    </w:rPr>
  </w:style>
  <w:style w:type="paragraph" w:customStyle="1" w:styleId="200">
    <w:name w:val="Lilly Heading 1"/>
    <w:basedOn w:val="3"/>
    <w:next w:val="1"/>
    <w:qFormat/>
    <w:uiPriority w:val="99"/>
    <w:pPr>
      <w:keepLines w:val="0"/>
      <w:widowControl/>
      <w:numPr>
        <w:ilvl w:val="0"/>
        <w:numId w:val="7"/>
      </w:numPr>
      <w:tabs>
        <w:tab w:val="left" w:pos="432"/>
        <w:tab w:val="left" w:pos="851"/>
        <w:tab w:val="clear" w:pos="1620"/>
      </w:tabs>
      <w:spacing w:before="240" w:beforeLines="0" w:after="120" w:afterLines="0" w:line="240" w:lineRule="auto"/>
      <w:jc w:val="left"/>
    </w:pPr>
    <w:rPr>
      <w:caps/>
      <w:kern w:val="0"/>
      <w:sz w:val="20"/>
      <w:szCs w:val="20"/>
      <w:lang w:val="en-US" w:eastAsia="en-US"/>
    </w:rPr>
  </w:style>
  <w:style w:type="paragraph" w:customStyle="1" w:styleId="201">
    <w:name w:val="样式 标题 1 + 黑体 三号 非加粗 居中 段前: 6 磅 段后: 6 磅 行距: 固定值 20 磅"/>
    <w:basedOn w:val="3"/>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202">
    <w:name w:val="样式 标题 2 + Times New Roman 四号 非加粗 段前: 5 磅 段后: 0 磅 行距: 固定值 20..."/>
    <w:basedOn w:val="4"/>
    <w:qFormat/>
    <w:uiPriority w:val="0"/>
    <w:pPr>
      <w:spacing w:before="100" w:beforeLines="0" w:after="0" w:afterLines="0" w:line="400" w:lineRule="exact"/>
    </w:pPr>
    <w:rPr>
      <w:rFonts w:ascii="Times New Roman" w:hAnsi="Times New Roman" w:cs="宋体"/>
      <w:b w:val="0"/>
      <w:bCs w:val="0"/>
      <w:sz w:val="28"/>
      <w:szCs w:val="20"/>
    </w:rPr>
  </w:style>
  <w:style w:type="character" w:customStyle="1" w:styleId="203">
    <w:name w:val="xdrichtextbox2"/>
    <w:qFormat/>
    <w:uiPriority w:val="0"/>
    <w:rPr>
      <w:color w:val="auto"/>
      <w:sz w:val="18"/>
      <w:szCs w:val="18"/>
      <w:u w:val="none"/>
      <w:bdr w:val="single" w:color="DCDCDC" w:sz="8" w:space="0"/>
      <w:shd w:val="clear" w:color="auto" w:fill="FFFFFF"/>
    </w:rPr>
  </w:style>
  <w:style w:type="paragraph" w:customStyle="1" w:styleId="204">
    <w:name w:val="标书正文"/>
    <w:basedOn w:val="1"/>
    <w:qFormat/>
    <w:uiPriority w:val="0"/>
    <w:pPr>
      <w:spacing w:after="50" w:afterLines="50" w:line="360" w:lineRule="auto"/>
      <w:ind w:firstLine="440" w:firstLineChars="200"/>
    </w:pPr>
    <w:rPr>
      <w:rFonts w:ascii="Times New Roman" w:hAnsi="Times New Roman" w:eastAsia="楷体" w:cs="宋体"/>
      <w:sz w:val="24"/>
      <w:szCs w:val="22"/>
      <w:lang w:val="zh-CN" w:bidi="zh-CN"/>
    </w:rPr>
  </w:style>
  <w:style w:type="character" w:customStyle="1" w:styleId="205">
    <w:name w:val="fontstyle01"/>
    <w:qFormat/>
    <w:uiPriority w:val="0"/>
    <w:rPr>
      <w:rFonts w:ascii="宋体" w:hAnsi="宋体" w:eastAsia="宋体" w:cs="宋体"/>
      <w:color w:val="3A3A3A"/>
      <w:sz w:val="14"/>
      <w:szCs w:val="14"/>
    </w:rPr>
  </w:style>
  <w:style w:type="paragraph" w:customStyle="1" w:styleId="206">
    <w:name w:val="WPSOffice手动目录 1"/>
    <w:qFormat/>
    <w:uiPriority w:val="0"/>
    <w:pPr>
      <w:ind w:leftChars="0"/>
    </w:pPr>
    <w:rPr>
      <w:rFonts w:ascii="Times New Roman" w:hAnsi="Times New Roman" w:eastAsia="宋体" w:cs="Times New Roman"/>
      <w:sz w:val="20"/>
      <w:szCs w:val="20"/>
    </w:rPr>
  </w:style>
  <w:style w:type="paragraph" w:customStyle="1" w:styleId="207">
    <w:name w:val="WPSOffice手动目录 2"/>
    <w:qFormat/>
    <w:uiPriority w:val="0"/>
    <w:pPr>
      <w:ind w:leftChars="200"/>
    </w:pPr>
    <w:rPr>
      <w:rFonts w:ascii="Times New Roman" w:hAnsi="Times New Roman" w:eastAsia="宋体" w:cs="Times New Roman"/>
      <w:sz w:val="20"/>
      <w:szCs w:val="20"/>
    </w:rPr>
  </w:style>
  <w:style w:type="paragraph" w:customStyle="1" w:styleId="208">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19031</Words>
  <Characters>20134</Characters>
  <Lines>243</Lines>
  <Paragraphs>68</Paragraphs>
  <TotalTime>1</TotalTime>
  <ScaleCrop>false</ScaleCrop>
  <LinksUpToDate>false</LinksUpToDate>
  <CharactersWithSpaces>22348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2019-01-17T09:05:00Z</dcterms:created>
  <dc:creator>acer</dc:creator>
  <cp:lastModifiedBy>WPS_1669853860</cp:lastModifiedBy>
  <cp:lastPrinted>2024-03-13T01:27:00Z</cp:lastPrinted>
  <dcterms:modified xsi:type="dcterms:W3CDTF">2026-10-09T06:42:32Z</dcterms:modified>
  <dc:title>附件二：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19074D7912F34E1AA963F8C6FCA52E04_13</vt:lpwstr>
  </property>
  <property fmtid="{D5CDD505-2E9C-101B-9397-08002B2CF9AE}" pid="4" name="KSOTemplateDocerSaveRecord">
    <vt:lpwstr>eyJoZGlkIjoiMmY5YzY0YzE0ZmQ2MjY2N2YyNmY4Y2UwOWJjNWU0NTgiLCJ1c2VySWQiOiIxNDQzMTU3NzgzIn0=</vt:lpwstr>
  </property>
</Properties>
</file>