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WKZB-2025-035</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副鸡禽杆菌专用培养基</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WKZB-2025-035</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副鸡禽杆菌专用培养基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副鸡禽杆菌专用培养基</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8299"/>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商入围副鸡禽杆菌专用培养基项目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390940505"/>
      <w:bookmarkStart w:id="36" w:name="_Toc152045527"/>
      <w:bookmarkStart w:id="37" w:name="_Toc109736026"/>
      <w:bookmarkStart w:id="38" w:name="_Toc25653"/>
      <w:bookmarkStart w:id="39" w:name="_Toc144974495"/>
      <w:bookmarkStart w:id="40" w:name="_Toc233102490"/>
      <w:bookmarkStart w:id="41" w:name="_Toc179632544"/>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79632545"/>
      <w:bookmarkStart w:id="44" w:name="_Toc109736027"/>
      <w:bookmarkStart w:id="45" w:name="_Toc20399"/>
      <w:bookmarkStart w:id="46" w:name="_Toc390940506"/>
      <w:bookmarkStart w:id="47" w:name="_Toc233102491"/>
      <w:bookmarkStart w:id="48" w:name="_Toc152045528"/>
      <w:bookmarkStart w:id="49" w:name="_Toc144974496"/>
      <w:bookmarkStart w:id="50" w:name="_Toc18804"/>
      <w:bookmarkStart w:id="51" w:name="_Toc1520423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233102492"/>
      <w:bookmarkStart w:id="56" w:name="_Toc179632546"/>
      <w:bookmarkStart w:id="57" w:name="_Toc152042305"/>
      <w:bookmarkStart w:id="58" w:name="_Toc152045529"/>
      <w:bookmarkStart w:id="59" w:name="_Toc144974497"/>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2757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541"/>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109736031"/>
      <w:bookmarkStart w:id="70" w:name="_Toc205"/>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216582806"/>
      <w:bookmarkStart w:id="77" w:name="_Toc109736033"/>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23629"/>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216582809"/>
      <w:bookmarkStart w:id="129" w:name="_Toc520356163"/>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109736055"/>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Ref467307062"/>
      <w:bookmarkStart w:id="157" w:name="_Toc109736060"/>
      <w:bookmarkStart w:id="158" w:name="_Ref467306377"/>
      <w:bookmarkStart w:id="159" w:name="_Ref467307204"/>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7090"/>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87900349"/>
      <w:bookmarkStart w:id="172" w:name="_Ref467379205"/>
      <w:bookmarkStart w:id="173" w:name="_Ref467379101"/>
      <w:bookmarkStart w:id="174" w:name="_Ref467379109"/>
      <w:bookmarkStart w:id="175" w:name="_Toc415222497"/>
      <w:bookmarkStart w:id="176" w:name="_Ref467378499"/>
      <w:bookmarkStart w:id="177" w:name="_Ref467379225"/>
      <w:bookmarkStart w:id="178" w:name="_Ref467378463"/>
      <w:bookmarkStart w:id="179" w:name="_Ref467379195"/>
      <w:bookmarkStart w:id="180" w:name="_Ref467379094"/>
      <w:bookmarkStart w:id="181" w:name="_Ref467378404"/>
      <w:bookmarkStart w:id="182" w:name="_Ref46737921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415222498"/>
      <w:bookmarkStart w:id="190" w:name="_Toc31740"/>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415222499"/>
      <w:bookmarkStart w:id="194" w:name="_Toc10492"/>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18031"/>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17967"/>
      <w:bookmarkStart w:id="202" w:name="_Toc487900353"/>
      <w:bookmarkStart w:id="203" w:name="_Toc415222501"/>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Ref467379536"/>
      <w:bookmarkStart w:id="206" w:name="_Toc487900354"/>
      <w:bookmarkStart w:id="207" w:name="_Ref467378591"/>
      <w:bookmarkStart w:id="208" w:name="_Ref467379527"/>
      <w:bookmarkStart w:id="209" w:name="_Toc18715"/>
      <w:bookmarkStart w:id="210" w:name="_Toc415222502"/>
      <w:bookmarkStart w:id="211" w:name="_Toc11864"/>
      <w:bookmarkStart w:id="212" w:name="_Ref467378541"/>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15222503"/>
      <w:bookmarkStart w:id="215" w:name="_Toc6625"/>
      <w:bookmarkStart w:id="216" w:name="_Toc12437"/>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Ref467379807"/>
      <w:bookmarkStart w:id="220" w:name="_Ref467379793"/>
      <w:bookmarkStart w:id="221" w:name="_Toc15361"/>
      <w:bookmarkStart w:id="222" w:name="_Toc415222504"/>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87900358"/>
      <w:bookmarkStart w:id="225" w:name="_Toc1380"/>
      <w:bookmarkStart w:id="226" w:name="_Ref467379863"/>
      <w:bookmarkStart w:id="227" w:name="_Ref467379923"/>
      <w:bookmarkStart w:id="228" w:name="_Ref467379852"/>
      <w:bookmarkStart w:id="229" w:name="_Toc415222505"/>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15447"/>
      <w:bookmarkStart w:id="232" w:name="_Ref467377798"/>
      <w:bookmarkStart w:id="233" w:name="_Ref467379937"/>
      <w:bookmarkStart w:id="234" w:name="_Toc28649"/>
      <w:bookmarkStart w:id="235" w:name="_Ref467379946"/>
      <w:bookmarkStart w:id="236" w:name="_Toc415222506"/>
      <w:bookmarkStart w:id="237" w:name="_Toc487900359"/>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487900361"/>
      <w:bookmarkStart w:id="246" w:name="_Toc31728"/>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487900362"/>
      <w:bookmarkStart w:id="251" w:name="_Toc15086"/>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487900363"/>
      <w:bookmarkStart w:id="255" w:name="_Toc19929"/>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415222511"/>
      <w:bookmarkStart w:id="259" w:name="_Ref467378121"/>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415222512"/>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16231"/>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2065"/>
      <w:bookmarkStart w:id="278" w:name="_Toc41522251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415222516"/>
      <w:bookmarkStart w:id="282" w:name="_Toc29725"/>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87900370"/>
      <w:bookmarkStart w:id="286" w:name="_Toc415222517"/>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487900371"/>
      <w:bookmarkStart w:id="290" w:name="_Toc415222518"/>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487900373"/>
      <w:bookmarkStart w:id="298" w:name="_Toc415222520"/>
      <w:bookmarkStart w:id="299" w:name="_Toc2374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415222521"/>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415222522"/>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15903"/>
      <w:bookmarkStart w:id="314" w:name="_Toc220229431"/>
      <w:bookmarkStart w:id="315" w:name="_Toc218935352"/>
      <w:bookmarkStart w:id="316" w:name="_Toc220229326"/>
      <w:bookmarkStart w:id="317" w:name="_Toc27454"/>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415222524"/>
      <w:bookmarkStart w:id="340" w:name="_Toc109736069"/>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Ref467988705"/>
      <w:bookmarkStart w:id="346" w:name="_Toc415222525"/>
      <w:bookmarkStart w:id="347" w:name="_Toc216582814"/>
      <w:bookmarkStart w:id="348" w:name="_Toc29788"/>
      <w:bookmarkStart w:id="349" w:name="_Toc109736070"/>
      <w:bookmarkStart w:id="350" w:name="_Toc520356218"/>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副鸡禽杆菌专用培养基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WKZB-2025-035</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425"/>
        <w:gridCol w:w="1608"/>
        <w:gridCol w:w="160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19"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货号及包装规格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3"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19"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副鸡禽杆菌专用培养基</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3"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109736072"/>
      <w:bookmarkStart w:id="354" w:name="_Toc216582818"/>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副鸡禽杆菌专用培养基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WKZB-2025-035</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因产品的特殊性，成交供应商应免费供产品小试三批，每批产品不低于100L培养基</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副鸡禽杆菌专用培养基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WKZB-2025-035</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Ref467988543"/>
      <w:bookmarkStart w:id="362" w:name="_Toc520356224"/>
      <w:bookmarkStart w:id="363" w:name="_Toc216582819"/>
      <w:bookmarkStart w:id="364" w:name="_Toc415222530"/>
      <w:bookmarkStart w:id="365" w:name="_Toc13093"/>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bookmarkStart w:id="433" w:name="_GoBack"/>
      <w:bookmarkEnd w:id="433"/>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065"/>
      <w:bookmarkEnd w:id="369"/>
      <w:bookmarkStart w:id="370" w:name="_Hlt520271212"/>
      <w:bookmarkEnd w:id="370"/>
      <w:bookmarkStart w:id="371" w:name="_Hlt520350957"/>
      <w:bookmarkEnd w:id="371"/>
      <w:bookmarkStart w:id="372" w:name="_Hlt520350918"/>
      <w:bookmarkEnd w:id="372"/>
      <w:bookmarkStart w:id="373" w:name="_Hlt520343392"/>
      <w:bookmarkEnd w:id="373"/>
      <w:bookmarkStart w:id="374" w:name="_Hlt520274393"/>
      <w:bookmarkEnd w:id="374"/>
      <w:bookmarkStart w:id="375" w:name="_Hlt520273973"/>
      <w:bookmarkEnd w:id="375"/>
      <w:bookmarkStart w:id="376" w:name="_Hlt520274407"/>
      <w:bookmarkEnd w:id="376"/>
      <w:bookmarkStart w:id="377" w:name="_Hlt520273711"/>
      <w:bookmarkEnd w:id="377"/>
      <w:bookmarkStart w:id="378" w:name="_Hlt520274121"/>
      <w:bookmarkEnd w:id="378"/>
      <w:bookmarkStart w:id="379" w:name="_Hlt520343000"/>
      <w:bookmarkEnd w:id="379"/>
      <w:bookmarkStart w:id="380" w:name="_Toc2581"/>
      <w:bookmarkStart w:id="381" w:name="_Toc480942357"/>
      <w:bookmarkStart w:id="382" w:name="_Ref467988471"/>
      <w:bookmarkStart w:id="383" w:name="_Toc520356228"/>
      <w:bookmarkStart w:id="384" w:name="_Toc520125061"/>
      <w:bookmarkStart w:id="385" w:name="_Toc520125062"/>
      <w:bookmarkStart w:id="386" w:name="_Ref467990100"/>
      <w:bookmarkStart w:id="387" w:name="_Ref467990058"/>
      <w:bookmarkStart w:id="388" w:name="_Ref467988485"/>
      <w:bookmarkStart w:id="389" w:name="_Ref467988479"/>
      <w:bookmarkStart w:id="390" w:name="_Ref467990101"/>
      <w:bookmarkStart w:id="391" w:name="_Toc480942358"/>
      <w:bookmarkStart w:id="392" w:name="_Ref467990064"/>
      <w:bookmarkStart w:id="393" w:name="_Toc520356229"/>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副鸡禽杆菌专用培养基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WKZB-2025-035</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216582826"/>
      <w:bookmarkStart w:id="407" w:name="_Toc219175639"/>
      <w:bookmarkStart w:id="408" w:name="_Toc218935355"/>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8725"/>
      <w:bookmarkStart w:id="416" w:name="_Toc1561"/>
      <w:bookmarkStart w:id="417" w:name="_Toc188181412"/>
      <w:bookmarkStart w:id="418" w:name="_Toc61418267"/>
      <w:bookmarkStart w:id="419" w:name="_Toc512327974"/>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20"/>
        <w:ind w:firstLine="400" w:firstLineChars="200"/>
        <w:jc w:val="left"/>
        <w:rPr>
          <w:rFonts w:hint="eastAsia" w:ascii="Times New Roman" w:hAnsi="Times New Roman" w:eastAsia="宋体" w:cs="Times New Roman"/>
          <w:kern w:val="0"/>
          <w:sz w:val="22"/>
          <w:szCs w:val="20"/>
          <w:lang w:val="fr-FR"/>
        </w:rPr>
      </w:pPr>
      <w:bookmarkStart w:id="420" w:name="_Hlk528847756"/>
      <w:bookmarkStart w:id="421"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ascii="Times New Roman" w:hAnsi="Times New Roman" w:eastAsia="宋体" w:cs="Times New Roman"/>
          <w:kern w:val="0"/>
          <w:sz w:val="20"/>
          <w:szCs w:val="20"/>
          <w:lang w:val="fr-FR"/>
        </w:rPr>
        <w:t>规定</w:t>
      </w:r>
      <w:r>
        <w:rPr>
          <w:rFonts w:hint="eastAsia" w:ascii="宋体" w:hAnsi="宋体" w:eastAsia="宋体" w:cs="Times New Roman"/>
          <w:kern w:val="0"/>
          <w:sz w:val="20"/>
          <w:szCs w:val="20"/>
          <w:lang w:val="en-US" w:eastAsia="zh-CN"/>
        </w:rPr>
        <w:t>副鸡禽杆菌</w:t>
      </w:r>
      <w:r>
        <w:rPr>
          <w:rFonts w:hint="eastAsia" w:ascii="Times New Roman" w:hAnsi="Times New Roman" w:eastAsia="宋体" w:cs="Times New Roman"/>
          <w:kern w:val="0"/>
          <w:sz w:val="20"/>
          <w:szCs w:val="20"/>
          <w:lang w:val="en-US" w:eastAsia="zh-CN"/>
        </w:rPr>
        <w:t>培养基</w:t>
      </w:r>
      <w:r>
        <w:rPr>
          <w:rFonts w:ascii="Times New Roman" w:hAnsi="Times New Roman" w:eastAsia="宋体" w:cs="Times New Roman"/>
          <w:kern w:val="0"/>
          <w:sz w:val="20"/>
          <w:szCs w:val="20"/>
          <w:lang w:val="fr-FR"/>
        </w:rPr>
        <w:t>质量标准</w:t>
      </w:r>
      <w:r>
        <w:rPr>
          <w:rFonts w:ascii="Times New Roman" w:hAnsi="Times New Roman" w:eastAsia="宋体" w:cs="Times New Roman"/>
          <w:kern w:val="0"/>
          <w:sz w:val="22"/>
          <w:szCs w:val="20"/>
          <w:lang w:val="fr-FR"/>
        </w:rPr>
        <w:t>。</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w:t>
      </w:r>
      <w:r>
        <w:rPr>
          <w:rFonts w:hint="eastAsia" w:ascii="宋体" w:hAnsi="宋体" w:eastAsia="宋体" w:cs="Times New Roman"/>
          <w:kern w:val="0"/>
          <w:sz w:val="20"/>
          <w:szCs w:val="20"/>
          <w:lang w:val="fr-FR"/>
        </w:rPr>
        <w:t>供应</w:t>
      </w:r>
      <w:r>
        <w:rPr>
          <w:rFonts w:ascii="宋体" w:hAnsi="宋体" w:eastAsia="宋体" w:cs="Times New Roman"/>
          <w:kern w:val="0"/>
          <w:sz w:val="20"/>
          <w:szCs w:val="20"/>
          <w:lang w:val="fr-FR"/>
        </w:rPr>
        <w:t>商所提供的产品符合我公司的所有要求。</w:t>
      </w:r>
    </w:p>
    <w:bookmarkEnd w:id="420"/>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2" w:name="_Toc716"/>
      <w:r>
        <w:rPr>
          <w:rFonts w:hint="eastAsia" w:ascii="宋体" w:hAnsi="宋体" w:eastAsia="宋体" w:cs="Times New Roman"/>
          <w:b/>
          <w:caps/>
          <w:kern w:val="28"/>
          <w:sz w:val="30"/>
          <w:szCs w:val="30"/>
          <w:lang w:val="en-US" w:eastAsia="zh-CN" w:bidi="ar-SA"/>
        </w:rPr>
        <w:t>范围</w:t>
      </w:r>
      <w:bookmarkEnd w:id="421"/>
      <w:bookmarkEnd w:id="422"/>
    </w:p>
    <w:p>
      <w:pPr>
        <w:keepNext w:val="0"/>
        <w:widowControl/>
        <w:spacing w:before="0" w:after="0"/>
        <w:jc w:val="left"/>
        <w:outlineLvl w:val="9"/>
        <w:rPr>
          <w:rFonts w:hint="eastAsia" w:ascii="宋体" w:hAnsi="宋体" w:eastAsia="宋体" w:cs="Times New Roman"/>
          <w:kern w:val="0"/>
          <w:sz w:val="20"/>
          <w:szCs w:val="20"/>
          <w:highlight w:val="yellow"/>
          <w:lang w:val="fr-FR"/>
        </w:rPr>
      </w:pPr>
      <w:bookmarkStart w:id="423" w:name="_Hlk528847449"/>
      <w:r>
        <w:rPr>
          <w:rFonts w:hint="eastAsia" w:ascii="宋体" w:hAnsi="宋体" w:eastAsia="宋体" w:cs="Times New Roman"/>
          <w:kern w:val="0"/>
          <w:sz w:val="20"/>
          <w:szCs w:val="20"/>
          <w:lang w:val="en-US"/>
        </w:rPr>
        <w:t>用于规定</w:t>
      </w:r>
      <w:r>
        <w:rPr>
          <w:rFonts w:hint="eastAsia" w:ascii="宋体" w:hAnsi="宋体" w:eastAsia="宋体" w:cs="Times New Roman"/>
          <w:kern w:val="0"/>
          <w:sz w:val="20"/>
          <w:szCs w:val="20"/>
          <w:lang w:val="en-US" w:eastAsia="zh-CN"/>
        </w:rPr>
        <w:t>适用于副鸡禽杆菌</w:t>
      </w:r>
      <w:r>
        <w:rPr>
          <w:rFonts w:hint="eastAsia" w:ascii="宋体" w:hAnsi="宋体" w:eastAsia="宋体" w:cs="Times New Roman"/>
          <w:b w:val="0"/>
          <w:bCs w:val="0"/>
          <w:color w:val="000000"/>
          <w:kern w:val="0"/>
          <w:sz w:val="20"/>
          <w:szCs w:val="20"/>
          <w:lang w:val="en-US" w:eastAsia="zh-CN" w:bidi="ar"/>
        </w:rPr>
        <w:t>A 型 HN3 株；B 型 HN5 株；C 型 SD3 株</w:t>
      </w:r>
      <w:r>
        <w:rPr>
          <w:rFonts w:hint="eastAsia" w:ascii="宋体" w:hAnsi="宋体" w:eastAsia="宋体" w:cs="Times New Roman"/>
          <w:kern w:val="0"/>
          <w:sz w:val="20"/>
          <w:szCs w:val="20"/>
          <w:lang w:val="en-US" w:eastAsia="zh-CN"/>
        </w:rPr>
        <w:t>培养阶段培养基</w:t>
      </w:r>
      <w:r>
        <w:rPr>
          <w:rFonts w:hint="eastAsia" w:ascii="宋体" w:hAnsi="宋体" w:eastAsia="宋体" w:cs="Times New Roman"/>
          <w:kern w:val="0"/>
          <w:sz w:val="20"/>
          <w:szCs w:val="20"/>
          <w:lang w:val="en-US"/>
        </w:rPr>
        <w:t>的质量标准</w:t>
      </w:r>
      <w:r>
        <w:rPr>
          <w:rFonts w:hint="eastAsia" w:ascii="宋体" w:hAnsi="宋体" w:eastAsia="宋体" w:cs="Times New Roman"/>
          <w:kern w:val="0"/>
          <w:sz w:val="20"/>
          <w:szCs w:val="20"/>
          <w:lang w:val="fr-FR"/>
        </w:rPr>
        <w:t>。</w:t>
      </w:r>
    </w:p>
    <w:bookmarkEnd w:id="423"/>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4" w:name="_Toc14542"/>
      <w:bookmarkStart w:id="425" w:name="_Toc20878"/>
      <w:r>
        <w:rPr>
          <w:rFonts w:hint="eastAsia" w:ascii="宋体" w:hAnsi="宋体" w:eastAsia="宋体" w:cs="Times New Roman"/>
          <w:b/>
          <w:caps/>
          <w:color w:val="000000"/>
          <w:kern w:val="28"/>
          <w:sz w:val="30"/>
          <w:szCs w:val="30"/>
          <w:lang w:val="en-US" w:eastAsia="zh-CN" w:bidi="ar-SA"/>
        </w:rPr>
        <w:t>技术规格</w:t>
      </w:r>
      <w:bookmarkEnd w:id="424"/>
      <w:bookmarkEnd w:id="425"/>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s="Times New Roman"/>
          <w:color w:val="000000"/>
          <w:kern w:val="0"/>
          <w:sz w:val="20"/>
          <w:szCs w:val="20"/>
          <w:lang w:val="en-US"/>
        </w:rPr>
        <w:t>URS中用户仅提出基本的质量要求，并未涵盖和限制制造商所提供的产品具有更高的制造标准。制造方的产品应满足国家有关规范和强制性标准要求。</w:t>
      </w:r>
    </w:p>
    <w:p>
      <w:pPr>
        <w:keepNext/>
        <w:numPr>
          <w:ilvl w:val="0"/>
          <w:numId w:val="0"/>
        </w:numPr>
        <w:spacing w:before="240" w:beforeLines="0" w:after="60" w:afterLines="0"/>
        <w:ind w:left="360" w:firstLine="0"/>
        <w:outlineLvl w:val="1"/>
        <w:rPr>
          <w:rFonts w:hint="eastAsia" w:ascii="宋体" w:hAnsi="宋体" w:eastAsia="宋体" w:cs="宋体"/>
          <w:b/>
          <w:kern w:val="2"/>
          <w:sz w:val="21"/>
          <w:szCs w:val="24"/>
          <w:highlight w:val="none"/>
          <w:lang w:val="en-US" w:eastAsia="zh-CN" w:bidi="ar-SA"/>
        </w:rPr>
      </w:pPr>
      <w:r>
        <w:rPr>
          <w:rFonts w:hint="eastAsia" w:ascii="Times New Roman" w:hAnsi="Times New Roman" w:eastAsia="宋体" w:cs="Times New Roman"/>
          <w:b/>
          <w:kern w:val="0"/>
          <w:sz w:val="28"/>
          <w:szCs w:val="20"/>
          <w:lang w:val="en-US" w:eastAsia="zh-CN" w:bidi="ar-SA"/>
        </w:rPr>
        <w:t>培养基</w:t>
      </w:r>
      <w:r>
        <w:rPr>
          <w:rFonts w:hint="eastAsia" w:ascii="Times New Roman" w:hAnsi="Times New Roman" w:eastAsia="宋体" w:cs="Times New Roman"/>
          <w:b/>
          <w:sz w:val="28"/>
          <w:lang w:val="en-US" w:eastAsia="zh-CN" w:bidi="ar-SA"/>
        </w:rPr>
        <w:t>质量标准</w:t>
      </w:r>
      <w:bookmarkEnd w:id="419"/>
      <w:bookmarkStart w:id="426" w:name="_Toc345051512"/>
      <w:bookmarkStart w:id="427" w:name="_Toc23939"/>
      <w:bookmarkStart w:id="428" w:name="_Toc4099"/>
      <w:bookmarkStart w:id="429" w:name="_Toc18770"/>
      <w:bookmarkStart w:id="430" w:name="_Toc14874"/>
      <w:bookmarkStart w:id="431" w:name="_Toc7699"/>
      <w:bookmarkStart w:id="432" w:name="_Toc31996"/>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包装需求</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.1.1包装规格：各组分装量均为配制100L培养基所需的量</w:t>
      </w:r>
      <w:r>
        <w:rPr>
          <w:rFonts w:hint="eastAsia" w:ascii="宋体" w:hAnsi="宋体" w:eastAsia="宋体" w:cs="宋体"/>
          <w:kern w:val="2"/>
          <w:sz w:val="21"/>
          <w:szCs w:val="21"/>
          <w:highlight w:val="none"/>
          <w:lang w:val="en-US" w:eastAsia="zh-CN"/>
        </w:rPr>
        <w:t>，即100L包装每袋</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.1.2标签：完整清晰的显示产品名称、批号、生产日期、有效期等信息</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.1.3包装材料：粉末组分直接接触包装材料使用铝箔纸</w:t>
      </w:r>
      <w:r>
        <w:rPr>
          <w:rFonts w:hint="eastAsia" w:ascii="宋体" w:hAnsi="宋体" w:eastAsia="宋体" w:cs="宋体"/>
          <w:kern w:val="2"/>
          <w:sz w:val="21"/>
          <w:szCs w:val="21"/>
          <w:highlight w:val="none"/>
          <w:lang w:val="en-US" w:eastAsia="zh-CN"/>
        </w:rPr>
        <w:t>包装</w:t>
      </w:r>
      <w:r>
        <w:rPr>
          <w:rFonts w:hint="eastAsia" w:ascii="宋体" w:hAnsi="宋体" w:eastAsia="宋体" w:cs="宋体"/>
          <w:kern w:val="2"/>
          <w:sz w:val="21"/>
          <w:szCs w:val="21"/>
          <w:highlight w:val="none"/>
          <w:lang w:val="en-US"/>
        </w:rPr>
        <w:t>要求，液体成分直接接触材料使用PP塑料瓶包装。</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.1.4各组分装箱需合理，方便出入库。</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.1.5泡沫箱及外包装材料需结实耐用，严禁出现运输过程损坏影响产品质量。</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质量需求</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.2.1性状：固体组分为</w:t>
      </w:r>
      <w:r>
        <w:rPr>
          <w:rFonts w:hint="eastAsia" w:ascii="宋体" w:hAnsi="宋体" w:eastAsia="宋体" w:cs="宋体"/>
          <w:kern w:val="2"/>
          <w:sz w:val="21"/>
          <w:szCs w:val="21"/>
          <w:highlight w:val="none"/>
          <w:lang w:val="en-US" w:eastAsia="zh-CN"/>
        </w:rPr>
        <w:t>淡黄色粉末</w:t>
      </w:r>
      <w:r>
        <w:rPr>
          <w:rFonts w:hint="eastAsia" w:ascii="宋体" w:hAnsi="宋体" w:eastAsia="宋体" w:cs="宋体"/>
          <w:kern w:val="2"/>
          <w:sz w:val="21"/>
          <w:szCs w:val="21"/>
          <w:highlight w:val="none"/>
          <w:lang w:val="en-US"/>
        </w:rPr>
        <w:t>，120目通过率≥70%，液体组分为澄清</w:t>
      </w:r>
      <w:r>
        <w:rPr>
          <w:rFonts w:hint="eastAsia" w:ascii="宋体" w:hAnsi="宋体" w:eastAsia="宋体" w:cs="宋体"/>
          <w:kern w:val="2"/>
          <w:sz w:val="21"/>
          <w:szCs w:val="21"/>
          <w:highlight w:val="none"/>
          <w:lang w:val="en-US" w:eastAsia="zh-CN"/>
        </w:rPr>
        <w:t>无沉淀</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.2.2pH值（每升标示量/L）为</w:t>
      </w:r>
      <w:r>
        <w:rPr>
          <w:rFonts w:hint="eastAsia" w:ascii="宋体" w:hAnsi="宋体" w:eastAsia="宋体" w:cs="宋体"/>
          <w:kern w:val="2"/>
          <w:sz w:val="21"/>
          <w:szCs w:val="21"/>
          <w:highlight w:val="none"/>
          <w:lang w:val="en-US" w:eastAsia="zh-CN"/>
        </w:rPr>
        <w:t>5.5</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7.5</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.2.3干燥减量的质量分数应≤</w:t>
      </w:r>
      <w:r>
        <w:rPr>
          <w:rFonts w:hint="eastAsia" w:ascii="宋体" w:hAnsi="宋体" w:eastAsia="宋体" w:cs="宋体"/>
          <w:kern w:val="2"/>
          <w:sz w:val="21"/>
          <w:szCs w:val="21"/>
          <w:highlight w:val="none"/>
          <w:lang w:val="en-US" w:eastAsia="zh-CN"/>
        </w:rPr>
        <w:t>6.0</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.2.4配制后渗透压：</w:t>
      </w:r>
      <w:r>
        <w:rPr>
          <w:rFonts w:hint="eastAsia" w:ascii="宋体" w:hAnsi="宋体" w:eastAsia="宋体" w:cs="宋体"/>
          <w:kern w:val="2"/>
          <w:sz w:val="21"/>
          <w:szCs w:val="21"/>
          <w:highlight w:val="none"/>
          <w:lang w:val="en-US" w:eastAsia="zh-CN"/>
        </w:rPr>
        <w:t>180</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220</w:t>
      </w:r>
      <w:r>
        <w:rPr>
          <w:rFonts w:hint="eastAsia" w:ascii="宋体" w:hAnsi="宋体" w:eastAsia="宋体" w:cs="宋体"/>
          <w:kern w:val="2"/>
          <w:sz w:val="21"/>
          <w:szCs w:val="21"/>
          <w:highlight w:val="none"/>
          <w:lang w:val="en-US"/>
        </w:rPr>
        <w:t xml:space="preserve"> mOsm/kg。</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.2.5微生物限度：细菌数≤</w:t>
      </w:r>
      <w:r>
        <w:rPr>
          <w:rFonts w:hint="eastAsia" w:ascii="宋体" w:hAnsi="宋体" w:eastAsia="宋体" w:cs="宋体"/>
          <w:kern w:val="2"/>
          <w:sz w:val="21"/>
          <w:szCs w:val="21"/>
          <w:highlight w:val="none"/>
          <w:lang w:val="en-US" w:eastAsia="zh-CN"/>
        </w:rPr>
        <w:t>1000</w:t>
      </w:r>
      <w:r>
        <w:rPr>
          <w:rFonts w:hint="eastAsia" w:ascii="宋体" w:hAnsi="宋体" w:eastAsia="宋体" w:cs="宋体"/>
          <w:kern w:val="2"/>
          <w:sz w:val="21"/>
          <w:szCs w:val="21"/>
          <w:highlight w:val="none"/>
          <w:lang w:val="en-US"/>
        </w:rPr>
        <w:t xml:space="preserve"> CFU/g；霉菌数≤</w:t>
      </w:r>
      <w:r>
        <w:rPr>
          <w:rFonts w:hint="eastAsia" w:ascii="宋体" w:hAnsi="宋体" w:eastAsia="宋体" w:cs="宋体"/>
          <w:kern w:val="2"/>
          <w:sz w:val="21"/>
          <w:szCs w:val="21"/>
          <w:highlight w:val="none"/>
          <w:lang w:val="en-US" w:eastAsia="zh-CN"/>
        </w:rPr>
        <w:t>1000</w:t>
      </w:r>
      <w:r>
        <w:rPr>
          <w:rFonts w:hint="eastAsia" w:ascii="宋体" w:hAnsi="宋体" w:eastAsia="宋体" w:cs="宋体"/>
          <w:kern w:val="2"/>
          <w:sz w:val="21"/>
          <w:szCs w:val="21"/>
          <w:highlight w:val="none"/>
          <w:lang w:val="en-US"/>
        </w:rPr>
        <w:t xml:space="preserve"> CFU/g。</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.2.6</w:t>
      </w:r>
      <w:r>
        <w:rPr>
          <w:rFonts w:hint="eastAsia" w:ascii="宋体" w:hAnsi="宋体" w:eastAsia="宋体" w:cs="宋体"/>
          <w:kern w:val="2"/>
          <w:sz w:val="21"/>
          <w:szCs w:val="21"/>
          <w:highlight w:val="none"/>
          <w:lang w:val="en-US" w:eastAsia="zh-CN"/>
        </w:rPr>
        <w:t>干粉培养基配制后</w:t>
      </w:r>
      <w:r>
        <w:rPr>
          <w:rFonts w:hint="eastAsia" w:ascii="宋体" w:hAnsi="宋体" w:eastAsia="宋体" w:cs="宋体"/>
          <w:kern w:val="2"/>
          <w:sz w:val="21"/>
          <w:szCs w:val="21"/>
          <w:highlight w:val="none"/>
          <w:lang w:val="en-US"/>
        </w:rPr>
        <w:t>细菌内毒素应</w:t>
      </w:r>
      <w:r>
        <w:rPr>
          <w:rFonts w:hint="eastAsia" w:ascii="宋体" w:hAnsi="宋体" w:eastAsia="宋体" w:cs="宋体"/>
          <w:kern w:val="2"/>
          <w:sz w:val="21"/>
          <w:szCs w:val="21"/>
          <w:highlight w:val="none"/>
          <w:lang w:val="en-US" w:eastAsia="zh-CN"/>
        </w:rPr>
        <w:t>不高于5</w:t>
      </w:r>
      <w:r>
        <w:rPr>
          <w:rFonts w:hint="eastAsia" w:ascii="宋体" w:hAnsi="宋体" w:eastAsia="宋体" w:cs="宋体"/>
          <w:kern w:val="2"/>
          <w:sz w:val="21"/>
          <w:szCs w:val="21"/>
          <w:highlight w:val="none"/>
          <w:lang w:val="en-US"/>
        </w:rPr>
        <w:t>EU/ml。</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w:t>
      </w: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试验</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在相同条件下，</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量需不低于对照培养基</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量，且</w:t>
      </w:r>
      <w:r>
        <w:rPr>
          <w:rFonts w:hint="eastAsia" w:ascii="宋体" w:hAnsi="宋体" w:eastAsia="宋体" w:cs="宋体"/>
          <w:kern w:val="2"/>
          <w:sz w:val="21"/>
          <w:szCs w:val="21"/>
          <w:highlight w:val="none"/>
          <w:lang w:val="en-US" w:eastAsia="zh-CN"/>
        </w:rPr>
        <w:t>效价及细菌增殖</w:t>
      </w:r>
      <w:r>
        <w:rPr>
          <w:rFonts w:hint="eastAsia" w:ascii="宋体" w:hAnsi="宋体" w:eastAsia="宋体" w:cs="宋体"/>
          <w:kern w:val="2"/>
          <w:sz w:val="21"/>
          <w:szCs w:val="21"/>
          <w:highlight w:val="none"/>
          <w:lang w:val="en-US"/>
        </w:rPr>
        <w:t>符合公司内控质量标准。</w:t>
      </w:r>
    </w:p>
    <w:bookmarkEnd w:id="426"/>
    <w:bookmarkEnd w:id="427"/>
    <w:bookmarkEnd w:id="428"/>
    <w:bookmarkEnd w:id="429"/>
    <w:bookmarkEnd w:id="430"/>
    <w:bookmarkEnd w:id="431"/>
    <w:bookmarkEnd w:id="432"/>
    <w:p>
      <w:pPr>
        <w:keepNext/>
        <w:numPr>
          <w:ilvl w:val="1"/>
          <w:numId w:val="15"/>
        </w:numPr>
        <w:spacing w:before="240" w:beforeLines="0" w:after="60" w:afterLines="0"/>
        <w:outlineLvl w:val="1"/>
        <w:rPr>
          <w:rFonts w:hint="eastAsia" w:ascii="Times New Roman" w:hAnsi="Times New Roman" w:eastAsia="宋体" w:cs="Times New Roman"/>
          <w:b/>
          <w:sz w:val="28"/>
          <w:lang w:val="en-GB" w:eastAsia="zh-CN" w:bidi="ar-SA"/>
        </w:rPr>
      </w:pPr>
      <w:r>
        <w:rPr>
          <w:rFonts w:hint="eastAsia" w:ascii="Times New Roman" w:hAnsi="Times New Roman" w:eastAsia="宋体" w:cs="Times New Roman"/>
          <w:b/>
          <w:sz w:val="28"/>
          <w:lang w:val="en-US" w:eastAsia="zh-CN" w:bidi="ar-SA"/>
        </w:rPr>
        <w:t>收货标准</w:t>
      </w:r>
    </w:p>
    <w:p>
      <w:pPr>
        <w:keepNext/>
        <w:numPr>
          <w:ilvl w:val="2"/>
          <w:numId w:val="15"/>
        </w:numPr>
        <w:spacing w:before="240" w:beforeLines="0" w:after="60" w:afterLines="0"/>
        <w:ind w:left="904"/>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如有破损，剔除破损数量，按实际收货数量计算。</w:t>
      </w:r>
    </w:p>
    <w:p>
      <w:pPr>
        <w:keepNext/>
        <w:numPr>
          <w:ilvl w:val="2"/>
          <w:numId w:val="15"/>
        </w:numPr>
        <w:spacing w:before="240" w:beforeLines="0" w:after="60" w:afterLines="0"/>
        <w:ind w:left="904"/>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同一次供货，对于同一品种、同一规格、同一剂型的，供应商应提供同一批号的产品，若因特殊原因不能满足要求，须提前与采购方协商解决，否则采购方拒收</w:t>
      </w:r>
    </w:p>
    <w:p>
      <w:pPr>
        <w:keepNext/>
        <w:numPr>
          <w:ilvl w:val="2"/>
          <w:numId w:val="15"/>
        </w:numPr>
        <w:spacing w:before="240" w:beforeLines="0" w:after="60" w:afterLines="0"/>
        <w:ind w:left="904"/>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因产品的特殊性，成交供应商应免费供产品小试三批，每批产品不低于100L培养基，若小试不合格，对试用培养基不予结算且有权退回该批次产品。</w:t>
      </w:r>
    </w:p>
    <w:p>
      <w:pPr>
        <w:keepNext/>
        <w:numPr>
          <w:ilvl w:val="0"/>
          <w:numId w:val="0"/>
        </w:numPr>
        <w:spacing w:before="240" w:beforeLines="0" w:after="60" w:afterLines="0"/>
        <w:ind w:left="425" w:firstLine="0"/>
        <w:outlineLvl w:val="2"/>
        <w:rPr>
          <w:rFonts w:hint="eastAsia" w:ascii="Times New Roman" w:hAnsi="Times New Roman" w:eastAsia="宋体" w:cs="Times New Roman"/>
          <w:i/>
          <w:sz w:val="24"/>
          <w:lang w:val="en-GB" w:eastAsia="zh-CN" w:bidi="ar-SA"/>
        </w:rPr>
      </w:pP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4"/>
  </w:num>
  <w:num w:numId="5">
    <w:abstractNumId w:val="2"/>
  </w:num>
  <w:num w:numId="6">
    <w:abstractNumId w:val="13"/>
  </w:num>
  <w:num w:numId="7">
    <w:abstractNumId w:val="10"/>
  </w:num>
  <w:num w:numId="8">
    <w:abstractNumId w:val="5"/>
  </w:num>
  <w:num w:numId="9">
    <w:abstractNumId w:val="0"/>
  </w:num>
  <w:num w:numId="10">
    <w:abstractNumId w:val="11"/>
  </w:num>
  <w:num w:numId="11">
    <w:abstractNumId w:val="9"/>
  </w:num>
  <w:num w:numId="12">
    <w:abstractNumId w:val="1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A66DA7"/>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013547"/>
    <w:rsid w:val="55AB065F"/>
    <w:rsid w:val="55FA184D"/>
    <w:rsid w:val="56074CC6"/>
    <w:rsid w:val="56456AAE"/>
    <w:rsid w:val="566A5FD0"/>
    <w:rsid w:val="574F5F4C"/>
    <w:rsid w:val="589715D5"/>
    <w:rsid w:val="59FA3F6D"/>
    <w:rsid w:val="5A0A5462"/>
    <w:rsid w:val="5AAF3A76"/>
    <w:rsid w:val="5ADB1E70"/>
    <w:rsid w:val="5B385ECE"/>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17335</Words>
  <Characters>18288</Characters>
  <Lines>243</Lines>
  <Paragraphs>68</Paragraphs>
  <TotalTime>4</TotalTime>
  <ScaleCrop>false</ScaleCrop>
  <LinksUpToDate>false</LinksUpToDate>
  <CharactersWithSpaces>20022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2025-11-25T00:14:22Z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