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rPr>
          <w:rFonts w:hint="eastAsia" w:ascii="宋体" w:hAnsi="宋体"/>
          <w:b/>
          <w:szCs w:val="21"/>
        </w:rPr>
      </w:pPr>
    </w:p>
    <w:p>
      <w:pPr>
        <w:jc w:val="center"/>
        <w:rPr>
          <w:rFonts w:hint="eastAsia" w:ascii="宋体" w:hAnsi="宋体"/>
          <w:b/>
          <w:szCs w:val="21"/>
        </w:rPr>
      </w:pPr>
      <w:bookmarkStart w:id="0" w:name="_Toc152042286"/>
      <w:bookmarkStart w:id="1" w:name="_Toc144974478"/>
    </w:p>
    <w:p>
      <w:pPr>
        <w:jc w:val="center"/>
        <w:rPr>
          <w:rFonts w:ascii="宋体" w:hAnsi="宋体"/>
          <w:b/>
          <w:sz w:val="72"/>
          <w:szCs w:val="72"/>
        </w:rPr>
      </w:pPr>
      <w:r>
        <w:rPr>
          <w:rFonts w:hint="eastAsia" w:ascii="宋体" w:hAnsi="宋体"/>
          <w:b/>
          <w:sz w:val="72"/>
          <w:szCs w:val="72"/>
        </w:rPr>
        <w:t>招  标  文  件</w:t>
      </w:r>
    </w:p>
    <w:p>
      <w:pPr>
        <w:jc w:val="center"/>
        <w:rPr>
          <w:rFonts w:ascii="宋体" w:hAnsi="宋体"/>
          <w:b/>
          <w:szCs w:val="21"/>
        </w:rPr>
      </w:pPr>
    </w:p>
    <w:p>
      <w:pPr>
        <w:pStyle w:val="2"/>
        <w:tabs>
          <w:tab w:val="left" w:pos="5040"/>
        </w:tabs>
        <w:spacing w:before="0" w:after="0"/>
        <w:outlineLvl w:val="9"/>
        <w:rPr>
          <w:rFonts w:hint="eastAsia" w:ascii="宋体" w:hAnsi="宋体"/>
          <w:sz w:val="21"/>
          <w:szCs w:val="21"/>
        </w:rPr>
      </w:pPr>
    </w:p>
    <w:p>
      <w:pPr>
        <w:rPr>
          <w:rFonts w:hint="eastAsia" w:ascii="宋体" w:hAnsi="宋体"/>
          <w:szCs w:val="21"/>
        </w:rPr>
      </w:pPr>
    </w:p>
    <w:p>
      <w:pPr>
        <w:rPr>
          <w:rFonts w:hint="eastAsia" w:ascii="宋体" w:hAnsi="宋体"/>
          <w:szCs w:val="21"/>
        </w:rPr>
      </w:pPr>
    </w:p>
    <w:p>
      <w:pPr>
        <w:rPr>
          <w:rFonts w:ascii="宋体" w:hAnsi="宋体"/>
          <w:szCs w:val="21"/>
        </w:rPr>
      </w:pPr>
    </w:p>
    <w:p>
      <w:pPr>
        <w:pStyle w:val="9"/>
        <w:spacing w:line="360" w:lineRule="auto"/>
        <w:ind w:left="1440" w:right="-22" w:firstLine="422"/>
        <w:rPr>
          <w:rFonts w:ascii="宋体" w:hAnsi="宋体"/>
          <w:b/>
          <w:szCs w:val="21"/>
        </w:rPr>
      </w:pPr>
    </w:p>
    <w:p>
      <w:pPr>
        <w:pStyle w:val="9"/>
        <w:tabs>
          <w:tab w:val="left" w:pos="7230"/>
        </w:tabs>
        <w:spacing w:line="360" w:lineRule="auto"/>
        <w:ind w:left="1440" w:right="-22" w:firstLine="602"/>
        <w:rPr>
          <w:rFonts w:hint="default" w:ascii="宋体" w:hAnsi="宋体" w:eastAsia="宋体"/>
          <w:b/>
          <w:sz w:val="30"/>
          <w:szCs w:val="30"/>
          <w:highlight w:val="yellow"/>
          <w:lang w:val="en-US" w:eastAsia="zh-CN"/>
        </w:rPr>
      </w:pPr>
      <w:r>
        <w:rPr>
          <w:rFonts w:hint="eastAsia" w:ascii="宋体" w:hAnsi="宋体"/>
          <w:b/>
          <w:sz w:val="30"/>
          <w:szCs w:val="30"/>
        </w:rPr>
        <w:t xml:space="preserve">招标文件编号： </w:t>
      </w:r>
      <w:r>
        <w:rPr>
          <w:rFonts w:ascii="宋体" w:hAnsi="宋体"/>
          <w:b/>
          <w:sz w:val="30"/>
          <w:szCs w:val="30"/>
          <w:highlight w:val="yellow"/>
        </w:rPr>
        <w:t xml:space="preserve"> </w:t>
      </w:r>
      <w:r>
        <w:rPr>
          <w:rFonts w:hint="eastAsia" w:ascii="宋体" w:hAnsi="宋体"/>
          <w:b/>
          <w:sz w:val="30"/>
          <w:szCs w:val="30"/>
          <w:highlight w:val="yellow"/>
        </w:rPr>
        <w:t>WKZB-202</w:t>
      </w:r>
      <w:r>
        <w:rPr>
          <w:rFonts w:hint="eastAsia" w:ascii="宋体" w:hAnsi="宋体"/>
          <w:b/>
          <w:sz w:val="30"/>
          <w:szCs w:val="30"/>
          <w:highlight w:val="yellow"/>
          <w:lang w:val="en-US" w:eastAsia="zh-CN"/>
        </w:rPr>
        <w:t>5</w:t>
      </w:r>
      <w:r>
        <w:rPr>
          <w:rFonts w:hint="eastAsia" w:ascii="宋体" w:hAnsi="宋体"/>
          <w:b/>
          <w:sz w:val="30"/>
          <w:szCs w:val="30"/>
          <w:highlight w:val="yellow"/>
        </w:rPr>
        <w:t>-0</w:t>
      </w:r>
      <w:r>
        <w:rPr>
          <w:rFonts w:hint="eastAsia" w:ascii="宋体" w:hAnsi="宋体"/>
          <w:b/>
          <w:sz w:val="30"/>
          <w:szCs w:val="30"/>
          <w:highlight w:val="yellow"/>
          <w:lang w:val="en-US" w:eastAsia="zh-CN"/>
        </w:rPr>
        <w:t>23</w:t>
      </w:r>
    </w:p>
    <w:p>
      <w:pPr>
        <w:pStyle w:val="9"/>
        <w:tabs>
          <w:tab w:val="left" w:pos="7230"/>
        </w:tabs>
        <w:spacing w:line="360" w:lineRule="auto"/>
        <w:ind w:left="1440" w:right="-22" w:firstLine="602"/>
        <w:rPr>
          <w:rFonts w:hint="default" w:ascii="宋体" w:hAnsi="宋体" w:eastAsia="宋体"/>
          <w:b/>
          <w:sz w:val="30"/>
          <w:szCs w:val="30"/>
          <w:lang w:val="en-US" w:eastAsia="zh-CN"/>
        </w:rPr>
      </w:pPr>
      <w:r>
        <w:rPr>
          <w:rFonts w:hint="eastAsia" w:ascii="宋体" w:hAnsi="宋体"/>
          <w:b/>
          <w:sz w:val="30"/>
          <w:szCs w:val="30"/>
          <w:lang w:eastAsia="zh-CN"/>
        </w:rPr>
        <w:t>项目</w:t>
      </w:r>
      <w:r>
        <w:rPr>
          <w:rFonts w:hint="eastAsia" w:ascii="宋体" w:hAnsi="宋体"/>
          <w:b/>
          <w:sz w:val="30"/>
          <w:szCs w:val="30"/>
        </w:rPr>
        <w:t>名称：</w:t>
      </w:r>
      <w:r>
        <w:rPr>
          <w:rFonts w:hint="eastAsia" w:ascii="宋体" w:hAnsi="宋体"/>
          <w:b/>
          <w:sz w:val="30"/>
          <w:szCs w:val="30"/>
          <w:lang w:val="en-US" w:eastAsia="zh-CN"/>
        </w:rPr>
        <w:t>环保三废检测</w:t>
      </w:r>
    </w:p>
    <w:p>
      <w:pPr>
        <w:ind w:firstLine="2126" w:firstLineChars="706"/>
        <w:rPr>
          <w:rFonts w:ascii="宋体" w:hAnsi="宋体"/>
          <w:b/>
          <w:sz w:val="30"/>
          <w:szCs w:val="30"/>
        </w:rPr>
      </w:pPr>
      <w:r>
        <w:rPr>
          <w:rFonts w:hint="eastAsia" w:ascii="宋体" w:hAnsi="宋体"/>
          <w:b/>
          <w:sz w:val="30"/>
          <w:szCs w:val="30"/>
        </w:rPr>
        <w:t>招标人：国药集团扬州威克生物工程有限公司</w:t>
      </w:r>
    </w:p>
    <w:p>
      <w:pPr>
        <w:pStyle w:val="9"/>
        <w:tabs>
          <w:tab w:val="left" w:pos="3045"/>
        </w:tabs>
        <w:spacing w:line="360" w:lineRule="auto"/>
        <w:ind w:left="1440" w:right="-22" w:firstLine="602"/>
        <w:rPr>
          <w:rFonts w:ascii="宋体" w:hAnsi="宋体"/>
          <w:b/>
          <w:sz w:val="30"/>
          <w:szCs w:val="30"/>
        </w:rPr>
      </w:pPr>
    </w:p>
    <w:p>
      <w:pPr>
        <w:spacing w:line="360" w:lineRule="auto"/>
        <w:rPr>
          <w:rFonts w:ascii="宋体" w:hAnsi="宋体"/>
          <w:sz w:val="30"/>
          <w:szCs w:val="30"/>
        </w:rPr>
      </w:pPr>
    </w:p>
    <w:p>
      <w:pPr>
        <w:pStyle w:val="9"/>
        <w:tabs>
          <w:tab w:val="left" w:pos="3675"/>
          <w:tab w:val="left" w:pos="5040"/>
        </w:tabs>
        <w:spacing w:line="360" w:lineRule="auto"/>
        <w:ind w:right="-22" w:firstLine="422"/>
        <w:rPr>
          <w:rFonts w:ascii="宋体" w:hAnsi="宋体"/>
          <w:b/>
          <w:szCs w:val="21"/>
        </w:rPr>
      </w:pPr>
      <w:r>
        <w:rPr>
          <w:rFonts w:hint="eastAsia" w:ascii="宋体" w:hAnsi="宋体"/>
          <w:b/>
          <w:szCs w:val="21"/>
        </w:rPr>
        <w:t xml:space="preserve">             </w:t>
      </w:r>
    </w:p>
    <w:p>
      <w:pPr>
        <w:pStyle w:val="9"/>
        <w:tabs>
          <w:tab w:val="left" w:pos="3675"/>
          <w:tab w:val="left" w:pos="5040"/>
        </w:tabs>
        <w:spacing w:line="360" w:lineRule="auto"/>
        <w:ind w:right="-22" w:firstLine="1476" w:firstLineChars="700"/>
        <w:rPr>
          <w:rFonts w:hint="eastAsia" w:ascii="宋体" w:hAnsi="宋体"/>
          <w:b/>
          <w:szCs w:val="21"/>
        </w:rPr>
      </w:pPr>
      <w:r>
        <w:rPr>
          <w:rFonts w:hint="eastAsia" w:ascii="宋体" w:hAnsi="宋体"/>
          <w:b/>
          <w:szCs w:val="21"/>
        </w:rPr>
        <w:t xml:space="preserve">    </w:t>
      </w:r>
    </w:p>
    <w:p>
      <w:pPr>
        <w:pStyle w:val="9"/>
        <w:tabs>
          <w:tab w:val="left" w:pos="3675"/>
          <w:tab w:val="left" w:pos="5040"/>
        </w:tabs>
        <w:spacing w:line="360" w:lineRule="auto"/>
        <w:ind w:right="-22" w:firstLine="1476" w:firstLineChars="700"/>
        <w:rPr>
          <w:rFonts w:hint="eastAsia" w:ascii="宋体" w:hAnsi="宋体"/>
          <w:b/>
          <w:szCs w:val="21"/>
        </w:rPr>
      </w:pPr>
    </w:p>
    <w:p>
      <w:pPr>
        <w:pStyle w:val="9"/>
        <w:tabs>
          <w:tab w:val="left" w:pos="3675"/>
          <w:tab w:val="left" w:pos="5040"/>
        </w:tabs>
        <w:spacing w:line="360" w:lineRule="auto"/>
        <w:ind w:right="-22" w:firstLine="1476" w:firstLineChars="700"/>
        <w:rPr>
          <w:rFonts w:hint="eastAsia" w:ascii="宋体" w:hAnsi="宋体"/>
          <w:b/>
          <w:szCs w:val="21"/>
        </w:rPr>
      </w:pPr>
    </w:p>
    <w:p>
      <w:pPr>
        <w:pStyle w:val="9"/>
        <w:tabs>
          <w:tab w:val="left" w:pos="3675"/>
          <w:tab w:val="left" w:pos="5040"/>
        </w:tabs>
        <w:spacing w:line="360" w:lineRule="auto"/>
        <w:ind w:right="-22" w:firstLine="0" w:firstLineChars="0"/>
        <w:jc w:val="center"/>
        <w:rPr>
          <w:rFonts w:ascii="宋体" w:hAnsi="宋体"/>
          <w:b/>
          <w:sz w:val="32"/>
          <w:szCs w:val="32"/>
        </w:rPr>
      </w:pPr>
      <w:r>
        <w:rPr>
          <w:rFonts w:hint="eastAsia" w:ascii="宋体" w:hAnsi="宋体"/>
          <w:b/>
          <w:sz w:val="32"/>
          <w:szCs w:val="32"/>
        </w:rPr>
        <w:t>国药集团扬州威克生物工程有限公司</w:t>
      </w:r>
    </w:p>
    <w:p>
      <w:pPr>
        <w:pStyle w:val="9"/>
        <w:tabs>
          <w:tab w:val="left" w:pos="5040"/>
        </w:tabs>
        <w:spacing w:line="360" w:lineRule="auto"/>
        <w:ind w:right="-22" w:firstLine="0" w:firstLineChars="0"/>
        <w:jc w:val="center"/>
        <w:rPr>
          <w:rFonts w:ascii="宋体" w:hAnsi="宋体"/>
          <w:b/>
          <w:sz w:val="32"/>
          <w:szCs w:val="32"/>
        </w:rPr>
      </w:pPr>
      <w:r>
        <w:rPr>
          <w:rFonts w:hint="eastAsia" w:ascii="宋体" w:hAnsi="宋体"/>
          <w:b/>
          <w:sz w:val="32"/>
          <w:szCs w:val="32"/>
        </w:rPr>
        <w:t>二○二</w:t>
      </w:r>
      <w:r>
        <w:rPr>
          <w:rFonts w:hint="eastAsia" w:ascii="宋体" w:hAnsi="宋体"/>
          <w:b/>
          <w:sz w:val="32"/>
          <w:szCs w:val="32"/>
          <w:lang w:val="en-US" w:eastAsia="zh-CN"/>
        </w:rPr>
        <w:t>五</w:t>
      </w:r>
      <w:r>
        <w:rPr>
          <w:rFonts w:hint="eastAsia" w:ascii="宋体" w:hAnsi="宋体"/>
          <w:b/>
          <w:sz w:val="32"/>
          <w:szCs w:val="32"/>
        </w:rPr>
        <w:t>年</w:t>
      </w:r>
      <w:r>
        <w:rPr>
          <w:rFonts w:hint="eastAsia" w:ascii="宋体" w:hAnsi="宋体"/>
          <w:b/>
          <w:sz w:val="32"/>
          <w:szCs w:val="32"/>
          <w:lang w:val="en-US" w:eastAsia="zh-CN"/>
        </w:rPr>
        <w:t>八</w:t>
      </w:r>
      <w:r>
        <w:rPr>
          <w:rFonts w:hint="eastAsia" w:ascii="宋体" w:hAnsi="宋体"/>
          <w:b/>
          <w:sz w:val="32"/>
          <w:szCs w:val="32"/>
        </w:rPr>
        <w:t>月</w:t>
      </w:r>
    </w:p>
    <w:p>
      <w:pPr>
        <w:spacing w:line="360" w:lineRule="auto"/>
        <w:jc w:val="center"/>
        <w:rPr>
          <w:rFonts w:hint="eastAsia" w:ascii="宋体" w:hAnsi="宋体"/>
          <w:b/>
          <w:szCs w:val="21"/>
        </w:rPr>
        <w:sectPr>
          <w:headerReference r:id="rId6" w:type="first"/>
          <w:headerReference r:id="rId4" w:type="default"/>
          <w:headerReference r:id="rId5" w:type="even"/>
          <w:footerReference r:id="rId7" w:type="even"/>
          <w:pgSz w:w="11906" w:h="16838"/>
          <w:pgMar w:top="1134" w:right="1134" w:bottom="1134" w:left="1134" w:header="851" w:footer="992" w:gutter="0"/>
          <w:pgNumType w:start="1"/>
          <w:cols w:space="720" w:num="1"/>
          <w:titlePg/>
          <w:docGrid w:type="lines" w:linePitch="312"/>
        </w:sectPr>
      </w:pPr>
    </w:p>
    <w:bookmarkEnd w:id="0"/>
    <w:bookmarkEnd w:id="1"/>
    <w:p>
      <w:pPr>
        <w:pStyle w:val="35"/>
        <w:rPr>
          <w:rFonts w:hint="eastAsia" w:ascii="宋体" w:hAnsi="宋体"/>
          <w:szCs w:val="21"/>
        </w:rPr>
      </w:pPr>
      <w:r>
        <w:rPr>
          <w:rFonts w:hint="eastAsia" w:ascii="宋体" w:hAnsi="宋体"/>
          <w:szCs w:val="21"/>
        </w:rPr>
        <w:t>目            录</w:t>
      </w:r>
    </w:p>
    <w:p>
      <w:pPr>
        <w:spacing w:before="0" w:after="0" w:line="240" w:lineRule="auto"/>
        <w:ind w:left="0" w:leftChars="0" w:right="0" w:firstLine="0" w:firstLineChars="0"/>
        <w:jc w:val="center"/>
      </w:pPr>
    </w:p>
    <w:p>
      <w:pPr>
        <w:pStyle w:val="35"/>
        <w:tabs>
          <w:tab w:val="right" w:leader="dot" w:pos="8306"/>
          <w:tab w:val="clear" w:pos="8296"/>
        </w:tabs>
        <w:rPr>
          <w:sz w:val="24"/>
          <w:szCs w:val="24"/>
        </w:rPr>
      </w:pPr>
      <w:r>
        <w:rPr>
          <w:rFonts w:hint="eastAsia" w:ascii="宋体" w:hAnsi="宋体"/>
          <w:sz w:val="21"/>
          <w:szCs w:val="21"/>
        </w:rPr>
        <w:fldChar w:fldCharType="begin"/>
      </w:r>
      <w:r>
        <w:rPr>
          <w:rFonts w:hint="eastAsia" w:ascii="宋体" w:hAnsi="宋体"/>
          <w:sz w:val="21"/>
          <w:szCs w:val="21"/>
        </w:rPr>
        <w:instrText xml:space="preserve">TOC \o "1-3" \h \u </w:instrText>
      </w:r>
      <w:r>
        <w:rPr>
          <w:rFonts w:hint="eastAsia" w:ascii="宋体" w:hAnsi="宋体"/>
          <w:sz w:val="21"/>
          <w:szCs w:val="21"/>
        </w:rPr>
        <w:fldChar w:fldCharType="separate"/>
      </w:r>
      <w:r>
        <w:rPr>
          <w:rFonts w:hint="eastAsia" w:ascii="宋体" w:hAnsi="宋体"/>
          <w:sz w:val="24"/>
          <w:szCs w:val="24"/>
        </w:rPr>
        <w:fldChar w:fldCharType="begin"/>
      </w:r>
      <w:r>
        <w:rPr>
          <w:rFonts w:hint="eastAsia" w:ascii="宋体" w:hAnsi="宋体"/>
          <w:sz w:val="24"/>
          <w:szCs w:val="24"/>
        </w:rPr>
        <w:instrText xml:space="preserve"> HYPERLINK \l _Toc30703 </w:instrText>
      </w:r>
      <w:r>
        <w:rPr>
          <w:rFonts w:hint="eastAsia" w:ascii="宋体" w:hAnsi="宋体"/>
          <w:sz w:val="24"/>
          <w:szCs w:val="24"/>
        </w:rPr>
        <w:fldChar w:fldCharType="separate"/>
      </w:r>
      <w:r>
        <w:rPr>
          <w:rFonts w:hint="default" w:ascii="宋体" w:hAnsi="宋体"/>
          <w:bCs/>
          <w:sz w:val="24"/>
          <w:szCs w:val="24"/>
          <w:lang w:val="en-US"/>
        </w:rPr>
        <w:t xml:space="preserve">第一章 </w:t>
      </w:r>
      <w:r>
        <w:rPr>
          <w:rFonts w:hint="eastAsia" w:ascii="宋体" w:hAnsi="宋体"/>
          <w:bCs w:val="0"/>
          <w:sz w:val="24"/>
          <w:szCs w:val="24"/>
        </w:rPr>
        <w:t>投标</w:t>
      </w:r>
      <w:r>
        <w:rPr>
          <w:rFonts w:hint="eastAsia" w:ascii="宋体" w:hAnsi="宋体"/>
          <w:bCs w:val="0"/>
          <w:sz w:val="24"/>
          <w:szCs w:val="24"/>
          <w:lang w:val="en-US" w:eastAsia="zh-CN"/>
        </w:rPr>
        <w:t>公告</w:t>
      </w:r>
      <w:r>
        <w:rPr>
          <w:sz w:val="24"/>
          <w:szCs w:val="24"/>
        </w:rPr>
        <w:tab/>
      </w:r>
      <w:r>
        <w:rPr>
          <w:sz w:val="24"/>
          <w:szCs w:val="24"/>
        </w:rPr>
        <w:fldChar w:fldCharType="begin"/>
      </w:r>
      <w:r>
        <w:rPr>
          <w:sz w:val="24"/>
          <w:szCs w:val="24"/>
        </w:rPr>
        <w:instrText xml:space="preserve"> PAGEREF _Toc30703 \h </w:instrText>
      </w:r>
      <w:r>
        <w:rPr>
          <w:sz w:val="24"/>
          <w:szCs w:val="24"/>
        </w:rPr>
        <w:fldChar w:fldCharType="separate"/>
      </w:r>
      <w:r>
        <w:rPr>
          <w:sz w:val="24"/>
          <w:szCs w:val="24"/>
        </w:rPr>
        <w:t>1</w:t>
      </w:r>
      <w:r>
        <w:rPr>
          <w:sz w:val="24"/>
          <w:szCs w:val="24"/>
        </w:rPr>
        <w:fldChar w:fldCharType="end"/>
      </w:r>
      <w:r>
        <w:rPr>
          <w:rFonts w:hint="eastAsia" w:ascii="宋体" w:hAnsi="宋体"/>
          <w:sz w:val="24"/>
          <w:szCs w:val="24"/>
        </w:rPr>
        <w:fldChar w:fldCharType="end"/>
      </w:r>
    </w:p>
    <w:p>
      <w:pPr>
        <w:pStyle w:val="35"/>
        <w:tabs>
          <w:tab w:val="right" w:leader="dot" w:pos="8306"/>
          <w:tab w:val="clear" w:pos="829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_Toc25653 </w:instrText>
      </w:r>
      <w:r>
        <w:rPr>
          <w:rFonts w:hint="eastAsia" w:ascii="宋体" w:hAnsi="宋体"/>
          <w:sz w:val="24"/>
          <w:szCs w:val="24"/>
        </w:rPr>
        <w:fldChar w:fldCharType="separate"/>
      </w:r>
      <w:r>
        <w:rPr>
          <w:rFonts w:hint="eastAsia" w:ascii="宋体" w:hAnsi="宋体"/>
          <w:bCs w:val="0"/>
          <w:sz w:val="24"/>
          <w:szCs w:val="24"/>
        </w:rPr>
        <w:t>第二章 投标人须知</w:t>
      </w:r>
      <w:r>
        <w:rPr>
          <w:sz w:val="24"/>
          <w:szCs w:val="24"/>
        </w:rPr>
        <w:tab/>
      </w:r>
      <w:r>
        <w:rPr>
          <w:sz w:val="24"/>
          <w:szCs w:val="24"/>
        </w:rPr>
        <w:fldChar w:fldCharType="begin"/>
      </w:r>
      <w:r>
        <w:rPr>
          <w:sz w:val="24"/>
          <w:szCs w:val="24"/>
        </w:rPr>
        <w:instrText xml:space="preserve"> PAGEREF _Toc25653 \h </w:instrText>
      </w:r>
      <w:r>
        <w:rPr>
          <w:sz w:val="24"/>
          <w:szCs w:val="24"/>
        </w:rPr>
        <w:fldChar w:fldCharType="separate"/>
      </w:r>
      <w:r>
        <w:rPr>
          <w:sz w:val="24"/>
          <w:szCs w:val="24"/>
        </w:rPr>
        <w:t>4</w:t>
      </w:r>
      <w:r>
        <w:rPr>
          <w:sz w:val="24"/>
          <w:szCs w:val="24"/>
        </w:rPr>
        <w:fldChar w:fldCharType="end"/>
      </w:r>
      <w:r>
        <w:rPr>
          <w:rFonts w:hint="eastAsia" w:ascii="宋体" w:hAnsi="宋体"/>
          <w:sz w:val="24"/>
          <w:szCs w:val="24"/>
        </w:rPr>
        <w:fldChar w:fldCharType="end"/>
      </w:r>
    </w:p>
    <w:p>
      <w:pPr>
        <w:pStyle w:val="35"/>
        <w:tabs>
          <w:tab w:val="right" w:leader="dot" w:pos="8306"/>
          <w:tab w:val="clear" w:pos="829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_Toc11624 </w:instrText>
      </w:r>
      <w:r>
        <w:rPr>
          <w:rFonts w:hint="eastAsia" w:ascii="宋体" w:hAnsi="宋体"/>
          <w:sz w:val="24"/>
          <w:szCs w:val="24"/>
        </w:rPr>
        <w:fldChar w:fldCharType="separate"/>
      </w:r>
      <w:r>
        <w:rPr>
          <w:rFonts w:hint="eastAsia" w:ascii="宋体" w:hAnsi="宋体"/>
          <w:bCs w:val="0"/>
          <w:sz w:val="24"/>
          <w:szCs w:val="24"/>
        </w:rPr>
        <w:t>第三章 合同条款</w:t>
      </w:r>
      <w:r>
        <w:rPr>
          <w:sz w:val="24"/>
          <w:szCs w:val="24"/>
        </w:rPr>
        <w:tab/>
      </w:r>
      <w:r>
        <w:rPr>
          <w:sz w:val="24"/>
          <w:szCs w:val="24"/>
        </w:rPr>
        <w:fldChar w:fldCharType="begin"/>
      </w:r>
      <w:r>
        <w:rPr>
          <w:sz w:val="24"/>
          <w:szCs w:val="24"/>
        </w:rPr>
        <w:instrText xml:space="preserve"> PAGEREF _Toc11624 \h </w:instrText>
      </w:r>
      <w:r>
        <w:rPr>
          <w:sz w:val="24"/>
          <w:szCs w:val="24"/>
        </w:rPr>
        <w:fldChar w:fldCharType="separate"/>
      </w:r>
      <w:r>
        <w:rPr>
          <w:sz w:val="24"/>
          <w:szCs w:val="24"/>
        </w:rPr>
        <w:t>16</w:t>
      </w:r>
      <w:r>
        <w:rPr>
          <w:sz w:val="24"/>
          <w:szCs w:val="24"/>
        </w:rPr>
        <w:fldChar w:fldCharType="end"/>
      </w:r>
      <w:r>
        <w:rPr>
          <w:rFonts w:hint="eastAsia" w:ascii="宋体" w:hAnsi="宋体"/>
          <w:sz w:val="24"/>
          <w:szCs w:val="24"/>
        </w:rPr>
        <w:fldChar w:fldCharType="end"/>
      </w:r>
    </w:p>
    <w:p>
      <w:pPr>
        <w:pStyle w:val="35"/>
        <w:tabs>
          <w:tab w:val="right" w:leader="dot" w:pos="8306"/>
          <w:tab w:val="clear" w:pos="829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_Toc29842 </w:instrText>
      </w:r>
      <w:r>
        <w:rPr>
          <w:rFonts w:hint="eastAsia" w:ascii="宋体" w:hAnsi="宋体"/>
          <w:sz w:val="24"/>
          <w:szCs w:val="24"/>
        </w:rPr>
        <w:fldChar w:fldCharType="separate"/>
      </w:r>
      <w:r>
        <w:rPr>
          <w:rFonts w:hint="eastAsia" w:ascii="宋体" w:hAnsi="宋体"/>
          <w:sz w:val="24"/>
          <w:szCs w:val="24"/>
        </w:rPr>
        <w:t>第四章 附件—投标文件格式</w:t>
      </w:r>
      <w:r>
        <w:rPr>
          <w:sz w:val="24"/>
          <w:szCs w:val="24"/>
        </w:rPr>
        <w:tab/>
      </w:r>
      <w:r>
        <w:rPr>
          <w:sz w:val="24"/>
          <w:szCs w:val="24"/>
        </w:rPr>
        <w:fldChar w:fldCharType="begin"/>
      </w:r>
      <w:r>
        <w:rPr>
          <w:sz w:val="24"/>
          <w:szCs w:val="24"/>
        </w:rPr>
        <w:instrText xml:space="preserve"> PAGEREF _Toc29842 \h </w:instrText>
      </w:r>
      <w:r>
        <w:rPr>
          <w:sz w:val="24"/>
          <w:szCs w:val="24"/>
        </w:rPr>
        <w:fldChar w:fldCharType="separate"/>
      </w:r>
      <w:r>
        <w:rPr>
          <w:sz w:val="24"/>
          <w:szCs w:val="24"/>
        </w:rPr>
        <w:t>26</w:t>
      </w:r>
      <w:r>
        <w:rPr>
          <w:sz w:val="24"/>
          <w:szCs w:val="24"/>
        </w:rPr>
        <w:fldChar w:fldCharType="end"/>
      </w:r>
      <w:r>
        <w:rPr>
          <w:rFonts w:hint="eastAsia" w:ascii="宋体" w:hAnsi="宋体"/>
          <w:sz w:val="24"/>
          <w:szCs w:val="24"/>
        </w:rPr>
        <w:fldChar w:fldCharType="end"/>
      </w:r>
    </w:p>
    <w:p>
      <w:pPr>
        <w:pStyle w:val="45"/>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_Toc5329 </w:instrText>
      </w:r>
      <w:r>
        <w:rPr>
          <w:rFonts w:hint="eastAsia" w:ascii="宋体" w:hAnsi="宋体"/>
          <w:sz w:val="24"/>
          <w:szCs w:val="24"/>
        </w:rPr>
        <w:fldChar w:fldCharType="separate"/>
      </w:r>
      <w:r>
        <w:rPr>
          <w:rFonts w:hint="eastAsia" w:ascii="宋体" w:hAnsi="宋体" w:eastAsia="宋体"/>
          <w:sz w:val="24"/>
          <w:szCs w:val="24"/>
        </w:rPr>
        <w:t>附件1　投标书（格式）</w:t>
      </w:r>
      <w:r>
        <w:rPr>
          <w:sz w:val="24"/>
          <w:szCs w:val="24"/>
        </w:rPr>
        <w:tab/>
      </w:r>
      <w:r>
        <w:rPr>
          <w:sz w:val="24"/>
          <w:szCs w:val="24"/>
        </w:rPr>
        <w:fldChar w:fldCharType="begin"/>
      </w:r>
      <w:r>
        <w:rPr>
          <w:sz w:val="24"/>
          <w:szCs w:val="24"/>
        </w:rPr>
        <w:instrText xml:space="preserve"> PAGEREF _Toc5329 \h </w:instrText>
      </w:r>
      <w:r>
        <w:rPr>
          <w:sz w:val="24"/>
          <w:szCs w:val="24"/>
        </w:rPr>
        <w:fldChar w:fldCharType="separate"/>
      </w:r>
      <w:r>
        <w:rPr>
          <w:sz w:val="24"/>
          <w:szCs w:val="24"/>
        </w:rPr>
        <w:t>27</w:t>
      </w:r>
      <w:r>
        <w:rPr>
          <w:sz w:val="24"/>
          <w:szCs w:val="24"/>
        </w:rPr>
        <w:fldChar w:fldCharType="end"/>
      </w:r>
      <w:r>
        <w:rPr>
          <w:rFonts w:hint="eastAsia" w:ascii="宋体" w:hAnsi="宋体"/>
          <w:sz w:val="24"/>
          <w:szCs w:val="24"/>
        </w:rPr>
        <w:fldChar w:fldCharType="end"/>
      </w:r>
    </w:p>
    <w:p>
      <w:pPr>
        <w:pStyle w:val="45"/>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_Toc29788 </w:instrText>
      </w:r>
      <w:r>
        <w:rPr>
          <w:rFonts w:hint="eastAsia" w:ascii="宋体" w:hAnsi="宋体"/>
          <w:sz w:val="24"/>
          <w:szCs w:val="24"/>
        </w:rPr>
        <w:fldChar w:fldCharType="separate"/>
      </w:r>
      <w:r>
        <w:rPr>
          <w:rFonts w:hint="eastAsia" w:ascii="宋体" w:hAnsi="宋体" w:eastAsia="宋体"/>
          <w:sz w:val="24"/>
          <w:szCs w:val="24"/>
        </w:rPr>
        <w:t>附件2　开标一览表</w:t>
      </w:r>
      <w:r>
        <w:rPr>
          <w:sz w:val="24"/>
          <w:szCs w:val="24"/>
        </w:rPr>
        <w:tab/>
      </w:r>
      <w:r>
        <w:rPr>
          <w:sz w:val="24"/>
          <w:szCs w:val="24"/>
        </w:rPr>
        <w:fldChar w:fldCharType="begin"/>
      </w:r>
      <w:r>
        <w:rPr>
          <w:sz w:val="24"/>
          <w:szCs w:val="24"/>
        </w:rPr>
        <w:instrText xml:space="preserve"> PAGEREF _Toc29788 \h </w:instrText>
      </w:r>
      <w:r>
        <w:rPr>
          <w:sz w:val="24"/>
          <w:szCs w:val="24"/>
        </w:rPr>
        <w:fldChar w:fldCharType="separate"/>
      </w:r>
      <w:r>
        <w:rPr>
          <w:sz w:val="24"/>
          <w:szCs w:val="24"/>
        </w:rPr>
        <w:t>28</w:t>
      </w:r>
      <w:r>
        <w:rPr>
          <w:sz w:val="24"/>
          <w:szCs w:val="24"/>
        </w:rPr>
        <w:fldChar w:fldCharType="end"/>
      </w:r>
      <w:r>
        <w:rPr>
          <w:rFonts w:hint="eastAsia" w:ascii="宋体" w:hAnsi="宋体"/>
          <w:sz w:val="24"/>
          <w:szCs w:val="24"/>
        </w:rPr>
        <w:fldChar w:fldCharType="end"/>
      </w:r>
    </w:p>
    <w:p>
      <w:pPr>
        <w:pStyle w:val="45"/>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_Toc20884 </w:instrText>
      </w:r>
      <w:r>
        <w:rPr>
          <w:rFonts w:hint="eastAsia" w:ascii="宋体" w:hAnsi="宋体"/>
          <w:sz w:val="24"/>
          <w:szCs w:val="24"/>
        </w:rPr>
        <w:fldChar w:fldCharType="separate"/>
      </w:r>
      <w:r>
        <w:rPr>
          <w:rFonts w:hint="eastAsia" w:ascii="宋体" w:hAnsi="宋体" w:eastAsia="宋体"/>
          <w:sz w:val="24"/>
          <w:szCs w:val="24"/>
        </w:rPr>
        <w:t>附件</w:t>
      </w:r>
      <w:r>
        <w:rPr>
          <w:rFonts w:hint="eastAsia" w:ascii="宋体" w:hAnsi="宋体" w:eastAsia="宋体"/>
          <w:sz w:val="24"/>
          <w:szCs w:val="24"/>
          <w:lang w:val="en-US" w:eastAsia="zh-CN"/>
        </w:rPr>
        <w:t>3</w:t>
      </w:r>
      <w:r>
        <w:rPr>
          <w:rFonts w:hint="eastAsia" w:ascii="宋体" w:hAnsi="宋体" w:eastAsia="宋体"/>
          <w:sz w:val="24"/>
          <w:szCs w:val="24"/>
        </w:rPr>
        <w:t>　商务条款偏离表</w:t>
      </w:r>
      <w:r>
        <w:rPr>
          <w:sz w:val="24"/>
          <w:szCs w:val="24"/>
        </w:rPr>
        <w:tab/>
      </w:r>
      <w:r>
        <w:rPr>
          <w:sz w:val="24"/>
          <w:szCs w:val="24"/>
        </w:rPr>
        <w:fldChar w:fldCharType="begin"/>
      </w:r>
      <w:r>
        <w:rPr>
          <w:sz w:val="24"/>
          <w:szCs w:val="24"/>
        </w:rPr>
        <w:instrText xml:space="preserve"> PAGEREF _Toc20884 \h </w:instrText>
      </w:r>
      <w:r>
        <w:rPr>
          <w:sz w:val="24"/>
          <w:szCs w:val="24"/>
        </w:rPr>
        <w:fldChar w:fldCharType="separate"/>
      </w:r>
      <w:r>
        <w:rPr>
          <w:sz w:val="24"/>
          <w:szCs w:val="24"/>
        </w:rPr>
        <w:t>29</w:t>
      </w:r>
      <w:r>
        <w:rPr>
          <w:sz w:val="24"/>
          <w:szCs w:val="24"/>
        </w:rPr>
        <w:fldChar w:fldCharType="end"/>
      </w:r>
      <w:r>
        <w:rPr>
          <w:rFonts w:hint="eastAsia" w:ascii="宋体" w:hAnsi="宋体"/>
          <w:sz w:val="24"/>
          <w:szCs w:val="24"/>
        </w:rPr>
        <w:fldChar w:fldCharType="end"/>
      </w:r>
    </w:p>
    <w:p>
      <w:pPr>
        <w:pStyle w:val="45"/>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_Toc13093 </w:instrText>
      </w:r>
      <w:r>
        <w:rPr>
          <w:rFonts w:hint="eastAsia" w:ascii="宋体" w:hAnsi="宋体"/>
          <w:sz w:val="24"/>
          <w:szCs w:val="24"/>
        </w:rPr>
        <w:fldChar w:fldCharType="separate"/>
      </w:r>
      <w:r>
        <w:rPr>
          <w:rFonts w:hint="eastAsia" w:ascii="宋体" w:hAnsi="宋体" w:eastAsia="宋体"/>
          <w:sz w:val="24"/>
          <w:szCs w:val="24"/>
        </w:rPr>
        <w:t>附件</w:t>
      </w:r>
      <w:r>
        <w:rPr>
          <w:rFonts w:hint="eastAsia" w:ascii="宋体" w:hAnsi="宋体" w:eastAsia="宋体"/>
          <w:sz w:val="24"/>
          <w:szCs w:val="24"/>
          <w:lang w:val="en-US" w:eastAsia="zh-CN"/>
        </w:rPr>
        <w:t>5</w:t>
      </w:r>
      <w:r>
        <w:rPr>
          <w:rFonts w:hint="eastAsia" w:ascii="宋体" w:hAnsi="宋体" w:eastAsia="宋体"/>
          <w:sz w:val="24"/>
          <w:szCs w:val="24"/>
        </w:rPr>
        <w:t>　资格、资信证明文件（格式）</w:t>
      </w:r>
      <w:r>
        <w:rPr>
          <w:sz w:val="24"/>
          <w:szCs w:val="24"/>
        </w:rPr>
        <w:tab/>
      </w:r>
      <w:r>
        <w:rPr>
          <w:sz w:val="24"/>
          <w:szCs w:val="24"/>
        </w:rPr>
        <w:fldChar w:fldCharType="begin"/>
      </w:r>
      <w:r>
        <w:rPr>
          <w:sz w:val="24"/>
          <w:szCs w:val="24"/>
        </w:rPr>
        <w:instrText xml:space="preserve"> PAGEREF _Toc13093 \h </w:instrText>
      </w:r>
      <w:r>
        <w:rPr>
          <w:sz w:val="24"/>
          <w:szCs w:val="24"/>
        </w:rPr>
        <w:fldChar w:fldCharType="separate"/>
      </w:r>
      <w:r>
        <w:rPr>
          <w:sz w:val="24"/>
          <w:szCs w:val="24"/>
        </w:rPr>
        <w:t>31</w:t>
      </w:r>
      <w:r>
        <w:rPr>
          <w:sz w:val="24"/>
          <w:szCs w:val="24"/>
        </w:rPr>
        <w:fldChar w:fldCharType="end"/>
      </w:r>
      <w:r>
        <w:rPr>
          <w:rFonts w:hint="eastAsia" w:ascii="宋体" w:hAnsi="宋体"/>
          <w:sz w:val="24"/>
          <w:szCs w:val="24"/>
        </w:rPr>
        <w:fldChar w:fldCharType="end"/>
      </w:r>
    </w:p>
    <w:p>
      <w:pPr>
        <w:pStyle w:val="26"/>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_Toc18175 </w:instrText>
      </w:r>
      <w:r>
        <w:rPr>
          <w:rFonts w:hint="eastAsia" w:ascii="宋体" w:hAnsi="宋体"/>
          <w:sz w:val="24"/>
          <w:szCs w:val="24"/>
        </w:rPr>
        <w:fldChar w:fldCharType="separate"/>
      </w:r>
      <w:r>
        <w:rPr>
          <w:rFonts w:hint="eastAsia" w:hAnsi="宋体"/>
          <w:sz w:val="24"/>
          <w:szCs w:val="24"/>
        </w:rPr>
        <w:t>附件</w:t>
      </w:r>
      <w:r>
        <w:rPr>
          <w:rFonts w:hint="eastAsia" w:hAnsi="宋体"/>
          <w:sz w:val="24"/>
          <w:szCs w:val="24"/>
          <w:lang w:val="en-US" w:eastAsia="zh-CN"/>
        </w:rPr>
        <w:t>5</w:t>
      </w:r>
      <w:r>
        <w:rPr>
          <w:rFonts w:hint="eastAsia" w:hAnsi="宋体"/>
          <w:sz w:val="24"/>
          <w:szCs w:val="24"/>
        </w:rPr>
        <w:t>-1   法人或者其他组织的营业执照等证明文件</w:t>
      </w:r>
      <w:r>
        <w:rPr>
          <w:sz w:val="24"/>
          <w:szCs w:val="24"/>
        </w:rPr>
        <w:tab/>
      </w:r>
      <w:r>
        <w:rPr>
          <w:sz w:val="24"/>
          <w:szCs w:val="24"/>
        </w:rPr>
        <w:fldChar w:fldCharType="begin"/>
      </w:r>
      <w:r>
        <w:rPr>
          <w:sz w:val="24"/>
          <w:szCs w:val="24"/>
        </w:rPr>
        <w:instrText xml:space="preserve"> PAGEREF _Toc18175 \h </w:instrText>
      </w:r>
      <w:r>
        <w:rPr>
          <w:sz w:val="24"/>
          <w:szCs w:val="24"/>
        </w:rPr>
        <w:fldChar w:fldCharType="separate"/>
      </w:r>
      <w:r>
        <w:rPr>
          <w:sz w:val="24"/>
          <w:szCs w:val="24"/>
        </w:rPr>
        <w:t>32</w:t>
      </w:r>
      <w:r>
        <w:rPr>
          <w:sz w:val="24"/>
          <w:szCs w:val="24"/>
        </w:rPr>
        <w:fldChar w:fldCharType="end"/>
      </w:r>
      <w:r>
        <w:rPr>
          <w:rFonts w:hint="eastAsia" w:ascii="宋体" w:hAnsi="宋体"/>
          <w:sz w:val="24"/>
          <w:szCs w:val="24"/>
        </w:rPr>
        <w:fldChar w:fldCharType="end"/>
      </w:r>
    </w:p>
    <w:p>
      <w:pPr>
        <w:pStyle w:val="26"/>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_Toc2581 </w:instrText>
      </w:r>
      <w:r>
        <w:rPr>
          <w:rFonts w:hint="eastAsia" w:ascii="宋体" w:hAnsi="宋体"/>
          <w:sz w:val="24"/>
          <w:szCs w:val="24"/>
        </w:rPr>
        <w:fldChar w:fldCharType="separate"/>
      </w:r>
      <w:r>
        <w:rPr>
          <w:rFonts w:hint="eastAsia" w:ascii="宋体" w:hAnsi="宋体" w:eastAsia="宋体" w:cs="Times New Roman"/>
          <w:sz w:val="24"/>
          <w:szCs w:val="24"/>
        </w:rPr>
        <w:t>附件</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 xml:space="preserve">   法定代表人授权书(格式，自然人投标的无需提供)</w:t>
      </w:r>
      <w:r>
        <w:rPr>
          <w:sz w:val="24"/>
          <w:szCs w:val="24"/>
        </w:rPr>
        <w:tab/>
      </w:r>
      <w:r>
        <w:rPr>
          <w:sz w:val="24"/>
          <w:szCs w:val="24"/>
        </w:rPr>
        <w:fldChar w:fldCharType="begin"/>
      </w:r>
      <w:r>
        <w:rPr>
          <w:sz w:val="24"/>
          <w:szCs w:val="24"/>
        </w:rPr>
        <w:instrText xml:space="preserve"> PAGEREF _Toc2581 \h </w:instrText>
      </w:r>
      <w:r>
        <w:rPr>
          <w:sz w:val="24"/>
          <w:szCs w:val="24"/>
        </w:rPr>
        <w:fldChar w:fldCharType="separate"/>
      </w:r>
      <w:r>
        <w:rPr>
          <w:sz w:val="24"/>
          <w:szCs w:val="24"/>
        </w:rPr>
        <w:t>33</w:t>
      </w:r>
      <w:r>
        <w:rPr>
          <w:sz w:val="24"/>
          <w:szCs w:val="24"/>
        </w:rPr>
        <w:fldChar w:fldCharType="end"/>
      </w:r>
      <w:r>
        <w:rPr>
          <w:rFonts w:hint="eastAsia" w:ascii="宋体" w:hAnsi="宋体"/>
          <w:sz w:val="24"/>
          <w:szCs w:val="24"/>
        </w:rPr>
        <w:fldChar w:fldCharType="end"/>
      </w:r>
    </w:p>
    <w:p>
      <w:pPr>
        <w:pStyle w:val="45"/>
        <w:tabs>
          <w:tab w:val="right" w:leader="dot" w:pos="8306"/>
        </w:tabs>
        <w:ind w:firstLine="480" w:firstLineChars="200"/>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_Toc27092 </w:instrText>
      </w:r>
      <w:r>
        <w:rPr>
          <w:rFonts w:hint="eastAsia" w:ascii="宋体" w:hAnsi="宋体"/>
          <w:sz w:val="24"/>
          <w:szCs w:val="24"/>
        </w:rPr>
        <w:fldChar w:fldCharType="separate"/>
      </w:r>
      <w:r>
        <w:rPr>
          <w:rFonts w:hint="eastAsia" w:ascii="宋体" w:hAnsi="宋体" w:eastAsia="宋体" w:cs="Times New Roman"/>
          <w:kern w:val="2"/>
          <w:sz w:val="24"/>
          <w:szCs w:val="24"/>
          <w:lang w:val="en-US" w:eastAsia="zh-CN" w:bidi="ar-SA"/>
        </w:rPr>
        <w:t>附件5-3  生产厂商授权书</w:t>
      </w:r>
      <w:r>
        <w:rPr>
          <w:sz w:val="24"/>
          <w:szCs w:val="24"/>
        </w:rPr>
        <w:tab/>
      </w:r>
      <w:r>
        <w:rPr>
          <w:sz w:val="24"/>
          <w:szCs w:val="24"/>
        </w:rPr>
        <w:fldChar w:fldCharType="begin"/>
      </w:r>
      <w:r>
        <w:rPr>
          <w:sz w:val="24"/>
          <w:szCs w:val="24"/>
        </w:rPr>
        <w:instrText xml:space="preserve"> PAGEREF _Toc27092 \h </w:instrText>
      </w:r>
      <w:r>
        <w:rPr>
          <w:sz w:val="24"/>
          <w:szCs w:val="24"/>
        </w:rPr>
        <w:fldChar w:fldCharType="separate"/>
      </w:r>
      <w:r>
        <w:rPr>
          <w:sz w:val="24"/>
          <w:szCs w:val="24"/>
        </w:rPr>
        <w:t>34</w:t>
      </w:r>
      <w:r>
        <w:rPr>
          <w:sz w:val="24"/>
          <w:szCs w:val="24"/>
        </w:rPr>
        <w:fldChar w:fldCharType="end"/>
      </w:r>
      <w:r>
        <w:rPr>
          <w:rFonts w:hint="eastAsia" w:ascii="宋体" w:hAnsi="宋体"/>
          <w:sz w:val="24"/>
          <w:szCs w:val="24"/>
        </w:rPr>
        <w:fldChar w:fldCharType="end"/>
      </w:r>
    </w:p>
    <w:p>
      <w:pPr>
        <w:pStyle w:val="26"/>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_Toc8383 </w:instrText>
      </w:r>
      <w:r>
        <w:rPr>
          <w:rFonts w:hint="eastAsia" w:ascii="宋体" w:hAnsi="宋体"/>
          <w:sz w:val="24"/>
          <w:szCs w:val="24"/>
        </w:rPr>
        <w:fldChar w:fldCharType="separate"/>
      </w:r>
      <w:r>
        <w:rPr>
          <w:rFonts w:hint="eastAsia" w:ascii="宋体" w:hAnsi="宋体" w:eastAsia="宋体" w:cs="Times New Roman"/>
          <w:sz w:val="24"/>
          <w:szCs w:val="24"/>
        </w:rPr>
        <w:t>附件</w:t>
      </w:r>
      <w:r>
        <w:rPr>
          <w:rFonts w:hint="eastAsia" w:ascii="宋体" w:hAnsi="宋体" w:eastAsia="宋体" w:cs="Times New Roman"/>
          <w:sz w:val="24"/>
          <w:szCs w:val="24"/>
          <w:lang w:val="en-US" w:eastAsia="zh-CN"/>
        </w:rPr>
        <w:t>5-4</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财务情况</w:t>
      </w:r>
      <w:r>
        <w:rPr>
          <w:sz w:val="24"/>
          <w:szCs w:val="24"/>
        </w:rPr>
        <w:tab/>
      </w:r>
      <w:r>
        <w:rPr>
          <w:sz w:val="24"/>
          <w:szCs w:val="24"/>
        </w:rPr>
        <w:fldChar w:fldCharType="begin"/>
      </w:r>
      <w:r>
        <w:rPr>
          <w:sz w:val="24"/>
          <w:szCs w:val="24"/>
        </w:rPr>
        <w:instrText xml:space="preserve"> PAGEREF _Toc8383 \h </w:instrText>
      </w:r>
      <w:r>
        <w:rPr>
          <w:sz w:val="24"/>
          <w:szCs w:val="24"/>
        </w:rPr>
        <w:fldChar w:fldCharType="separate"/>
      </w:r>
      <w:r>
        <w:rPr>
          <w:sz w:val="24"/>
          <w:szCs w:val="24"/>
        </w:rPr>
        <w:t>35</w:t>
      </w:r>
      <w:r>
        <w:rPr>
          <w:sz w:val="24"/>
          <w:szCs w:val="24"/>
        </w:rPr>
        <w:fldChar w:fldCharType="end"/>
      </w:r>
      <w:r>
        <w:rPr>
          <w:rFonts w:hint="eastAsia" w:ascii="宋体" w:hAnsi="宋体"/>
          <w:sz w:val="24"/>
          <w:szCs w:val="24"/>
        </w:rPr>
        <w:fldChar w:fldCharType="end"/>
      </w:r>
    </w:p>
    <w:p>
      <w:pPr>
        <w:pStyle w:val="26"/>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_Toc17911 </w:instrText>
      </w:r>
      <w:r>
        <w:rPr>
          <w:rFonts w:hint="eastAsia" w:ascii="宋体" w:hAnsi="宋体"/>
          <w:sz w:val="24"/>
          <w:szCs w:val="24"/>
        </w:rPr>
        <w:fldChar w:fldCharType="separate"/>
      </w:r>
      <w:r>
        <w:rPr>
          <w:rFonts w:hint="eastAsia" w:ascii="宋体" w:hAnsi="宋体" w:eastAsia="宋体" w:cs="Times New Roman"/>
          <w:sz w:val="24"/>
          <w:szCs w:val="24"/>
        </w:rPr>
        <w:t>附件</w:t>
      </w:r>
      <w:r>
        <w:rPr>
          <w:rFonts w:hint="eastAsia" w:ascii="宋体" w:hAnsi="宋体" w:eastAsia="宋体" w:cs="Times New Roman"/>
          <w:sz w:val="24"/>
          <w:szCs w:val="24"/>
          <w:lang w:val="en-US" w:eastAsia="zh-CN"/>
        </w:rPr>
        <w:t>5-5</w:t>
      </w:r>
      <w:r>
        <w:rPr>
          <w:rFonts w:hint="eastAsia" w:ascii="宋体" w:hAnsi="宋体" w:eastAsia="宋体" w:cs="Times New Roman"/>
          <w:sz w:val="24"/>
          <w:szCs w:val="24"/>
        </w:rPr>
        <w:t xml:space="preserve">   依法缴纳税收和社会保障资金的记录</w:t>
      </w:r>
      <w:r>
        <w:rPr>
          <w:sz w:val="24"/>
          <w:szCs w:val="24"/>
        </w:rPr>
        <w:tab/>
      </w:r>
      <w:r>
        <w:rPr>
          <w:sz w:val="24"/>
          <w:szCs w:val="24"/>
        </w:rPr>
        <w:fldChar w:fldCharType="begin"/>
      </w:r>
      <w:r>
        <w:rPr>
          <w:sz w:val="24"/>
          <w:szCs w:val="24"/>
        </w:rPr>
        <w:instrText xml:space="preserve"> PAGEREF _Toc17911 \h </w:instrText>
      </w:r>
      <w:r>
        <w:rPr>
          <w:sz w:val="24"/>
          <w:szCs w:val="24"/>
        </w:rPr>
        <w:fldChar w:fldCharType="separate"/>
      </w:r>
      <w:r>
        <w:rPr>
          <w:sz w:val="24"/>
          <w:szCs w:val="24"/>
        </w:rPr>
        <w:t>36</w:t>
      </w:r>
      <w:r>
        <w:rPr>
          <w:sz w:val="24"/>
          <w:szCs w:val="24"/>
        </w:rPr>
        <w:fldChar w:fldCharType="end"/>
      </w:r>
      <w:r>
        <w:rPr>
          <w:rFonts w:hint="eastAsia" w:ascii="宋体" w:hAnsi="宋体"/>
          <w:sz w:val="24"/>
          <w:szCs w:val="24"/>
        </w:rPr>
        <w:fldChar w:fldCharType="end"/>
      </w:r>
    </w:p>
    <w:p>
      <w:pPr>
        <w:pStyle w:val="26"/>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_Toc21274 </w:instrText>
      </w:r>
      <w:r>
        <w:rPr>
          <w:rFonts w:hint="eastAsia" w:ascii="宋体" w:hAnsi="宋体"/>
          <w:sz w:val="24"/>
          <w:szCs w:val="24"/>
        </w:rPr>
        <w:fldChar w:fldCharType="separate"/>
      </w:r>
      <w:r>
        <w:rPr>
          <w:rFonts w:hint="eastAsia" w:ascii="宋体" w:hAnsi="宋体"/>
          <w:sz w:val="24"/>
          <w:szCs w:val="24"/>
        </w:rPr>
        <w:t>附件</w:t>
      </w:r>
      <w:r>
        <w:rPr>
          <w:rFonts w:hint="eastAsia" w:ascii="宋体" w:hAnsi="宋体"/>
          <w:sz w:val="24"/>
          <w:szCs w:val="24"/>
          <w:lang w:val="en-US" w:eastAsia="zh-CN"/>
        </w:rPr>
        <w:t>5-6</w:t>
      </w:r>
      <w:r>
        <w:rPr>
          <w:rFonts w:hint="eastAsia" w:ascii="宋体" w:hAnsi="宋体"/>
          <w:sz w:val="24"/>
          <w:szCs w:val="24"/>
        </w:rPr>
        <w:t xml:space="preserve">   </w:t>
      </w:r>
      <w:r>
        <w:rPr>
          <w:rFonts w:hint="eastAsia" w:ascii="宋体" w:hAnsi="宋体"/>
          <w:sz w:val="24"/>
          <w:szCs w:val="24"/>
          <w:lang w:val="en-US" w:eastAsia="zh-CN"/>
        </w:rPr>
        <w:t>无</w:t>
      </w:r>
      <w:r>
        <w:rPr>
          <w:rFonts w:hint="eastAsia" w:ascii="宋体" w:hAnsi="宋体"/>
          <w:sz w:val="24"/>
          <w:szCs w:val="24"/>
        </w:rPr>
        <w:t>重大违法记录的书面声明</w:t>
      </w:r>
      <w:r>
        <w:rPr>
          <w:sz w:val="24"/>
          <w:szCs w:val="24"/>
        </w:rPr>
        <w:tab/>
      </w:r>
      <w:r>
        <w:rPr>
          <w:sz w:val="24"/>
          <w:szCs w:val="24"/>
        </w:rPr>
        <w:fldChar w:fldCharType="begin"/>
      </w:r>
      <w:r>
        <w:rPr>
          <w:sz w:val="24"/>
          <w:szCs w:val="24"/>
        </w:rPr>
        <w:instrText xml:space="preserve"> PAGEREF _Toc21274 \h </w:instrText>
      </w:r>
      <w:r>
        <w:rPr>
          <w:sz w:val="24"/>
          <w:szCs w:val="24"/>
        </w:rPr>
        <w:fldChar w:fldCharType="separate"/>
      </w:r>
      <w:r>
        <w:rPr>
          <w:sz w:val="24"/>
          <w:szCs w:val="24"/>
        </w:rPr>
        <w:t>37</w:t>
      </w:r>
      <w:r>
        <w:rPr>
          <w:sz w:val="24"/>
          <w:szCs w:val="24"/>
        </w:rPr>
        <w:fldChar w:fldCharType="end"/>
      </w:r>
      <w:r>
        <w:rPr>
          <w:rFonts w:hint="eastAsia" w:ascii="宋体" w:hAnsi="宋体"/>
          <w:sz w:val="24"/>
          <w:szCs w:val="24"/>
        </w:rPr>
        <w:fldChar w:fldCharType="end"/>
      </w:r>
    </w:p>
    <w:p>
      <w:pPr>
        <w:pStyle w:val="26"/>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_Toc25918 </w:instrText>
      </w:r>
      <w:r>
        <w:rPr>
          <w:rFonts w:hint="eastAsia" w:ascii="宋体" w:hAnsi="宋体"/>
          <w:sz w:val="24"/>
          <w:szCs w:val="24"/>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rPr>
        <w:tab/>
      </w:r>
      <w:r>
        <w:rPr>
          <w:sz w:val="24"/>
          <w:szCs w:val="24"/>
        </w:rPr>
        <w:fldChar w:fldCharType="begin"/>
      </w:r>
      <w:r>
        <w:rPr>
          <w:sz w:val="24"/>
          <w:szCs w:val="24"/>
        </w:rPr>
        <w:instrText xml:space="preserve"> PAGEREF _Toc25918 \h </w:instrText>
      </w:r>
      <w:r>
        <w:rPr>
          <w:sz w:val="24"/>
          <w:szCs w:val="24"/>
        </w:rPr>
        <w:fldChar w:fldCharType="separate"/>
      </w:r>
      <w:r>
        <w:rPr>
          <w:sz w:val="24"/>
          <w:szCs w:val="24"/>
        </w:rPr>
        <w:t>38</w:t>
      </w:r>
      <w:r>
        <w:rPr>
          <w:sz w:val="24"/>
          <w:szCs w:val="24"/>
        </w:rPr>
        <w:fldChar w:fldCharType="end"/>
      </w:r>
      <w:r>
        <w:rPr>
          <w:rFonts w:hint="eastAsia" w:ascii="宋体" w:hAnsi="宋体"/>
          <w:sz w:val="24"/>
          <w:szCs w:val="24"/>
        </w:rPr>
        <w:fldChar w:fldCharType="end"/>
      </w:r>
    </w:p>
    <w:p>
      <w:pPr>
        <w:pStyle w:val="26"/>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_Toc12888 </w:instrText>
      </w:r>
      <w:r>
        <w:rPr>
          <w:rFonts w:hint="eastAsia" w:ascii="宋体" w:hAnsi="宋体"/>
          <w:sz w:val="24"/>
          <w:szCs w:val="24"/>
        </w:rPr>
        <w:fldChar w:fldCharType="separate"/>
      </w:r>
      <w:r>
        <w:rPr>
          <w:rFonts w:hint="eastAsia" w:ascii="宋体" w:hAnsi="宋体"/>
          <w:sz w:val="24"/>
          <w:szCs w:val="24"/>
        </w:rPr>
        <w:t>附件</w:t>
      </w:r>
      <w:r>
        <w:rPr>
          <w:rFonts w:hint="eastAsia" w:ascii="宋体" w:hAnsi="宋体"/>
          <w:sz w:val="24"/>
          <w:szCs w:val="24"/>
          <w:lang w:val="en-US" w:eastAsia="zh-CN"/>
        </w:rPr>
        <w:t>5-8</w:t>
      </w:r>
      <w:r>
        <w:rPr>
          <w:rFonts w:hint="eastAsia" w:ascii="宋体" w:hAnsi="宋体"/>
          <w:sz w:val="24"/>
          <w:szCs w:val="24"/>
        </w:rPr>
        <w:t xml:space="preserve">   招标文件</w:t>
      </w:r>
      <w:r>
        <w:rPr>
          <w:rFonts w:hint="eastAsia" w:ascii="宋体" w:hAnsi="宋体"/>
          <w:bCs/>
          <w:sz w:val="24"/>
          <w:szCs w:val="24"/>
        </w:rPr>
        <w:t>要求的其他资格证明文件</w:t>
      </w:r>
      <w:r>
        <w:rPr>
          <w:sz w:val="24"/>
          <w:szCs w:val="24"/>
        </w:rPr>
        <w:tab/>
      </w:r>
      <w:r>
        <w:rPr>
          <w:sz w:val="24"/>
          <w:szCs w:val="24"/>
        </w:rPr>
        <w:fldChar w:fldCharType="begin"/>
      </w:r>
      <w:r>
        <w:rPr>
          <w:sz w:val="24"/>
          <w:szCs w:val="24"/>
        </w:rPr>
        <w:instrText xml:space="preserve"> PAGEREF _Toc12888 \h </w:instrText>
      </w:r>
      <w:r>
        <w:rPr>
          <w:sz w:val="24"/>
          <w:szCs w:val="24"/>
        </w:rPr>
        <w:fldChar w:fldCharType="separate"/>
      </w:r>
      <w:r>
        <w:rPr>
          <w:sz w:val="24"/>
          <w:szCs w:val="24"/>
        </w:rPr>
        <w:t>39</w:t>
      </w:r>
      <w:r>
        <w:rPr>
          <w:sz w:val="24"/>
          <w:szCs w:val="24"/>
        </w:rPr>
        <w:fldChar w:fldCharType="end"/>
      </w:r>
      <w:r>
        <w:rPr>
          <w:rFonts w:hint="eastAsia" w:ascii="宋体" w:hAnsi="宋体"/>
          <w:sz w:val="24"/>
          <w:szCs w:val="24"/>
        </w:rPr>
        <w:fldChar w:fldCharType="end"/>
      </w:r>
    </w:p>
    <w:p>
      <w:pPr>
        <w:pStyle w:val="45"/>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_Toc31300 </w:instrText>
      </w:r>
      <w:r>
        <w:rPr>
          <w:rFonts w:hint="eastAsia" w:ascii="宋体" w:hAnsi="宋体"/>
          <w:sz w:val="24"/>
          <w:szCs w:val="24"/>
        </w:rPr>
        <w:fldChar w:fldCharType="separate"/>
      </w:r>
      <w:r>
        <w:rPr>
          <w:rFonts w:hint="eastAsia" w:ascii="宋体" w:hAnsi="宋体"/>
          <w:sz w:val="24"/>
          <w:szCs w:val="24"/>
        </w:rPr>
        <w:t>附件</w:t>
      </w:r>
      <w:r>
        <w:rPr>
          <w:rFonts w:hint="eastAsia" w:ascii="宋体" w:hAnsi="宋体"/>
          <w:sz w:val="24"/>
          <w:szCs w:val="24"/>
          <w:lang w:val="en-US" w:eastAsia="zh-CN"/>
        </w:rPr>
        <w:t>6</w:t>
      </w:r>
      <w:r>
        <w:rPr>
          <w:rFonts w:ascii="宋体" w:hAnsi="宋体"/>
          <w:sz w:val="24"/>
          <w:szCs w:val="24"/>
        </w:rPr>
        <w:t xml:space="preserve">  </w:t>
      </w:r>
      <w:r>
        <w:rPr>
          <w:rFonts w:hint="eastAsia" w:ascii="宋体" w:hAnsi="宋体"/>
          <w:sz w:val="24"/>
          <w:szCs w:val="24"/>
        </w:rPr>
        <w:t>反商业贿赂承诺书</w:t>
      </w:r>
      <w:r>
        <w:rPr>
          <w:sz w:val="24"/>
          <w:szCs w:val="24"/>
        </w:rPr>
        <w:tab/>
      </w:r>
      <w:r>
        <w:rPr>
          <w:sz w:val="24"/>
          <w:szCs w:val="24"/>
        </w:rPr>
        <w:fldChar w:fldCharType="begin"/>
      </w:r>
      <w:r>
        <w:rPr>
          <w:sz w:val="24"/>
          <w:szCs w:val="24"/>
        </w:rPr>
        <w:instrText xml:space="preserve"> PAGEREF _Toc31300 \h </w:instrText>
      </w:r>
      <w:r>
        <w:rPr>
          <w:sz w:val="24"/>
          <w:szCs w:val="24"/>
        </w:rPr>
        <w:fldChar w:fldCharType="separate"/>
      </w:r>
      <w:r>
        <w:rPr>
          <w:sz w:val="24"/>
          <w:szCs w:val="24"/>
        </w:rPr>
        <w:t>40</w:t>
      </w:r>
      <w:r>
        <w:rPr>
          <w:sz w:val="24"/>
          <w:szCs w:val="24"/>
        </w:rPr>
        <w:fldChar w:fldCharType="end"/>
      </w:r>
      <w:r>
        <w:rPr>
          <w:rFonts w:hint="eastAsia" w:ascii="宋体" w:hAnsi="宋体"/>
          <w:sz w:val="24"/>
          <w:szCs w:val="24"/>
        </w:rPr>
        <w:fldChar w:fldCharType="end"/>
      </w:r>
    </w:p>
    <w:p>
      <w:pPr>
        <w:pStyle w:val="45"/>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_Toc15610 </w:instrText>
      </w:r>
      <w:r>
        <w:rPr>
          <w:rFonts w:hint="eastAsia" w:ascii="宋体" w:hAnsi="宋体"/>
          <w:sz w:val="24"/>
          <w:szCs w:val="24"/>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rPr>
        <w:tab/>
      </w:r>
      <w:r>
        <w:rPr>
          <w:sz w:val="24"/>
          <w:szCs w:val="24"/>
        </w:rPr>
        <w:fldChar w:fldCharType="begin"/>
      </w:r>
      <w:r>
        <w:rPr>
          <w:sz w:val="24"/>
          <w:szCs w:val="24"/>
        </w:rPr>
        <w:instrText xml:space="preserve"> PAGEREF _Toc15610 \h </w:instrText>
      </w:r>
      <w:r>
        <w:rPr>
          <w:sz w:val="24"/>
          <w:szCs w:val="24"/>
        </w:rPr>
        <w:fldChar w:fldCharType="separate"/>
      </w:r>
      <w:r>
        <w:rPr>
          <w:sz w:val="24"/>
          <w:szCs w:val="24"/>
        </w:rPr>
        <w:t>41</w:t>
      </w:r>
      <w:r>
        <w:rPr>
          <w:sz w:val="24"/>
          <w:szCs w:val="24"/>
        </w:rPr>
        <w:fldChar w:fldCharType="end"/>
      </w:r>
      <w:r>
        <w:rPr>
          <w:rFonts w:hint="eastAsia" w:ascii="宋体" w:hAnsi="宋体"/>
          <w:sz w:val="24"/>
          <w:szCs w:val="24"/>
        </w:rPr>
        <w:fldChar w:fldCharType="end"/>
      </w:r>
    </w:p>
    <w:p>
      <w:pPr>
        <w:pStyle w:val="45"/>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_Toc3766 </w:instrText>
      </w:r>
      <w:r>
        <w:rPr>
          <w:rFonts w:hint="eastAsia" w:ascii="宋体" w:hAnsi="宋体"/>
          <w:sz w:val="24"/>
          <w:szCs w:val="24"/>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rPr>
        <w:tab/>
      </w:r>
      <w:r>
        <w:rPr>
          <w:sz w:val="24"/>
          <w:szCs w:val="24"/>
        </w:rPr>
        <w:fldChar w:fldCharType="begin"/>
      </w:r>
      <w:r>
        <w:rPr>
          <w:sz w:val="24"/>
          <w:szCs w:val="24"/>
        </w:rPr>
        <w:instrText xml:space="preserve"> PAGEREF _Toc3766 \h </w:instrText>
      </w:r>
      <w:r>
        <w:rPr>
          <w:sz w:val="24"/>
          <w:szCs w:val="24"/>
        </w:rPr>
        <w:fldChar w:fldCharType="separate"/>
      </w:r>
      <w:r>
        <w:rPr>
          <w:sz w:val="24"/>
          <w:szCs w:val="24"/>
        </w:rPr>
        <w:t>42</w:t>
      </w:r>
      <w:r>
        <w:rPr>
          <w:sz w:val="24"/>
          <w:szCs w:val="24"/>
        </w:rPr>
        <w:fldChar w:fldCharType="end"/>
      </w:r>
      <w:r>
        <w:rPr>
          <w:rFonts w:hint="eastAsia" w:ascii="宋体" w:hAnsi="宋体"/>
          <w:sz w:val="24"/>
          <w:szCs w:val="24"/>
        </w:rPr>
        <w:fldChar w:fldCharType="end"/>
      </w:r>
    </w:p>
    <w:p>
      <w:pPr>
        <w:pStyle w:val="45"/>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_Toc20055 </w:instrText>
      </w:r>
      <w:r>
        <w:rPr>
          <w:rFonts w:hint="eastAsia" w:ascii="宋体" w:hAnsi="宋体"/>
          <w:sz w:val="24"/>
          <w:szCs w:val="24"/>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rPr>
        <w:tab/>
      </w:r>
      <w:r>
        <w:rPr>
          <w:sz w:val="24"/>
          <w:szCs w:val="24"/>
        </w:rPr>
        <w:fldChar w:fldCharType="begin"/>
      </w:r>
      <w:r>
        <w:rPr>
          <w:sz w:val="24"/>
          <w:szCs w:val="24"/>
        </w:rPr>
        <w:instrText xml:space="preserve"> PAGEREF _Toc20055 \h </w:instrText>
      </w:r>
      <w:r>
        <w:rPr>
          <w:sz w:val="24"/>
          <w:szCs w:val="24"/>
        </w:rPr>
        <w:fldChar w:fldCharType="separate"/>
      </w:r>
      <w:r>
        <w:rPr>
          <w:sz w:val="24"/>
          <w:szCs w:val="24"/>
        </w:rPr>
        <w:t>43</w:t>
      </w:r>
      <w:r>
        <w:rPr>
          <w:sz w:val="24"/>
          <w:szCs w:val="24"/>
        </w:rPr>
        <w:fldChar w:fldCharType="end"/>
      </w:r>
      <w:r>
        <w:rPr>
          <w:rFonts w:hint="eastAsia" w:ascii="宋体" w:hAnsi="宋体"/>
          <w:sz w:val="24"/>
          <w:szCs w:val="24"/>
        </w:rPr>
        <w:fldChar w:fldCharType="end"/>
      </w:r>
    </w:p>
    <w:p>
      <w:pPr>
        <w:pStyle w:val="45"/>
        <w:tabs>
          <w:tab w:val="right" w:leader="dot" w:pos="830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_Toc10658 </w:instrText>
      </w:r>
      <w:r>
        <w:rPr>
          <w:rFonts w:hint="eastAsia" w:ascii="宋体" w:hAnsi="宋体"/>
          <w:sz w:val="24"/>
          <w:szCs w:val="24"/>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rPr>
        <w:tab/>
      </w:r>
      <w:r>
        <w:rPr>
          <w:sz w:val="24"/>
          <w:szCs w:val="24"/>
        </w:rPr>
        <w:fldChar w:fldCharType="begin"/>
      </w:r>
      <w:r>
        <w:rPr>
          <w:sz w:val="24"/>
          <w:szCs w:val="24"/>
        </w:rPr>
        <w:instrText xml:space="preserve"> PAGEREF _Toc10658 \h </w:instrText>
      </w:r>
      <w:r>
        <w:rPr>
          <w:sz w:val="24"/>
          <w:szCs w:val="24"/>
        </w:rPr>
        <w:fldChar w:fldCharType="separate"/>
      </w:r>
      <w:r>
        <w:rPr>
          <w:sz w:val="24"/>
          <w:szCs w:val="24"/>
        </w:rPr>
        <w:t>44</w:t>
      </w:r>
      <w:r>
        <w:rPr>
          <w:sz w:val="24"/>
          <w:szCs w:val="24"/>
        </w:rPr>
        <w:fldChar w:fldCharType="end"/>
      </w:r>
      <w:r>
        <w:rPr>
          <w:rFonts w:hint="eastAsia" w:ascii="宋体" w:hAnsi="宋体"/>
          <w:sz w:val="24"/>
          <w:szCs w:val="24"/>
        </w:rPr>
        <w:fldChar w:fldCharType="end"/>
      </w:r>
    </w:p>
    <w:p>
      <w:pPr>
        <w:pStyle w:val="35"/>
        <w:tabs>
          <w:tab w:val="right" w:leader="dot" w:pos="8306"/>
          <w:tab w:val="clear" w:pos="829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_Toc24364 </w:instrText>
      </w:r>
      <w:r>
        <w:rPr>
          <w:rFonts w:hint="eastAsia" w:ascii="宋体" w:hAnsi="宋体"/>
          <w:sz w:val="24"/>
          <w:szCs w:val="24"/>
        </w:rPr>
        <w:fldChar w:fldCharType="separate"/>
      </w:r>
      <w:r>
        <w:rPr>
          <w:rFonts w:hint="eastAsia" w:ascii="宋体" w:hAnsi="宋体" w:cs="宋体"/>
          <w:sz w:val="24"/>
          <w:szCs w:val="24"/>
        </w:rPr>
        <w:t>第五章 评标方法和标准</w:t>
      </w:r>
      <w:r>
        <w:rPr>
          <w:sz w:val="24"/>
          <w:szCs w:val="24"/>
        </w:rPr>
        <w:tab/>
      </w:r>
      <w:r>
        <w:rPr>
          <w:sz w:val="24"/>
          <w:szCs w:val="24"/>
        </w:rPr>
        <w:fldChar w:fldCharType="begin"/>
      </w:r>
      <w:r>
        <w:rPr>
          <w:sz w:val="24"/>
          <w:szCs w:val="24"/>
        </w:rPr>
        <w:instrText xml:space="preserve"> PAGEREF _Toc24364 \h </w:instrText>
      </w:r>
      <w:r>
        <w:rPr>
          <w:sz w:val="24"/>
          <w:szCs w:val="24"/>
        </w:rPr>
        <w:fldChar w:fldCharType="separate"/>
      </w:r>
      <w:r>
        <w:rPr>
          <w:sz w:val="24"/>
          <w:szCs w:val="24"/>
        </w:rPr>
        <w:t>45</w:t>
      </w:r>
      <w:r>
        <w:rPr>
          <w:sz w:val="24"/>
          <w:szCs w:val="24"/>
        </w:rPr>
        <w:fldChar w:fldCharType="end"/>
      </w:r>
      <w:r>
        <w:rPr>
          <w:rFonts w:hint="eastAsia" w:ascii="宋体" w:hAnsi="宋体"/>
          <w:sz w:val="24"/>
          <w:szCs w:val="24"/>
        </w:rPr>
        <w:fldChar w:fldCharType="end"/>
      </w:r>
    </w:p>
    <w:p>
      <w:pPr>
        <w:pStyle w:val="35"/>
        <w:tabs>
          <w:tab w:val="right" w:leader="dot" w:pos="8306"/>
          <w:tab w:val="clear" w:pos="8296"/>
        </w:tabs>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_Toc24902 </w:instrText>
      </w:r>
      <w:r>
        <w:rPr>
          <w:rFonts w:hint="eastAsia" w:ascii="宋体" w:hAnsi="宋体"/>
          <w:sz w:val="24"/>
          <w:szCs w:val="24"/>
        </w:rPr>
        <w:fldChar w:fldCharType="separate"/>
      </w:r>
      <w:r>
        <w:rPr>
          <w:rFonts w:hint="eastAsia" w:ascii="宋体" w:hAnsi="宋体" w:cs="宋体"/>
          <w:bCs/>
          <w:sz w:val="24"/>
          <w:szCs w:val="24"/>
        </w:rPr>
        <w:t>第六章  货物技术要求</w:t>
      </w:r>
      <w:r>
        <w:rPr>
          <w:sz w:val="24"/>
          <w:szCs w:val="24"/>
        </w:rPr>
        <w:tab/>
      </w:r>
      <w:r>
        <w:rPr>
          <w:sz w:val="24"/>
          <w:szCs w:val="24"/>
        </w:rPr>
        <w:fldChar w:fldCharType="begin"/>
      </w:r>
      <w:r>
        <w:rPr>
          <w:sz w:val="24"/>
          <w:szCs w:val="24"/>
        </w:rPr>
        <w:instrText xml:space="preserve"> PAGEREF _Toc24902 \h </w:instrText>
      </w:r>
      <w:r>
        <w:rPr>
          <w:sz w:val="24"/>
          <w:szCs w:val="24"/>
        </w:rPr>
        <w:fldChar w:fldCharType="separate"/>
      </w:r>
      <w:r>
        <w:rPr>
          <w:sz w:val="24"/>
          <w:szCs w:val="24"/>
        </w:rPr>
        <w:t>46</w:t>
      </w:r>
      <w:r>
        <w:rPr>
          <w:sz w:val="24"/>
          <w:szCs w:val="24"/>
        </w:rPr>
        <w:fldChar w:fldCharType="end"/>
      </w:r>
      <w:r>
        <w:rPr>
          <w:rFonts w:hint="eastAsia" w:ascii="宋体" w:hAnsi="宋体"/>
          <w:sz w:val="24"/>
          <w:szCs w:val="24"/>
        </w:rPr>
        <w:fldChar w:fldCharType="end"/>
      </w:r>
    </w:p>
    <w:p>
      <w:pPr>
        <w:pStyle w:val="26"/>
        <w:tabs>
          <w:tab w:val="right" w:leader="dot" w:pos="8306"/>
        </w:tabs>
      </w:pPr>
    </w:p>
    <w:p>
      <w:pPr>
        <w:pStyle w:val="42"/>
        <w:rPr>
          <w:rFonts w:hint="eastAsia" w:ascii="宋体" w:hAnsi="宋体"/>
          <w:sz w:val="21"/>
          <w:szCs w:val="21"/>
        </w:rPr>
      </w:pPr>
      <w:r>
        <w:rPr>
          <w:rFonts w:hint="eastAsia" w:ascii="宋体" w:hAnsi="宋体"/>
          <w:szCs w:val="21"/>
        </w:rPr>
        <w:fldChar w:fldCharType="end"/>
      </w:r>
    </w:p>
    <w:p>
      <w:pPr>
        <w:pStyle w:val="42"/>
        <w:rPr>
          <w:rFonts w:hint="eastAsia" w:ascii="宋体" w:hAnsi="宋体"/>
          <w:sz w:val="21"/>
          <w:szCs w:val="21"/>
        </w:rPr>
        <w:sectPr>
          <w:footerReference r:id="rId8" w:type="default"/>
          <w:pgSz w:w="11906" w:h="16838"/>
          <w:pgMar w:top="1440" w:right="1800" w:bottom="1440" w:left="1800" w:header="851" w:footer="992" w:gutter="0"/>
          <w:pgNumType w:start="1"/>
          <w:cols w:space="720" w:num="1"/>
          <w:docGrid w:type="lines" w:linePitch="312"/>
        </w:sectPr>
      </w:pPr>
    </w:p>
    <w:p>
      <w:pPr>
        <w:pStyle w:val="2"/>
        <w:numPr>
          <w:ilvl w:val="0"/>
          <w:numId w:val="8"/>
        </w:numPr>
        <w:spacing w:before="120" w:after="120" w:line="360" w:lineRule="auto"/>
        <w:jc w:val="center"/>
        <w:rPr>
          <w:rFonts w:hint="default" w:ascii="宋体" w:hAnsi="宋体"/>
          <w:bCs w:val="0"/>
          <w:sz w:val="28"/>
          <w:szCs w:val="28"/>
          <w:lang w:val="en-US"/>
        </w:rPr>
      </w:pPr>
      <w:bookmarkStart w:id="2" w:name="_Toc390940504"/>
      <w:bookmarkStart w:id="3" w:name="_Toc109736025"/>
      <w:bookmarkStart w:id="4" w:name="_Toc30703"/>
      <w:r>
        <w:rPr>
          <w:rFonts w:hint="eastAsia" w:ascii="宋体" w:hAnsi="宋体"/>
          <w:bCs w:val="0"/>
          <w:sz w:val="28"/>
          <w:szCs w:val="28"/>
        </w:rPr>
        <w:t>投标</w:t>
      </w:r>
      <w:bookmarkEnd w:id="2"/>
      <w:bookmarkEnd w:id="3"/>
      <w:r>
        <w:rPr>
          <w:rFonts w:hint="eastAsia" w:ascii="宋体" w:hAnsi="宋体"/>
          <w:bCs w:val="0"/>
          <w:sz w:val="28"/>
          <w:szCs w:val="28"/>
          <w:lang w:val="en-US" w:eastAsia="zh-CN"/>
        </w:rPr>
        <w:t>公告</w:t>
      </w:r>
      <w:bookmarkEnd w:id="4"/>
    </w:p>
    <w:p>
      <w:pPr>
        <w:widowControl w:val="0"/>
        <w:wordWrap/>
        <w:adjustRightInd/>
        <w:snapToGrid/>
        <w:spacing w:line="360" w:lineRule="exact"/>
        <w:jc w:val="center"/>
        <w:textAlignment w:val="auto"/>
        <w:outlineLvl w:val="1"/>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环保三废检测项目</w:t>
      </w:r>
      <w:r>
        <w:rPr>
          <w:rFonts w:hint="eastAsia" w:ascii="宋体" w:hAnsi="宋体" w:cs="宋体"/>
          <w:szCs w:val="21"/>
          <w:highlight w:val="none"/>
          <w:lang w:val="zh-CN" w:bidi="zh-CN"/>
        </w:rPr>
        <w:t>招标公告</w:t>
      </w:r>
      <w:bookmarkEnd w:id="5"/>
      <w:bookmarkEnd w:id="6"/>
    </w:p>
    <w:p>
      <w:pPr>
        <w:widowControl w:val="0"/>
        <w:wordWrap/>
        <w:autoSpaceDE w:val="0"/>
        <w:autoSpaceDN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4790"/>
      <w:bookmarkStart w:id="8" w:name="_Toc6492"/>
      <w:r>
        <w:rPr>
          <w:rFonts w:hint="eastAsia" w:ascii="宋体" w:hAnsi="宋体" w:cs="宋体"/>
          <w:szCs w:val="21"/>
          <w:highlight w:val="none"/>
        </w:rPr>
        <w:t>（招标编号：</w:t>
      </w:r>
      <w:r>
        <w:rPr>
          <w:rFonts w:hint="eastAsia" w:ascii="宋体" w:hAnsi="宋体" w:cs="宋体"/>
          <w:szCs w:val="21"/>
          <w:highlight w:val="yellow"/>
          <w:lang w:val="en-US" w:eastAsia="zh-CN"/>
        </w:rPr>
        <w:t>WKZB-2025-023</w:t>
      </w:r>
      <w:r>
        <w:rPr>
          <w:rFonts w:hint="eastAsia" w:ascii="宋体" w:hAnsi="宋体" w:cs="宋体"/>
          <w:szCs w:val="21"/>
          <w:highlight w:val="none"/>
        </w:rPr>
        <w:t>）</w:t>
      </w:r>
      <w:bookmarkEnd w:id="7"/>
      <w:bookmarkEnd w:id="8"/>
    </w:p>
    <w:p>
      <w:pPr>
        <w:widowControl w:val="0"/>
        <w:wordWrap/>
        <w:autoSpaceDE w:val="0"/>
        <w:autoSpaceDN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widowControl w:val="0"/>
        <w:wordWrap/>
        <w:autoSpaceDE w:val="0"/>
        <w:autoSpaceDN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8276"/>
      <w:bookmarkStart w:id="10" w:name="_Toc5989"/>
      <w:bookmarkStart w:id="11" w:name="_Toc24469"/>
      <w:r>
        <w:rPr>
          <w:rFonts w:hint="eastAsia" w:ascii="宋体" w:hAnsi="宋体" w:cs="宋体"/>
          <w:b/>
          <w:bCs/>
          <w:szCs w:val="21"/>
          <w:highlight w:val="none"/>
          <w:lang w:val="zh-CN" w:bidi="zh-CN"/>
        </w:rPr>
        <w:t>一、招标条件</w:t>
      </w:r>
      <w:bookmarkEnd w:id="9"/>
      <w:bookmarkEnd w:id="10"/>
      <w:bookmarkEnd w:id="11"/>
    </w:p>
    <w:p>
      <w:pPr>
        <w:widowControl w:val="0"/>
        <w:wordWrap/>
        <w:autoSpaceDE w:val="0"/>
        <w:autoSpaceDN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环保三废检测</w:t>
      </w:r>
      <w:r>
        <w:rPr>
          <w:rFonts w:hint="eastAsia" w:ascii="宋体" w:hAnsi="宋体" w:cs="宋体"/>
          <w:szCs w:val="21"/>
          <w:highlight w:val="none"/>
          <w:lang w:bidi="zh-CN"/>
        </w:rPr>
        <w:t>项目</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w:t>
      </w:r>
      <w:r>
        <w:rPr>
          <w:rFonts w:hint="eastAsia" w:ascii="宋体" w:hAnsi="宋体" w:cs="宋体"/>
          <w:szCs w:val="21"/>
          <w:highlight w:val="none"/>
          <w:lang w:val="zh-CN" w:bidi="zh-CN"/>
        </w:rPr>
        <w:t>。</w:t>
      </w:r>
    </w:p>
    <w:p>
      <w:pPr>
        <w:widowControl w:val="0"/>
        <w:wordWrap/>
        <w:autoSpaceDE w:val="0"/>
        <w:autoSpaceDN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28608"/>
      <w:bookmarkStart w:id="13" w:name="_Toc10698"/>
      <w:bookmarkStart w:id="14" w:name="_Toc6931"/>
      <w:r>
        <w:rPr>
          <w:rFonts w:hint="eastAsia" w:ascii="宋体" w:hAnsi="宋体" w:cs="宋体"/>
          <w:b/>
          <w:bCs/>
          <w:szCs w:val="21"/>
          <w:highlight w:val="none"/>
          <w:lang w:val="zh-CN" w:bidi="zh-CN"/>
        </w:rPr>
        <w:t>二、项目概况和招标范围</w:t>
      </w:r>
      <w:bookmarkEnd w:id="12"/>
      <w:bookmarkEnd w:id="13"/>
      <w:bookmarkEnd w:id="14"/>
    </w:p>
    <w:p>
      <w:pPr>
        <w:wordWrap/>
        <w:autoSpaceDE w:val="0"/>
        <w:autoSpaceDN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拟采购环保三废检测项目</w:t>
      </w:r>
      <w:r>
        <w:rPr>
          <w:rFonts w:hint="eastAsia" w:ascii="宋体" w:hAnsi="宋体" w:cs="宋体"/>
          <w:szCs w:val="21"/>
          <w:highlight w:val="none"/>
          <w:lang w:val="en-US" w:bidi="zh-CN"/>
        </w:rPr>
        <w:t>，清单详见第六章</w:t>
      </w:r>
    </w:p>
    <w:p>
      <w:pPr>
        <w:wordWrap/>
        <w:autoSpaceDE w:val="0"/>
        <w:autoSpaceDN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wordWrap/>
        <w:autoSpaceDE w:val="0"/>
        <w:autoSpaceDN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bidi="zh-CN"/>
        </w:rPr>
        <w:t>环保三废检测项目</w:t>
      </w:r>
      <w:r>
        <w:rPr>
          <w:rFonts w:hint="eastAsia" w:ascii="宋体" w:hAnsi="宋体" w:cs="宋体"/>
          <w:szCs w:val="21"/>
          <w:highlight w:val="none"/>
          <w:lang w:val="zh-CN" w:bidi="zh-CN"/>
        </w:rPr>
        <w:t xml:space="preserve">;  </w:t>
      </w:r>
    </w:p>
    <w:p>
      <w:pPr>
        <w:wordWrap/>
        <w:autoSpaceDE w:val="0"/>
        <w:autoSpaceDN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963"/>
      <w:bookmarkStart w:id="16" w:name="_Toc15843"/>
      <w:bookmarkStart w:id="17" w:name="_Toc23826"/>
      <w:r>
        <w:rPr>
          <w:rFonts w:hint="eastAsia" w:ascii="宋体" w:hAnsi="宋体" w:cs="宋体"/>
          <w:b/>
          <w:bCs/>
          <w:szCs w:val="21"/>
          <w:highlight w:val="none"/>
          <w:lang w:val="zh-CN" w:bidi="zh-CN"/>
        </w:rPr>
        <w:t>三、投标人资格要求</w:t>
      </w:r>
      <w:bookmarkEnd w:id="15"/>
      <w:bookmarkEnd w:id="16"/>
      <w:bookmarkEnd w:id="17"/>
    </w:p>
    <w:p>
      <w:pPr>
        <w:wordWrap/>
        <w:autoSpaceDE w:val="0"/>
        <w:autoSpaceDN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1"/>
          <w:szCs w:val="21"/>
          <w:highlight w:val="none"/>
          <w:lang w:val="zh-CN" w:bidi="zh-CN"/>
        </w:rPr>
        <w:t>投标人资格能</w:t>
      </w:r>
      <w:r>
        <w:rPr>
          <w:rFonts w:hint="eastAsia" w:ascii="宋体" w:hAnsi="宋体" w:cs="宋体"/>
          <w:szCs w:val="21"/>
          <w:highlight w:val="none"/>
          <w:lang w:val="zh-CN" w:bidi="zh-CN"/>
        </w:rPr>
        <w:t>力要求：</w:t>
      </w:r>
    </w:p>
    <w:p>
      <w:pPr>
        <w:widowControl/>
        <w:numPr>
          <w:ilvl w:val="0"/>
          <w:numId w:val="9"/>
        </w:numPr>
        <w:wordWrap/>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widowControl/>
        <w:numPr>
          <w:ilvl w:val="0"/>
          <w:numId w:val="9"/>
        </w:numPr>
        <w:wordWrap/>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具有良好的财务状况；</w:t>
      </w:r>
    </w:p>
    <w:p>
      <w:pPr>
        <w:widowControl/>
        <w:numPr>
          <w:ilvl w:val="0"/>
          <w:numId w:val="9"/>
        </w:numPr>
        <w:wordWrap/>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widowControl/>
        <w:numPr>
          <w:ilvl w:val="0"/>
          <w:numId w:val="9"/>
        </w:numPr>
        <w:wordWrap/>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widowControl/>
        <w:numPr>
          <w:ilvl w:val="0"/>
          <w:numId w:val="9"/>
        </w:numPr>
        <w:wordWrap/>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widowControl/>
        <w:numPr>
          <w:ilvl w:val="0"/>
          <w:numId w:val="9"/>
        </w:numPr>
        <w:wordWrap/>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widowControl/>
        <w:numPr>
          <w:ilvl w:val="0"/>
          <w:numId w:val="9"/>
        </w:numPr>
        <w:wordWrap/>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widowControl/>
        <w:numPr>
          <w:ilvl w:val="0"/>
          <w:numId w:val="9"/>
        </w:numPr>
        <w:wordWrap/>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widowControl/>
        <w:numPr>
          <w:ilvl w:val="0"/>
          <w:numId w:val="9"/>
        </w:numPr>
        <w:wordWrap/>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wordWrap/>
        <w:autoSpaceDE w:val="0"/>
        <w:autoSpaceDN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8299"/>
      <w:bookmarkStart w:id="19" w:name="_Toc31840"/>
      <w:bookmarkStart w:id="20" w:name="_Toc7377"/>
      <w:r>
        <w:rPr>
          <w:rFonts w:hint="eastAsia" w:ascii="宋体" w:hAnsi="宋体" w:cs="宋体"/>
          <w:b/>
          <w:bCs/>
          <w:szCs w:val="21"/>
          <w:highlight w:val="none"/>
          <w:lang w:val="zh-CN" w:bidi="zh-CN"/>
        </w:rPr>
        <w:t>四、招标文件的获取</w:t>
      </w:r>
      <w:bookmarkEnd w:id="18"/>
      <w:bookmarkEnd w:id="19"/>
      <w:bookmarkEnd w:id="20"/>
    </w:p>
    <w:p>
      <w:pPr>
        <w:wordWrap/>
        <w:autoSpaceDE w:val="0"/>
        <w:autoSpaceDN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none"/>
          <w:lang w:val="en-US" w:bidi="zh-CN"/>
        </w:rPr>
        <w:t>以招标公告时间为准</w:t>
      </w:r>
    </w:p>
    <w:p>
      <w:pPr>
        <w:widowControl/>
        <w:wordWrap/>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r>
        <w:rPr>
          <w:rFonts w:hint="eastAsia" w:ascii="宋体" w:hAnsi="宋体" w:cs="宋体"/>
          <w:szCs w:val="21"/>
          <w:highlight w:val="none"/>
          <w:lang w:bidi="zh-CN"/>
        </w:rPr>
        <w:br/>
      </w: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r>
        <w:rPr>
          <w:rFonts w:hint="eastAsia" w:ascii="宋体" w:hAnsi="宋体" w:cs="宋体"/>
          <w:szCs w:val="21"/>
          <w:highlight w:val="none"/>
          <w:lang w:bidi="zh-CN"/>
        </w:rPr>
        <w:br/>
      </w: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wordWrap/>
        <w:autoSpaceDE w:val="0"/>
        <w:autoSpaceDN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4098"/>
      <w:bookmarkStart w:id="22" w:name="_Toc10836"/>
      <w:r>
        <w:rPr>
          <w:rFonts w:hint="eastAsia" w:ascii="宋体" w:hAnsi="宋体" w:cs="宋体"/>
          <w:b/>
          <w:bCs/>
          <w:szCs w:val="21"/>
          <w:highlight w:val="none"/>
          <w:lang w:val="zh-CN" w:bidi="zh-CN"/>
        </w:rPr>
        <w:t>五、投标文件的递交</w:t>
      </w:r>
      <w:bookmarkEnd w:id="21"/>
      <w:bookmarkEnd w:id="22"/>
    </w:p>
    <w:p>
      <w:pPr>
        <w:wordWrap/>
        <w:autoSpaceDE w:val="0"/>
        <w:autoSpaceDN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递交截止时间：</w:t>
      </w:r>
      <w:r>
        <w:rPr>
          <w:rFonts w:hint="eastAsia" w:ascii="宋体" w:hAnsi="宋体" w:cs="宋体"/>
          <w:szCs w:val="21"/>
          <w:highlight w:val="none"/>
          <w:lang w:val="en-US" w:bidi="zh-CN"/>
        </w:rPr>
        <w:t>以招标公告时间为准</w:t>
      </w:r>
    </w:p>
    <w:p>
      <w:pPr>
        <w:wordWrap/>
        <w:autoSpaceDE w:val="0"/>
        <w:autoSpaceDN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wordWrap/>
        <w:autoSpaceDE w:val="0"/>
        <w:autoSpaceDN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8425"/>
      <w:bookmarkStart w:id="24" w:name="_Toc23490"/>
      <w:bookmarkStart w:id="25" w:name="_Toc6081"/>
      <w:r>
        <w:rPr>
          <w:rFonts w:hint="eastAsia" w:ascii="宋体" w:hAnsi="宋体" w:cs="宋体"/>
          <w:b/>
          <w:bCs/>
          <w:szCs w:val="21"/>
          <w:highlight w:val="none"/>
          <w:lang w:val="zh-CN" w:bidi="zh-CN"/>
        </w:rPr>
        <w:t>六、开标时间及地点</w:t>
      </w:r>
      <w:bookmarkEnd w:id="23"/>
      <w:bookmarkEnd w:id="24"/>
      <w:bookmarkEnd w:id="25"/>
    </w:p>
    <w:p>
      <w:pPr>
        <w:wordWrap/>
        <w:autoSpaceDE w:val="0"/>
        <w:autoSpaceDN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邮件或电话另行通知</w:t>
      </w:r>
    </w:p>
    <w:p>
      <w:pPr>
        <w:wordWrap/>
        <w:autoSpaceDE w:val="0"/>
        <w:autoSpaceDN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wordWrap/>
        <w:autoSpaceDE w:val="0"/>
        <w:autoSpaceDN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7374"/>
      <w:bookmarkStart w:id="27" w:name="_Toc21387"/>
      <w:bookmarkStart w:id="28" w:name="_Toc11141"/>
      <w:r>
        <w:rPr>
          <w:rFonts w:hint="eastAsia" w:ascii="宋体" w:hAnsi="宋体" w:cs="宋体"/>
          <w:b/>
          <w:bCs/>
          <w:szCs w:val="21"/>
          <w:highlight w:val="none"/>
          <w:lang w:val="zh-CN" w:bidi="zh-CN"/>
        </w:rPr>
        <w:t>七、其他</w:t>
      </w:r>
      <w:bookmarkEnd w:id="26"/>
      <w:bookmarkEnd w:id="27"/>
      <w:bookmarkEnd w:id="28"/>
    </w:p>
    <w:p>
      <w:pPr>
        <w:numPr>
          <w:ilvl w:val="0"/>
          <w:numId w:val="10"/>
        </w:numPr>
        <w:wordWrap/>
        <w:autoSpaceDE w:val="0"/>
        <w:autoSpaceDN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szCs w:val="21"/>
          <w:highlight w:val="none"/>
          <w:u w:val="single"/>
          <w:lang w:val="en-US" w:bidi="zh-CN"/>
        </w:rPr>
        <w:t>1名</w:t>
      </w:r>
      <w:r>
        <w:rPr>
          <w:rFonts w:hint="eastAsia" w:ascii="宋体" w:hAnsi="宋体" w:cs="宋体"/>
          <w:szCs w:val="21"/>
          <w:highlight w:val="none"/>
          <w:lang w:bidi="zh-CN"/>
        </w:rPr>
        <w:t>供应商</w:t>
      </w:r>
      <w:r>
        <w:rPr>
          <w:rFonts w:hint="eastAsia" w:ascii="宋体" w:hAnsi="宋体" w:cs="宋体"/>
          <w:szCs w:val="21"/>
          <w:highlight w:val="none"/>
          <w:lang w:val="en-US" w:bidi="zh-CN"/>
        </w:rPr>
        <w:t>提供</w:t>
      </w:r>
      <w:r>
        <w:rPr>
          <w:rFonts w:hint="eastAsia" w:ascii="宋体" w:hAnsi="宋体" w:cs="宋体"/>
          <w:szCs w:val="21"/>
          <w:highlight w:val="none"/>
          <w:lang w:bidi="zh-CN"/>
        </w:rPr>
        <w:t>环保三废检测项目，</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，本项目为固定</w:t>
      </w:r>
      <w:r>
        <w:rPr>
          <w:rFonts w:hint="eastAsia" w:ascii="宋体" w:hAnsi="宋体" w:cs="宋体"/>
          <w:szCs w:val="21"/>
          <w:highlight w:val="none"/>
          <w:lang w:val="en-US" w:bidi="zh-CN"/>
        </w:rPr>
        <w:t>总价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numPr>
          <w:ilvl w:val="0"/>
          <w:numId w:val="10"/>
        </w:numPr>
        <w:wordWrap/>
        <w:autoSpaceDE w:val="0"/>
        <w:autoSpaceDN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numPr>
          <w:ilvl w:val="0"/>
          <w:numId w:val="10"/>
        </w:numPr>
        <w:wordWrap/>
        <w:autoSpaceDE w:val="0"/>
        <w:autoSpaceDN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103"/>
        <w:numPr>
          <w:ilvl w:val="0"/>
          <w:numId w:val="10"/>
        </w:numPr>
        <w:wordWrap/>
        <w:adjustRightInd/>
        <w:snapToGrid/>
        <w:spacing w:after="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103"/>
        <w:numPr>
          <w:ilvl w:val="0"/>
          <w:numId w:val="10"/>
        </w:numPr>
        <w:wordWrap/>
        <w:adjustRightInd/>
        <w:snapToGrid/>
        <w:spacing w:after="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numPr>
          <w:ilvl w:val="0"/>
          <w:numId w:val="10"/>
        </w:numPr>
        <w:wordWrap/>
        <w:autoSpaceDE w:val="0"/>
        <w:autoSpaceDN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numPr>
          <w:ilvl w:val="0"/>
          <w:numId w:val="10"/>
        </w:numPr>
        <w:wordWrap/>
        <w:autoSpaceDE w:val="0"/>
        <w:autoSpaceDN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103"/>
        <w:numPr>
          <w:ilvl w:val="0"/>
          <w:numId w:val="10"/>
        </w:numPr>
        <w:wordWrap/>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none"/>
        </w:rPr>
        <w:t>本项目公告发布平台：</w:t>
      </w:r>
      <w:r>
        <w:rPr>
          <w:rFonts w:hint="eastAsia" w:ascii="宋体" w:hAnsi="宋体" w:eastAsia="宋体"/>
          <w:sz w:val="21"/>
          <w:szCs w:val="21"/>
          <w:highlight w:val="none"/>
          <w:lang w:val="en-US" w:eastAsia="zh-CN"/>
        </w:rPr>
        <w:t>国药集团扬州威克生物工程有限公司官网</w:t>
      </w:r>
      <w:r>
        <w:rPr>
          <w:rFonts w:hint="eastAsia" w:ascii="宋体" w:hAnsi="宋体" w:eastAsia="宋体"/>
          <w:sz w:val="21"/>
          <w:szCs w:val="21"/>
          <w:highlight w:val="none"/>
        </w:rPr>
        <w:t>（http：//www.</w:t>
      </w:r>
      <w:r>
        <w:rPr>
          <w:rFonts w:hint="eastAsia" w:ascii="宋体" w:hAnsi="宋体" w:eastAsia="宋体"/>
          <w:sz w:val="21"/>
          <w:szCs w:val="21"/>
          <w:highlight w:val="none"/>
          <w:lang w:val="en-US" w:eastAsia="zh-CN"/>
        </w:rPr>
        <w:t>sinopharm-vacbio.com</w:t>
      </w:r>
      <w:r>
        <w:rPr>
          <w:rFonts w:hint="eastAsia" w:ascii="宋体" w:hAnsi="宋体" w:eastAsia="宋体"/>
          <w:sz w:val="21"/>
          <w:szCs w:val="21"/>
          <w:highlight w:val="none"/>
        </w:rPr>
        <w:t>）。因轻信其他组织、个人或媒介提供的信息而造成的损失，其责任由投标人自行负责。</w:t>
      </w:r>
    </w:p>
    <w:p>
      <w:pPr>
        <w:wordWrap/>
        <w:autoSpaceDE w:val="0"/>
        <w:autoSpaceDN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30277"/>
      <w:bookmarkStart w:id="30" w:name="_Toc14869"/>
      <w:bookmarkStart w:id="31" w:name="_Toc16177"/>
      <w:r>
        <w:rPr>
          <w:rFonts w:hint="eastAsia" w:ascii="宋体" w:hAnsi="宋体" w:cs="宋体"/>
          <w:b/>
          <w:bCs/>
          <w:szCs w:val="21"/>
          <w:highlight w:val="none"/>
          <w:lang w:val="zh-CN" w:bidi="zh-CN"/>
        </w:rPr>
        <w:t>八、监督部门</w:t>
      </w:r>
      <w:bookmarkEnd w:id="29"/>
      <w:bookmarkEnd w:id="30"/>
      <w:bookmarkEnd w:id="31"/>
    </w:p>
    <w:p>
      <w:pPr>
        <w:wordWrap/>
        <w:autoSpaceDE w:val="0"/>
        <w:autoSpaceDN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wordWrap/>
        <w:autoSpaceDE w:val="0"/>
        <w:autoSpaceDN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1816"/>
      <w:bookmarkStart w:id="33" w:name="_Toc32313"/>
      <w:bookmarkStart w:id="34" w:name="_Toc24185"/>
      <w:r>
        <w:rPr>
          <w:rFonts w:hint="eastAsia" w:ascii="宋体" w:hAnsi="宋体" w:cs="宋体"/>
          <w:b/>
          <w:bCs/>
          <w:szCs w:val="21"/>
          <w:highlight w:val="none"/>
          <w:lang w:val="zh-CN" w:bidi="zh-CN"/>
        </w:rPr>
        <w:t>九、联系方式</w:t>
      </w:r>
      <w:bookmarkEnd w:id="32"/>
      <w:bookmarkEnd w:id="33"/>
      <w:bookmarkEnd w:id="34"/>
    </w:p>
    <w:p>
      <w:pPr>
        <w:wordWrap/>
        <w:autoSpaceDE w:val="0"/>
        <w:autoSpaceDN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wordWrap/>
        <w:autoSpaceDE w:val="0"/>
        <w:autoSpaceDN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wordWrap/>
        <w:autoSpaceDE w:val="0"/>
        <w:autoSpaceDN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 xml:space="preserve">0514-85106680转8025    </w:t>
      </w:r>
      <w:r>
        <w:rPr>
          <w:rFonts w:hint="eastAsia" w:ascii="宋体" w:hAnsi="宋体" w:cs="宋体"/>
          <w:szCs w:val="21"/>
          <w:highlight w:val="none"/>
          <w:lang w:val="zh-CN" w:bidi="zh-CN"/>
        </w:rPr>
        <w:t>电子邮件：</w:t>
      </w:r>
      <w:r>
        <w:rPr>
          <w:rFonts w:hint="eastAsia" w:ascii="宋体" w:hAnsi="宋体" w:cs="宋体"/>
          <w:szCs w:val="21"/>
          <w:highlight w:val="none"/>
          <w:lang w:bidi="zh-CN"/>
        </w:rPr>
        <w:t>chenjuan1@sinopharm.com</w:t>
      </w:r>
      <w:r>
        <w:rPr>
          <w:rFonts w:hint="eastAsia" w:ascii="宋体" w:hAnsi="宋体" w:cs="宋体"/>
          <w:szCs w:val="21"/>
          <w:highlight w:val="none"/>
          <w:lang w:val="zh-CN" w:bidi="zh-CN"/>
        </w:rPr>
        <w:t xml:space="preserve"> </w:t>
      </w:r>
    </w:p>
    <w:p>
      <w:pPr>
        <w:pStyle w:val="2"/>
        <w:keepNext/>
        <w:keepLines/>
        <w:widowControl w:val="0"/>
        <w:wordWrap/>
        <w:adjustRightInd/>
        <w:snapToGrid/>
        <w:jc w:val="both"/>
        <w:textAlignment w:val="auto"/>
        <w:rPr>
          <w:rFonts w:hint="eastAsia" w:ascii="宋体" w:hAnsi="宋体"/>
          <w:bCs w:val="0"/>
          <w:sz w:val="28"/>
          <w:szCs w:val="28"/>
        </w:rPr>
      </w:pPr>
      <w:r>
        <w:rPr>
          <w:rFonts w:ascii="宋体" w:hAnsi="宋体"/>
          <w:sz w:val="21"/>
          <w:szCs w:val="21"/>
        </w:rPr>
        <w:br w:type="page"/>
      </w:r>
      <w:bookmarkStart w:id="35" w:name="_Toc25653"/>
      <w:bookmarkStart w:id="36" w:name="_Toc179632544"/>
      <w:bookmarkStart w:id="37" w:name="_Toc109736026"/>
      <w:bookmarkStart w:id="38" w:name="_Toc233102490"/>
      <w:bookmarkStart w:id="39" w:name="_Toc144974495"/>
      <w:bookmarkStart w:id="40" w:name="_Toc152042303"/>
      <w:bookmarkStart w:id="41" w:name="_Toc390940505"/>
      <w:bookmarkStart w:id="42" w:name="_Toc152045527"/>
      <w:r>
        <w:rPr>
          <w:rFonts w:hint="eastAsia" w:ascii="宋体" w:hAnsi="宋体"/>
          <w:bCs w:val="0"/>
          <w:sz w:val="28"/>
          <w:szCs w:val="28"/>
        </w:rPr>
        <w:t>第二章 投标人须知</w:t>
      </w:r>
      <w:bookmarkEnd w:id="35"/>
      <w:bookmarkEnd w:id="36"/>
      <w:bookmarkEnd w:id="37"/>
      <w:bookmarkEnd w:id="38"/>
      <w:bookmarkEnd w:id="39"/>
      <w:bookmarkEnd w:id="40"/>
      <w:bookmarkEnd w:id="41"/>
      <w:bookmarkEnd w:id="42"/>
    </w:p>
    <w:p>
      <w:pPr>
        <w:pStyle w:val="102"/>
        <w:keepNext/>
        <w:keepLines/>
        <w:widowControl w:val="0"/>
        <w:wordWrap/>
        <w:adjustRightInd/>
        <w:snapToGrid/>
        <w:spacing w:line="360" w:lineRule="auto"/>
        <w:jc w:val="center"/>
        <w:textAlignment w:val="auto"/>
        <w:rPr>
          <w:rFonts w:hint="eastAsia" w:ascii="宋体" w:hAnsi="宋体" w:eastAsia="宋体"/>
          <w:b/>
          <w:sz w:val="21"/>
          <w:szCs w:val="21"/>
          <w:lang w:val="en-US" w:eastAsia="zh-CN"/>
        </w:rPr>
      </w:pPr>
      <w:bookmarkStart w:id="43" w:name="_Toc233102491"/>
      <w:bookmarkStart w:id="44" w:name="_Toc144974496"/>
      <w:bookmarkStart w:id="45" w:name="_Toc18804"/>
      <w:bookmarkStart w:id="46" w:name="_Toc390940506"/>
      <w:bookmarkStart w:id="47" w:name="_Toc20399"/>
      <w:bookmarkStart w:id="48" w:name="_Toc152042304"/>
      <w:bookmarkStart w:id="49" w:name="_Toc179632545"/>
      <w:bookmarkStart w:id="50" w:name="_Toc109736027"/>
      <w:bookmarkStart w:id="51" w:name="_Toc152045528"/>
      <w:r>
        <w:rPr>
          <w:rFonts w:hint="eastAsia" w:ascii="宋体" w:hAnsi="宋体" w:eastAsia="宋体"/>
          <w:b/>
          <w:sz w:val="21"/>
          <w:szCs w:val="21"/>
        </w:rPr>
        <w:t>投标人须知前附表</w:t>
      </w:r>
      <w:bookmarkEnd w:id="43"/>
      <w:bookmarkEnd w:id="44"/>
      <w:bookmarkEnd w:id="45"/>
      <w:bookmarkEnd w:id="46"/>
      <w:bookmarkEnd w:id="47"/>
      <w:bookmarkEnd w:id="48"/>
      <w:bookmarkEnd w:id="49"/>
      <w:bookmarkEnd w:id="50"/>
      <w:bookmarkEnd w:id="51"/>
    </w:p>
    <w:p>
      <w:pPr>
        <w:widowControl w:val="0"/>
        <w:wordWrap/>
        <w:adjustRightInd/>
        <w:snapToGrid/>
        <w:jc w:val="center"/>
        <w:textAlignment w:val="auto"/>
        <w:rPr>
          <w:rFonts w:hint="eastAsia" w:ascii="宋体" w:hAnsi="宋体" w:cs="微软雅黑"/>
          <w:b/>
          <w:kern w:val="0"/>
          <w:szCs w:val="21"/>
        </w:rPr>
      </w:pPr>
      <w:r>
        <w:rPr>
          <w:rFonts w:hint="eastAsia" w:ascii="宋体" w:hAnsi="宋体" w:cs="微软雅黑"/>
          <w:b/>
          <w:kern w:val="0"/>
          <w:szCs w:val="21"/>
        </w:rPr>
        <w:t>本表是对“投标人须知”的具体补充和修改，如有矛盾，应以本表内容为准。</w:t>
      </w:r>
    </w:p>
    <w:p>
      <w:pPr>
        <w:rPr>
          <w:rFonts w:ascii="宋体" w:hAnsi="宋体"/>
          <w:szCs w:val="21"/>
        </w:rPr>
      </w:pPr>
    </w:p>
    <w:tbl>
      <w:tblPr>
        <w:tblW w:w="8647"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rPr>
          <w:trHeight w:val="430" w:hRule="atLeast"/>
        </w:trPr>
        <w:tc>
          <w:tcPr>
            <w:tcW w:w="1260" w:type="dxa"/>
            <w:vAlign w:val="center"/>
          </w:tcPr>
          <w:p>
            <w:pPr>
              <w:jc w:val="center"/>
              <w:rPr>
                <w:rFonts w:ascii="宋体" w:hAnsi="宋体"/>
                <w:b/>
                <w:szCs w:val="21"/>
              </w:rPr>
            </w:pPr>
            <w:r>
              <w:rPr>
                <w:rFonts w:hint="eastAsia" w:ascii="宋体" w:hAnsi="宋体"/>
                <w:b/>
                <w:szCs w:val="21"/>
              </w:rPr>
              <w:t>条款号</w:t>
            </w:r>
          </w:p>
        </w:tc>
        <w:tc>
          <w:tcPr>
            <w:tcW w:w="7387" w:type="dxa"/>
            <w:vAlign w:val="center"/>
          </w:tcPr>
          <w:p>
            <w:pPr>
              <w:jc w:val="center"/>
              <w:rPr>
                <w:rFonts w:ascii="宋体" w:hAnsi="宋体"/>
                <w:b/>
                <w:szCs w:val="21"/>
              </w:rPr>
            </w:pPr>
            <w:r>
              <w:rPr>
                <w:rFonts w:hint="eastAsia" w:ascii="宋体" w:hAnsi="宋体"/>
                <w:b/>
                <w:szCs w:val="21"/>
              </w:rPr>
              <w:t>内      容</w:t>
            </w:r>
          </w:p>
        </w:tc>
      </w:tr>
      <w:tr>
        <w:trPr>
          <w:trHeight w:val="90" w:hRule="atLeast"/>
        </w:trPr>
        <w:tc>
          <w:tcPr>
            <w:tcW w:w="1260" w:type="dxa"/>
            <w:vAlign w:val="center"/>
          </w:tcPr>
          <w:p>
            <w:pPr>
              <w:spacing w:line="320" w:lineRule="exact"/>
              <w:jc w:val="center"/>
              <w:rPr>
                <w:rFonts w:ascii="宋体" w:hAnsi="宋体"/>
                <w:b/>
                <w:szCs w:val="21"/>
              </w:rPr>
            </w:pPr>
            <w:r>
              <w:rPr>
                <w:rFonts w:hint="eastAsia" w:ascii="宋体" w:hAnsi="宋体"/>
                <w:b/>
                <w:szCs w:val="21"/>
              </w:rPr>
              <w:t>1.1</w:t>
            </w:r>
          </w:p>
        </w:tc>
        <w:tc>
          <w:tcPr>
            <w:tcW w:w="7387" w:type="dxa"/>
            <w:vAlign w:val="center"/>
          </w:tcPr>
          <w:p>
            <w:pPr>
              <w:spacing w:line="360" w:lineRule="auto"/>
              <w:ind w:left="630" w:hanging="630" w:hangingChars="300"/>
              <w:rPr>
                <w:rFonts w:hint="eastAsia" w:ascii="宋体" w:hAnsi="宋体"/>
                <w:szCs w:val="21"/>
              </w:rPr>
            </w:pPr>
            <w:r>
              <w:rPr>
                <w:rFonts w:ascii="宋体" w:hAnsi="宋体"/>
                <w:szCs w:val="21"/>
              </w:rPr>
              <w:t>招标人名称：国药集团扬州威克生物工程有限公司</w:t>
            </w:r>
          </w:p>
          <w:p>
            <w:pPr>
              <w:spacing w:line="360" w:lineRule="auto"/>
              <w:ind w:left="630" w:hanging="630" w:hangingChars="300"/>
              <w:rPr>
                <w:rFonts w:hint="eastAsia" w:ascii="宋体" w:hAnsi="宋体"/>
                <w:szCs w:val="21"/>
              </w:rPr>
            </w:pPr>
            <w:r>
              <w:rPr>
                <w:rFonts w:ascii="宋体" w:hAnsi="宋体"/>
                <w:szCs w:val="21"/>
              </w:rPr>
              <w:t>地</w:t>
            </w:r>
            <w:r>
              <w:rPr>
                <w:rFonts w:hint="eastAsia" w:ascii="宋体" w:hAnsi="宋体"/>
                <w:szCs w:val="21"/>
              </w:rPr>
              <w:t xml:space="preserve">  </w:t>
            </w:r>
            <w:r>
              <w:rPr>
                <w:rFonts w:ascii="宋体" w:hAnsi="宋体"/>
                <w:szCs w:val="21"/>
              </w:rPr>
              <w:t>址：</w:t>
            </w:r>
            <w:r>
              <w:rPr>
                <w:rFonts w:hint="eastAsia" w:ascii="宋体" w:hAnsi="宋体"/>
                <w:szCs w:val="21"/>
              </w:rPr>
              <w:t>扬州邗江工业园牧羊路15号</w:t>
            </w:r>
          </w:p>
          <w:p>
            <w:pPr>
              <w:spacing w:line="360" w:lineRule="auto"/>
              <w:ind w:left="630" w:hanging="630" w:hangingChars="300"/>
              <w:rPr>
                <w:rFonts w:hint="default" w:ascii="宋体" w:hAnsi="宋体"/>
                <w:szCs w:val="21"/>
                <w:highlight w:val="none"/>
                <w:lang w:val="en-US" w:eastAsia="zh-CN"/>
              </w:rPr>
            </w:pPr>
            <w:r>
              <w:rPr>
                <w:rFonts w:hint="eastAsia" w:ascii="宋体" w:hAnsi="宋体"/>
                <w:szCs w:val="21"/>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rPr>
          <w:trHeight w:val="433" w:hRule="atLeast"/>
        </w:trPr>
        <w:tc>
          <w:tcPr>
            <w:tcW w:w="1260" w:type="dxa"/>
            <w:tcBorders>
              <w:bottom w:val="single" w:color="auto" w:sz="4" w:space="0"/>
            </w:tcBorders>
            <w:vAlign w:val="center"/>
          </w:tcPr>
          <w:p>
            <w:pPr>
              <w:spacing w:line="320" w:lineRule="exact"/>
              <w:jc w:val="center"/>
              <w:rPr>
                <w:rFonts w:ascii="宋体" w:hAnsi="宋体"/>
                <w:b/>
                <w:szCs w:val="21"/>
              </w:rPr>
            </w:pPr>
            <w:r>
              <w:rPr>
                <w:rFonts w:hint="eastAsia" w:ascii="宋体" w:hAnsi="宋体"/>
                <w:b/>
                <w:szCs w:val="21"/>
              </w:rPr>
              <w:t>1.2</w:t>
            </w:r>
          </w:p>
        </w:tc>
        <w:tc>
          <w:tcPr>
            <w:tcW w:w="7387" w:type="dxa"/>
            <w:tcBorders>
              <w:bottom w:val="single" w:color="auto" w:sz="4" w:space="0"/>
            </w:tcBorders>
            <w:vAlign w:val="center"/>
          </w:tcPr>
          <w:p>
            <w:pPr>
              <w:spacing w:line="360" w:lineRule="auto"/>
              <w:ind w:left="630" w:hanging="630" w:hangingChars="300"/>
              <w:rPr>
                <w:rFonts w:hint="eastAsia"/>
              </w:rPr>
            </w:pPr>
            <w:r>
              <w:rPr>
                <w:rFonts w:hint="eastAsia"/>
              </w:rPr>
              <w:t>1．在中国境内注册的法人或其他组织，遵守中国的法律、法规和条例；</w:t>
            </w:r>
          </w:p>
          <w:p>
            <w:pPr>
              <w:spacing w:line="360" w:lineRule="auto"/>
              <w:rPr>
                <w:rFonts w:hint="eastAsia"/>
              </w:rPr>
            </w:pPr>
            <w:r>
              <w:rPr>
                <w:rFonts w:hint="eastAsia"/>
              </w:rPr>
              <w:t>2．具有良好的财务状况；</w:t>
            </w:r>
          </w:p>
          <w:p>
            <w:pPr>
              <w:spacing w:line="360" w:lineRule="auto"/>
              <w:ind w:left="630" w:hanging="630" w:hangingChars="300"/>
              <w:rPr>
                <w:rFonts w:hint="eastAsia"/>
              </w:rPr>
            </w:pPr>
            <w:r>
              <w:rPr>
                <w:rFonts w:hint="eastAsia"/>
              </w:rPr>
              <w:t>3．投标人应为拟投产品生产商或代理商，如果投标人是代理商，应提供所投产</w:t>
            </w:r>
          </w:p>
          <w:p>
            <w:pPr>
              <w:spacing w:line="360" w:lineRule="auto"/>
              <w:ind w:left="630" w:hanging="630" w:hangingChars="300"/>
              <w:rPr>
                <w:rFonts w:hint="eastAsia"/>
              </w:rPr>
            </w:pPr>
            <w:r>
              <w:rPr>
                <w:rFonts w:hint="eastAsia"/>
              </w:rPr>
              <w:t>品生产商出具的合法且在有效期内的授权书；</w:t>
            </w:r>
          </w:p>
          <w:p>
            <w:pPr>
              <w:spacing w:line="360" w:lineRule="auto"/>
              <w:ind w:left="630" w:hanging="630" w:hangingChars="300"/>
              <w:rPr>
                <w:rFonts w:hint="eastAsia"/>
              </w:rPr>
            </w:pPr>
            <w:r>
              <w:rPr>
                <w:rFonts w:hint="eastAsia"/>
              </w:rPr>
              <w:t>4．投标人法定代表人为同一个人的两个及两个以上法人，母公司与全资子公司/</w:t>
            </w:r>
          </w:p>
          <w:p>
            <w:pPr>
              <w:spacing w:line="360" w:lineRule="auto"/>
              <w:ind w:left="630" w:hanging="630" w:hangingChars="300"/>
              <w:rPr>
                <w:rFonts w:hint="eastAsia"/>
              </w:rPr>
            </w:pPr>
            <w:r>
              <w:rPr>
                <w:rFonts w:hint="eastAsia"/>
              </w:rPr>
              <w:t>由其控股的子公司，不得同时参与本项目；</w:t>
            </w:r>
          </w:p>
          <w:p>
            <w:pPr>
              <w:spacing w:line="360" w:lineRule="auto"/>
              <w:ind w:left="630" w:hanging="630" w:hangingChars="300"/>
              <w:rPr>
                <w:rFonts w:hint="eastAsia"/>
              </w:rPr>
            </w:pPr>
            <w:r>
              <w:rPr>
                <w:rFonts w:hint="eastAsia"/>
              </w:rPr>
              <w:t>5．投标人在法律和财务上独立、合法运作并独立于招标人，不得直接或间接地</w:t>
            </w:r>
          </w:p>
          <w:p>
            <w:pPr>
              <w:spacing w:line="360" w:lineRule="auto"/>
              <w:ind w:left="630" w:hanging="630" w:hangingChars="300"/>
              <w:rPr>
                <w:rFonts w:hint="eastAsia"/>
              </w:rPr>
            </w:pPr>
            <w:r>
              <w:rPr>
                <w:rFonts w:hint="eastAsia"/>
              </w:rPr>
              <w:t>与招标人为本项目所委托的咨询公司或其附属机构有任何关联；</w:t>
            </w:r>
          </w:p>
          <w:p>
            <w:pPr>
              <w:spacing w:line="360" w:lineRule="auto"/>
              <w:ind w:left="630" w:hanging="630" w:hangingChars="300"/>
              <w:rPr>
                <w:rFonts w:hint="eastAsia"/>
              </w:rPr>
            </w:pPr>
            <w:r>
              <w:rPr>
                <w:rFonts w:hint="eastAsia"/>
              </w:rPr>
              <w:t>6．投标人须保证，招标人在其本国使用其提供的货物及服务时，不存在任何已</w:t>
            </w:r>
          </w:p>
          <w:p>
            <w:pPr>
              <w:spacing w:line="360" w:lineRule="auto"/>
              <w:ind w:left="630" w:hanging="630" w:hangingChars="300"/>
              <w:rPr>
                <w:rFonts w:hint="eastAsia"/>
              </w:rPr>
            </w:pPr>
            <w:r>
              <w:rPr>
                <w:rFonts w:hint="eastAsia"/>
              </w:rPr>
              <w:t>知的不合法的情形，也不存在任何已知的与第三方专利权、著作权、商标权或工</w:t>
            </w:r>
          </w:p>
          <w:p>
            <w:pPr>
              <w:spacing w:line="360" w:lineRule="auto"/>
              <w:ind w:left="630" w:hanging="630" w:hangingChars="300"/>
              <w:rPr>
                <w:rFonts w:hint="eastAsia"/>
              </w:rPr>
            </w:pPr>
            <w:r>
              <w:rPr>
                <w:rFonts w:hint="eastAsia"/>
              </w:rPr>
              <w:t>业设计权相关的任何争议。如果有任何因招标人使用投标人提供的服务而提起的</w:t>
            </w:r>
          </w:p>
          <w:p>
            <w:pPr>
              <w:spacing w:line="360" w:lineRule="auto"/>
              <w:ind w:left="630" w:hanging="630" w:hangingChars="300"/>
              <w:rPr>
                <w:rFonts w:hint="eastAsia"/>
              </w:rPr>
            </w:pPr>
            <w:r>
              <w:rPr>
                <w:rFonts w:hint="eastAsia"/>
              </w:rPr>
              <w:t>侵权指控，投标人须依法承担全部责任；</w:t>
            </w:r>
          </w:p>
          <w:p>
            <w:pPr>
              <w:spacing w:line="360" w:lineRule="auto"/>
              <w:ind w:left="630" w:hanging="630" w:hangingChars="300"/>
              <w:rPr>
                <w:rFonts w:hint="eastAsia"/>
              </w:rPr>
            </w:pPr>
            <w:r>
              <w:rPr>
                <w:rFonts w:hint="eastAsia"/>
              </w:rPr>
              <w:t>7．投标人须承诺企业及企业法定代表人近三年内未受到监管机构重大处罚、无</w:t>
            </w:r>
          </w:p>
          <w:p>
            <w:pPr>
              <w:spacing w:line="360" w:lineRule="auto"/>
              <w:ind w:left="630" w:hanging="630" w:hangingChars="300"/>
              <w:rPr>
                <w:rFonts w:hint="eastAsia"/>
              </w:rPr>
            </w:pPr>
            <w:r>
              <w:rPr>
                <w:rFonts w:hint="eastAsia"/>
              </w:rPr>
              <w:t>行贿受贿违法行为、未被“信用中国网站”（www.creditchina.gov.cn）列入失</w:t>
            </w:r>
          </w:p>
          <w:p>
            <w:pPr>
              <w:spacing w:line="360" w:lineRule="auto"/>
              <w:ind w:left="630" w:hanging="630" w:hangingChars="300"/>
              <w:rPr>
                <w:rFonts w:hint="eastAsia"/>
              </w:rPr>
            </w:pPr>
            <w:r>
              <w:rPr>
                <w:rFonts w:hint="eastAsia"/>
              </w:rPr>
              <w:t>信被执行人、重大税收违法案件当事人名单、政府采购严重违法失信名单，具有</w:t>
            </w:r>
          </w:p>
          <w:p>
            <w:pPr>
              <w:spacing w:line="360" w:lineRule="auto"/>
              <w:ind w:left="630" w:hanging="630" w:hangingChars="300"/>
              <w:rPr>
                <w:rFonts w:hint="eastAsia"/>
              </w:rPr>
            </w:pPr>
            <w:r>
              <w:rPr>
                <w:rFonts w:hint="eastAsia"/>
              </w:rPr>
              <w:t>较强的风险控制和较好的经营业绩且经营状况良好，严格遵守国家有关的法律法</w:t>
            </w:r>
          </w:p>
          <w:p>
            <w:pPr>
              <w:spacing w:line="360" w:lineRule="auto"/>
              <w:ind w:left="630" w:hanging="630" w:hangingChars="300"/>
              <w:rPr>
                <w:rFonts w:hint="eastAsia"/>
              </w:rPr>
            </w:pPr>
            <w:r>
              <w:rPr>
                <w:rFonts w:hint="eastAsia"/>
              </w:rPr>
              <w:t>规，内部管理规范、控制制度严密，具有严格的操作规程和保密措施；</w:t>
            </w:r>
          </w:p>
          <w:p>
            <w:pPr>
              <w:spacing w:line="360" w:lineRule="auto"/>
              <w:ind w:left="630" w:hanging="630" w:hangingChars="300"/>
              <w:rPr>
                <w:rFonts w:hint="eastAsia"/>
              </w:rPr>
            </w:pPr>
            <w:r>
              <w:rPr>
                <w:rFonts w:hint="eastAsia"/>
              </w:rPr>
              <w:t>8．投标人不得将本项目招标内容以任何方式进行转包或分包；</w:t>
            </w:r>
          </w:p>
          <w:p>
            <w:pPr>
              <w:spacing w:line="360" w:lineRule="auto"/>
              <w:ind w:left="630" w:hanging="630" w:hangingChars="300"/>
              <w:rPr>
                <w:rFonts w:hint="default" w:eastAsia="宋体"/>
                <w:lang w:val="en-US" w:eastAsia="zh-CN"/>
              </w:rPr>
            </w:pPr>
            <w:r>
              <w:rPr>
                <w:rFonts w:hint="eastAsia"/>
              </w:rPr>
              <w:t>9．本项目不接受联合体投标。</w:t>
            </w:r>
          </w:p>
        </w:tc>
      </w:tr>
      <w:tr>
        <w:trPr>
          <w:trHeight w:val="539" w:hRule="atLeast"/>
        </w:trPr>
        <w:tc>
          <w:tcPr>
            <w:tcW w:w="1260" w:type="dxa"/>
            <w:tcBorders>
              <w:bottom w:val="single" w:color="auto" w:sz="4" w:space="0"/>
            </w:tcBorders>
            <w:vAlign w:val="center"/>
          </w:tcPr>
          <w:p>
            <w:pPr>
              <w:spacing w:line="360" w:lineRule="auto"/>
              <w:jc w:val="center"/>
              <w:rPr>
                <w:rFonts w:hint="eastAsia" w:ascii="宋体" w:hAnsi="宋体"/>
                <w:b/>
                <w:szCs w:val="21"/>
              </w:rPr>
            </w:pPr>
            <w:r>
              <w:rPr>
                <w:rFonts w:hint="eastAsia" w:ascii="宋体" w:hAnsi="宋体"/>
                <w:b/>
                <w:szCs w:val="21"/>
                <w:highlight w:val="none"/>
              </w:rPr>
              <w:t>条款号</w:t>
            </w:r>
          </w:p>
        </w:tc>
        <w:tc>
          <w:tcPr>
            <w:tcW w:w="7387" w:type="dxa"/>
            <w:tcBorders>
              <w:bottom w:val="single" w:color="auto" w:sz="4" w:space="0"/>
            </w:tcBorders>
            <w:vAlign w:val="center"/>
          </w:tcPr>
          <w:p>
            <w:pPr>
              <w:spacing w:line="360" w:lineRule="auto"/>
              <w:jc w:val="center"/>
              <w:rPr>
                <w:rFonts w:hint="eastAsia" w:ascii="宋体" w:hAnsi="宋体" w:cs="Arial"/>
                <w:szCs w:val="21"/>
              </w:rPr>
            </w:pPr>
            <w:r>
              <w:rPr>
                <w:rFonts w:hint="eastAsia" w:ascii="宋体" w:hAnsi="宋体"/>
                <w:b/>
                <w:szCs w:val="21"/>
                <w:highlight w:val="none"/>
              </w:rPr>
              <w:t>内容</w:t>
            </w:r>
          </w:p>
        </w:tc>
      </w:tr>
      <w:tr>
        <w:trPr>
          <w:trHeight w:val="539" w:hRule="atLeast"/>
        </w:trPr>
        <w:tc>
          <w:tcPr>
            <w:tcW w:w="1260" w:type="dxa"/>
            <w:tcBorders>
              <w:bottom w:val="single" w:color="auto" w:sz="4" w:space="0"/>
            </w:tcBorders>
            <w:vAlign w:val="center"/>
          </w:tcPr>
          <w:p>
            <w:pPr>
              <w:spacing w:line="320" w:lineRule="exact"/>
              <w:jc w:val="center"/>
              <w:rPr>
                <w:rFonts w:hint="eastAsia" w:ascii="宋体" w:hAnsi="宋体"/>
                <w:b/>
                <w:szCs w:val="21"/>
              </w:rPr>
            </w:pPr>
            <w:r>
              <w:rPr>
                <w:rFonts w:hint="eastAsia" w:ascii="宋体" w:hAnsi="宋体"/>
                <w:b/>
                <w:szCs w:val="21"/>
              </w:rPr>
              <w:t>1.3</w:t>
            </w:r>
          </w:p>
        </w:tc>
        <w:tc>
          <w:tcPr>
            <w:tcW w:w="7387" w:type="dxa"/>
            <w:tcBorders>
              <w:bottom w:val="single" w:color="auto" w:sz="4" w:space="0"/>
            </w:tcBorders>
            <w:vAlign w:val="center"/>
          </w:tcPr>
          <w:p>
            <w:pPr>
              <w:spacing w:line="320" w:lineRule="exact"/>
              <w:rPr>
                <w:rFonts w:ascii="宋体" w:hAnsi="宋体" w:cs="Arial"/>
                <w:szCs w:val="21"/>
              </w:rPr>
            </w:pPr>
            <w:r>
              <w:rPr>
                <w:rFonts w:hint="eastAsia" w:ascii="宋体" w:hAnsi="宋体" w:cs="Arial"/>
                <w:szCs w:val="21"/>
              </w:rPr>
              <w:t>本项目不接受联合体投标。</w:t>
            </w:r>
          </w:p>
        </w:tc>
      </w:tr>
      <w:tr>
        <w:trPr>
          <w:trHeight w:val="539" w:hRule="atLeast"/>
        </w:trPr>
        <w:tc>
          <w:tcPr>
            <w:tcW w:w="1260" w:type="dxa"/>
            <w:tcBorders>
              <w:bottom w:val="single" w:color="auto" w:sz="4" w:space="0"/>
            </w:tcBorders>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rPr>
          <w:trHeight w:val="539" w:hRule="atLeast"/>
        </w:trPr>
        <w:tc>
          <w:tcPr>
            <w:tcW w:w="1260" w:type="dxa"/>
            <w:tcBorders>
              <w:bottom w:val="single" w:color="auto" w:sz="4" w:space="0"/>
            </w:tcBorders>
            <w:vAlign w:val="center"/>
          </w:tcPr>
          <w:p>
            <w:pPr>
              <w:spacing w:line="320" w:lineRule="exact"/>
              <w:jc w:val="center"/>
              <w:rPr>
                <w:rFonts w:hint="eastAsia" w:ascii="宋体" w:hAnsi="宋体" w:eastAsia="宋体" w:cs="Arial"/>
                <w:b/>
                <w:szCs w:val="21"/>
                <w:lang w:eastAsia="zh-CN"/>
              </w:rPr>
            </w:pPr>
            <w:r>
              <w:rPr>
                <w:rFonts w:hint="eastAsia" w:ascii="宋体" w:hAnsi="宋体" w:cs="Arial"/>
                <w:b/>
                <w:szCs w:val="21"/>
                <w:lang w:val="en-US" w:eastAsia="zh-CN"/>
              </w:rPr>
              <w:t>3</w:t>
            </w:r>
          </w:p>
        </w:tc>
        <w:tc>
          <w:tcPr>
            <w:tcW w:w="7387" w:type="dxa"/>
            <w:tcBorders>
              <w:bottom w:val="single" w:color="auto" w:sz="4" w:space="0"/>
            </w:tcBorders>
            <w:vAlign w:val="center"/>
          </w:tcPr>
          <w:p>
            <w:pPr>
              <w:spacing w:line="320" w:lineRule="exact"/>
              <w:rPr>
                <w:rFonts w:ascii="宋体" w:hAnsi="宋体" w:cs="Arial"/>
                <w:szCs w:val="21"/>
              </w:rPr>
            </w:pPr>
            <w:r>
              <w:rPr>
                <w:rFonts w:ascii="宋体" w:hAnsi="宋体" w:cs="Arial"/>
                <w:szCs w:val="21"/>
              </w:rPr>
              <w:t>是否允许提供备选方案：否</w:t>
            </w:r>
          </w:p>
        </w:tc>
      </w:tr>
      <w:tr>
        <w:trPr>
          <w:trHeight w:val="539" w:hRule="atLeast"/>
        </w:trPr>
        <w:tc>
          <w:tcPr>
            <w:tcW w:w="1260" w:type="dxa"/>
            <w:tcBorders>
              <w:bottom w:val="single" w:color="auto" w:sz="4" w:space="0"/>
            </w:tcBorders>
            <w:vAlign w:val="center"/>
          </w:tcPr>
          <w:p>
            <w:pPr>
              <w:spacing w:line="360" w:lineRule="auto"/>
              <w:jc w:val="center"/>
              <w:rPr>
                <w:rFonts w:hint="eastAsia" w:ascii="宋体" w:hAnsi="宋体" w:eastAsia="宋体" w:cs="Arial"/>
                <w:b/>
                <w:szCs w:val="21"/>
                <w:lang w:eastAsia="zh-CN"/>
              </w:rPr>
            </w:pPr>
            <w:r>
              <w:rPr>
                <w:rFonts w:hint="eastAsia" w:ascii="宋体" w:hAnsi="宋体" w:cs="Arial"/>
                <w:b/>
                <w:szCs w:val="21"/>
                <w:highlight w:val="none"/>
                <w:lang w:val="en-US" w:eastAsia="zh-CN"/>
              </w:rPr>
              <w:t>4</w:t>
            </w:r>
          </w:p>
        </w:tc>
        <w:tc>
          <w:tcPr>
            <w:tcW w:w="7387" w:type="dxa"/>
            <w:tcBorders>
              <w:bottom w:val="single" w:color="auto" w:sz="4" w:space="0"/>
            </w:tcBorders>
            <w:vAlign w:val="center"/>
          </w:tcPr>
          <w:p>
            <w:pPr>
              <w:spacing w:line="360" w:lineRule="auto"/>
              <w:rPr>
                <w:rFonts w:hint="eastAsia" w:ascii="宋体" w:hAnsi="宋体" w:eastAsia="宋体" w:cs="Arial"/>
                <w:szCs w:val="21"/>
                <w:highlight w:val="none"/>
                <w:lang w:eastAsia="zh-CN"/>
              </w:rPr>
            </w:pPr>
            <w:r>
              <w:rPr>
                <w:rFonts w:hint="eastAsia" w:ascii="宋体" w:hAnsi="宋体" w:cs="Arial"/>
                <w:szCs w:val="21"/>
                <w:highlight w:val="none"/>
              </w:rPr>
              <w:t>生产厂商</w:t>
            </w:r>
            <w:r>
              <w:rPr>
                <w:rFonts w:ascii="宋体" w:hAnsi="宋体" w:cs="Arial"/>
                <w:szCs w:val="21"/>
                <w:highlight w:val="none"/>
              </w:rPr>
              <w:t>的资格声明：</w:t>
            </w:r>
            <w:r>
              <w:rPr>
                <w:rFonts w:hint="eastAsia" w:ascii="宋体" w:hAnsi="宋体" w:cs="Arial"/>
                <w:szCs w:val="21"/>
                <w:highlight w:val="none"/>
                <w:lang w:val="en-US" w:eastAsia="zh-CN"/>
              </w:rPr>
              <w:t>否</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rPr>
          <w:trHeight w:val="2043" w:hRule="atLeast"/>
        </w:trPr>
        <w:tc>
          <w:tcPr>
            <w:tcW w:w="1260" w:type="dxa"/>
            <w:vAlign w:val="center"/>
          </w:tcPr>
          <w:p>
            <w:pPr>
              <w:spacing w:line="320" w:lineRule="exact"/>
              <w:jc w:val="center"/>
              <w:rPr>
                <w:rFonts w:hint="eastAsia" w:ascii="宋体" w:hAnsi="宋体" w:eastAsia="宋体"/>
                <w:b/>
                <w:szCs w:val="21"/>
                <w:lang w:eastAsia="zh-CN"/>
              </w:rPr>
            </w:pPr>
            <w:r>
              <w:rPr>
                <w:rFonts w:hint="eastAsia" w:ascii="宋体" w:hAnsi="宋体"/>
                <w:b/>
                <w:szCs w:val="21"/>
                <w:lang w:val="en-US" w:eastAsia="zh-CN"/>
              </w:rPr>
              <w:t>5</w:t>
            </w:r>
          </w:p>
        </w:tc>
        <w:tc>
          <w:tcPr>
            <w:tcW w:w="7387" w:type="dxa"/>
            <w:vAlign w:val="center"/>
          </w:tcPr>
          <w:p>
            <w:pPr>
              <w:spacing w:line="320" w:lineRule="exact"/>
              <w:rPr>
                <w:rFonts w:hint="eastAsia" w:ascii="宋体" w:hAnsi="宋体"/>
                <w:szCs w:val="21"/>
              </w:rPr>
            </w:pPr>
            <w:r>
              <w:rPr>
                <w:rFonts w:hint="eastAsia" w:ascii="宋体" w:hAnsi="宋体"/>
                <w:b/>
                <w:szCs w:val="21"/>
              </w:rPr>
              <w:t>投标保证金：</w:t>
            </w:r>
            <w:r>
              <w:rPr>
                <w:rFonts w:hint="eastAsia" w:ascii="宋体" w:hAnsi="宋体"/>
                <w:szCs w:val="21"/>
              </w:rPr>
              <w:t>无。</w:t>
            </w:r>
          </w:p>
          <w:p>
            <w:pPr>
              <w:spacing w:line="360" w:lineRule="exact"/>
              <w:rPr>
                <w:rFonts w:ascii="宋体" w:hAnsi="宋体"/>
                <w:b/>
                <w:szCs w:val="21"/>
              </w:rPr>
            </w:pPr>
          </w:p>
        </w:tc>
      </w:tr>
      <w:tr>
        <w:trPr>
          <w:trHeight w:val="505" w:hRule="atLeast"/>
        </w:trPr>
        <w:tc>
          <w:tcPr>
            <w:tcW w:w="1260" w:type="dxa"/>
            <w:vAlign w:val="center"/>
          </w:tcPr>
          <w:p>
            <w:pPr>
              <w:spacing w:line="320" w:lineRule="exact"/>
              <w:jc w:val="center"/>
              <w:rPr>
                <w:rFonts w:hint="eastAsia" w:ascii="宋体" w:hAnsi="宋体" w:eastAsia="宋体"/>
                <w:b/>
                <w:szCs w:val="21"/>
                <w:lang w:eastAsia="zh-CN"/>
              </w:rPr>
            </w:pPr>
            <w:r>
              <w:rPr>
                <w:rFonts w:hint="eastAsia" w:ascii="宋体" w:hAnsi="宋体"/>
                <w:b/>
                <w:szCs w:val="21"/>
                <w:lang w:val="en-US" w:eastAsia="zh-CN"/>
              </w:rPr>
              <w:t>6</w:t>
            </w:r>
          </w:p>
        </w:tc>
        <w:tc>
          <w:tcPr>
            <w:tcW w:w="7387" w:type="dxa"/>
            <w:vAlign w:val="center"/>
          </w:tcPr>
          <w:p>
            <w:pPr>
              <w:spacing w:line="320" w:lineRule="exact"/>
              <w:ind w:left="1592" w:hanging="1592"/>
              <w:rPr>
                <w:rFonts w:hint="eastAsia" w:ascii="宋体" w:hAnsi="宋体" w:eastAsia="宋体"/>
                <w:szCs w:val="21"/>
                <w:u w:val="single"/>
                <w:lang w:val="en-US" w:eastAsia="zh-CN"/>
              </w:rPr>
            </w:pPr>
            <w:r>
              <w:rPr>
                <w:rFonts w:hint="eastAsia" w:ascii="宋体" w:hAnsi="宋体"/>
                <w:szCs w:val="21"/>
              </w:rPr>
              <w:t>投标有效期：</w:t>
            </w:r>
            <w:r>
              <w:rPr>
                <w:rFonts w:hint="eastAsia" w:ascii="宋体" w:hAnsi="宋体"/>
                <w:szCs w:val="21"/>
                <w:highlight w:val="none"/>
              </w:rPr>
              <w:t>自投标截止之日起</w:t>
            </w:r>
            <w:r>
              <w:rPr>
                <w:rFonts w:hint="eastAsia" w:ascii="宋体" w:hAnsi="宋体"/>
                <w:szCs w:val="21"/>
                <w:highlight w:val="none"/>
                <w:lang w:val="en-US" w:eastAsia="zh-CN"/>
              </w:rPr>
              <w:t>1</w:t>
            </w:r>
            <w:r>
              <w:rPr>
                <w:rFonts w:hint="eastAsia" w:ascii="宋体" w:hAnsi="宋体"/>
                <w:szCs w:val="21"/>
                <w:highlight w:val="none"/>
              </w:rPr>
              <w:t>20天</w:t>
            </w:r>
            <w:r>
              <w:rPr>
                <w:rFonts w:hint="eastAsia" w:ascii="宋体" w:hAnsi="宋体"/>
                <w:szCs w:val="21"/>
                <w:highlight w:val="none"/>
                <w:lang w:eastAsia="zh-CN"/>
              </w:rPr>
              <w:t>。</w:t>
            </w:r>
          </w:p>
        </w:tc>
      </w:tr>
      <w:tr>
        <w:trPr>
          <w:trHeight w:val="404" w:hRule="atLeast"/>
        </w:trPr>
        <w:tc>
          <w:tcPr>
            <w:tcW w:w="1260" w:type="dxa"/>
            <w:vAlign w:val="center"/>
          </w:tcPr>
          <w:p>
            <w:pPr>
              <w:spacing w:line="320" w:lineRule="exact"/>
              <w:jc w:val="center"/>
              <w:rPr>
                <w:rFonts w:hint="eastAsia" w:ascii="宋体" w:hAnsi="宋体" w:eastAsia="宋体"/>
                <w:b/>
                <w:szCs w:val="21"/>
                <w:lang w:eastAsia="zh-CN"/>
              </w:rPr>
            </w:pPr>
            <w:r>
              <w:rPr>
                <w:rFonts w:hint="eastAsia" w:ascii="宋体" w:hAnsi="宋体"/>
                <w:b/>
                <w:szCs w:val="21"/>
                <w:lang w:val="en-US" w:eastAsia="zh-CN"/>
              </w:rPr>
              <w:t>7</w:t>
            </w:r>
          </w:p>
        </w:tc>
        <w:tc>
          <w:tcPr>
            <w:tcW w:w="7387" w:type="dxa"/>
            <w:vAlign w:val="center"/>
          </w:tcPr>
          <w:p>
            <w:pPr>
              <w:spacing w:line="320" w:lineRule="exact"/>
            </w:pPr>
            <w:r>
              <w:rPr>
                <w:rFonts w:hint="eastAsia"/>
              </w:rPr>
              <w:t>投标文件：正本：1份，副本：2份，可编辑的电子文档（U盘）：1份</w:t>
            </w:r>
            <w:r>
              <w:t>（电子文件与纸质文件内容不符时，以纸质文件的正本为准）</w:t>
            </w:r>
            <w:r>
              <w:rPr>
                <w:rFonts w:hint="eastAsia"/>
              </w:rPr>
              <w:t>，未按要求提供的，将导致废标。</w:t>
            </w:r>
          </w:p>
        </w:tc>
      </w:tr>
      <w:tr>
        <w:trPr>
          <w:trHeight w:val="1183" w:hRule="atLeast"/>
        </w:trPr>
        <w:tc>
          <w:tcPr>
            <w:tcW w:w="1260" w:type="dxa"/>
            <w:vAlign w:val="center"/>
          </w:tcPr>
          <w:p>
            <w:pPr>
              <w:spacing w:line="320" w:lineRule="exact"/>
              <w:jc w:val="center"/>
              <w:rPr>
                <w:rFonts w:hint="eastAsia" w:ascii="宋体" w:hAnsi="宋体" w:eastAsia="宋体"/>
                <w:b/>
                <w:szCs w:val="21"/>
                <w:lang w:eastAsia="zh-CN"/>
              </w:rPr>
            </w:pPr>
            <w:r>
              <w:rPr>
                <w:rFonts w:hint="eastAsia" w:ascii="宋体" w:hAnsi="宋体"/>
                <w:b/>
                <w:szCs w:val="21"/>
                <w:lang w:val="en-US" w:eastAsia="zh-CN"/>
              </w:rPr>
              <w:t>8</w:t>
            </w:r>
          </w:p>
        </w:tc>
        <w:tc>
          <w:tcPr>
            <w:tcW w:w="7387" w:type="dxa"/>
            <w:vAlign w:val="center"/>
          </w:tcPr>
          <w:p>
            <w:pPr>
              <w:autoSpaceDE w:val="0"/>
              <w:autoSpaceDN w:val="0"/>
              <w:spacing w:line="360" w:lineRule="auto"/>
              <w:jc w:val="left"/>
              <w:outlineLvl w:val="9"/>
              <w:rPr>
                <w:rFonts w:hint="eastAsia" w:ascii="宋体" w:hAnsi="宋体"/>
                <w:szCs w:val="21"/>
              </w:rPr>
            </w:pPr>
            <w:r>
              <w:rPr>
                <w:rFonts w:hint="eastAsia" w:ascii="宋体" w:hAnsi="宋体"/>
                <w:szCs w:val="21"/>
              </w:rPr>
              <w:t>投标截止期：</w:t>
            </w:r>
            <w:r>
              <w:rPr>
                <w:rFonts w:hint="eastAsia" w:ascii="宋体" w:hAnsi="宋体" w:cs="宋体"/>
                <w:szCs w:val="21"/>
                <w:highlight w:val="none"/>
                <w:lang w:val="en-US" w:bidi="zh-CN"/>
              </w:rPr>
              <w:t>以招标公告时间为准</w:t>
            </w:r>
            <w:r>
              <w:rPr>
                <w:rFonts w:hint="eastAsia" w:ascii="宋体" w:hAnsi="宋体"/>
                <w:szCs w:val="21"/>
              </w:rPr>
              <w:t>（北京时间）</w:t>
            </w:r>
          </w:p>
          <w:p>
            <w:pPr>
              <w:spacing w:line="320" w:lineRule="exact"/>
              <w:rPr>
                <w:rFonts w:hint="eastAsia" w:ascii="宋体" w:hAnsi="宋体"/>
                <w:szCs w:val="21"/>
              </w:rPr>
            </w:pPr>
            <w:r>
              <w:rPr>
                <w:rFonts w:hint="eastAsia" w:ascii="宋体" w:hAnsi="宋体"/>
                <w:szCs w:val="21"/>
              </w:rPr>
              <w:t xml:space="preserve">递交文件地点: </w:t>
            </w:r>
            <w:r>
              <w:rPr>
                <w:rFonts w:hint="eastAsia" w:ascii="宋体" w:hAnsi="宋体"/>
                <w:b/>
                <w:bCs/>
                <w:szCs w:val="21"/>
                <w:u w:val="single"/>
              </w:rPr>
              <w:t>江苏省扬州市邗江区牧羊路15号办公楼</w:t>
            </w:r>
            <w:r>
              <w:rPr>
                <w:rFonts w:hint="eastAsia" w:ascii="宋体" w:hAnsi="宋体"/>
                <w:b/>
                <w:bCs/>
                <w:szCs w:val="21"/>
                <w:u w:val="single"/>
                <w:lang w:val="en-US" w:eastAsia="zh-CN"/>
              </w:rPr>
              <w:t>综合管理部</w:t>
            </w:r>
            <w:r>
              <w:rPr>
                <w:rFonts w:hint="eastAsia" w:ascii="宋体" w:hAnsi="宋体"/>
                <w:b/>
                <w:bCs/>
                <w:szCs w:val="21"/>
                <w:u w:val="single"/>
              </w:rPr>
              <w:t>（可邮寄）</w:t>
            </w:r>
          </w:p>
          <w:p>
            <w:pPr>
              <w:spacing w:line="320" w:lineRule="exact"/>
              <w:rPr>
                <w:rFonts w:ascii="宋体" w:hAnsi="宋体"/>
                <w:szCs w:val="21"/>
              </w:rPr>
            </w:pPr>
            <w:r>
              <w:rPr>
                <w:rFonts w:hint="eastAsia" w:ascii="宋体" w:hAnsi="宋体"/>
                <w:szCs w:val="21"/>
              </w:rPr>
              <w:t>(</w:t>
            </w:r>
            <w:r>
              <w:rPr>
                <w:rFonts w:ascii="宋体" w:hAnsi="宋体"/>
                <w:szCs w:val="21"/>
              </w:rPr>
              <w:t>若未按上述要求按时递交，则其投标文件</w:t>
            </w:r>
            <w:r>
              <w:rPr>
                <w:rFonts w:hint="eastAsia" w:ascii="宋体" w:hAnsi="宋体"/>
                <w:szCs w:val="21"/>
              </w:rPr>
              <w:t>将被拒绝</w:t>
            </w:r>
            <w:r>
              <w:rPr>
                <w:rFonts w:ascii="宋体" w:hAnsi="宋体"/>
                <w:szCs w:val="21"/>
              </w:rPr>
              <w:t>）</w:t>
            </w:r>
          </w:p>
        </w:tc>
      </w:tr>
      <w:tr>
        <w:trPr>
          <w:trHeight w:val="926" w:hRule="atLeast"/>
        </w:trPr>
        <w:tc>
          <w:tcPr>
            <w:tcW w:w="1260" w:type="dxa"/>
            <w:vAlign w:val="center"/>
          </w:tcPr>
          <w:p>
            <w:pPr>
              <w:spacing w:line="320" w:lineRule="exact"/>
              <w:jc w:val="center"/>
              <w:rPr>
                <w:rFonts w:hint="eastAsia" w:ascii="宋体" w:hAnsi="宋体" w:eastAsia="宋体"/>
                <w:b/>
                <w:szCs w:val="21"/>
                <w:lang w:eastAsia="zh-CN"/>
              </w:rPr>
            </w:pPr>
            <w:r>
              <w:rPr>
                <w:rFonts w:hint="eastAsia" w:ascii="宋体" w:hAnsi="宋体"/>
                <w:b/>
                <w:szCs w:val="21"/>
                <w:lang w:val="en-US" w:eastAsia="zh-CN"/>
              </w:rPr>
              <w:t>9</w:t>
            </w:r>
          </w:p>
        </w:tc>
        <w:tc>
          <w:tcPr>
            <w:tcW w:w="7387" w:type="dxa"/>
            <w:vAlign w:val="center"/>
          </w:tcPr>
          <w:p>
            <w:pPr>
              <w:spacing w:line="320" w:lineRule="exact"/>
              <w:rPr>
                <w:rFonts w:ascii="宋体" w:hAnsi="宋体"/>
                <w:szCs w:val="21"/>
                <w:u w:val="single"/>
              </w:rPr>
            </w:pPr>
            <w:r>
              <w:rPr>
                <w:rFonts w:hint="eastAsia" w:ascii="宋体" w:hAnsi="宋体"/>
                <w:szCs w:val="21"/>
              </w:rPr>
              <w:t>开标时间：</w:t>
            </w:r>
            <w:r>
              <w:rPr>
                <w:rFonts w:hint="eastAsia" w:ascii="宋体" w:hAnsi="宋体"/>
                <w:b/>
                <w:bCs/>
                <w:szCs w:val="21"/>
                <w:highlight w:val="none"/>
                <w:u w:val="single"/>
              </w:rPr>
              <w:t>具体时间提前通知</w:t>
            </w:r>
            <w:r>
              <w:rPr>
                <w:rFonts w:hint="eastAsia" w:ascii="宋体" w:hAnsi="宋体"/>
                <w:szCs w:val="21"/>
              </w:rPr>
              <w:t>（北京时间）</w:t>
            </w:r>
          </w:p>
          <w:p>
            <w:pPr>
              <w:spacing w:line="320" w:lineRule="exact"/>
              <w:rPr>
                <w:rFonts w:hint="default" w:ascii="宋体" w:hAnsi="宋体" w:eastAsia="宋体"/>
                <w:szCs w:val="21"/>
                <w:lang w:val="en-US" w:eastAsia="zh-CN"/>
              </w:rPr>
            </w:pPr>
            <w:r>
              <w:rPr>
                <w:rFonts w:hint="eastAsia" w:ascii="宋体" w:hAnsi="宋体"/>
                <w:szCs w:val="21"/>
              </w:rPr>
              <w:t>开标地点：</w:t>
            </w:r>
            <w:r>
              <w:rPr>
                <w:rFonts w:hint="eastAsia" w:ascii="宋体" w:hAnsi="宋体"/>
                <w:b/>
                <w:bCs/>
                <w:szCs w:val="21"/>
                <w:u w:val="single"/>
              </w:rPr>
              <w:t>江苏省扬州市邗江区牧羊路15号办公楼二楼大会议室</w:t>
            </w:r>
            <w:r>
              <w:rPr>
                <w:rFonts w:hint="eastAsia" w:ascii="宋体" w:hAnsi="宋体"/>
                <w:b/>
                <w:bCs/>
                <w:szCs w:val="21"/>
                <w:u w:val="single"/>
                <w:lang w:eastAsia="zh-CN"/>
              </w:rPr>
              <w:t>（</w:t>
            </w:r>
            <w:r>
              <w:rPr>
                <w:rFonts w:hint="eastAsia" w:ascii="宋体" w:hAnsi="宋体"/>
                <w:b/>
                <w:bCs/>
                <w:szCs w:val="21"/>
                <w:u w:val="single"/>
                <w:lang w:val="en-US" w:eastAsia="zh-CN"/>
              </w:rPr>
              <w:t>视频会议远程开标）</w:t>
            </w:r>
          </w:p>
        </w:tc>
      </w:tr>
      <w:tr>
        <w:trPr>
          <w:trHeight w:val="816" w:hRule="atLeast"/>
        </w:trPr>
        <w:tc>
          <w:tcPr>
            <w:tcW w:w="1260" w:type="dxa"/>
            <w:tcBorders>
              <w:bottom w:val="single" w:color="auto" w:sz="4" w:space="0"/>
            </w:tcBorders>
            <w:vAlign w:val="center"/>
          </w:tcPr>
          <w:p>
            <w:pPr>
              <w:spacing w:line="320" w:lineRule="exact"/>
              <w:jc w:val="center"/>
              <w:rPr>
                <w:rFonts w:hint="default" w:ascii="宋体" w:hAnsi="宋体" w:eastAsia="宋体"/>
                <w:b/>
                <w:szCs w:val="21"/>
                <w:lang w:val="en-US" w:eastAsia="zh-CN"/>
              </w:rPr>
            </w:pPr>
            <w:r>
              <w:rPr>
                <w:rFonts w:hint="eastAsia" w:ascii="宋体" w:hAnsi="宋体"/>
                <w:b/>
                <w:szCs w:val="21"/>
                <w:lang w:val="en-US" w:eastAsia="zh-CN"/>
              </w:rPr>
              <w:t>10</w:t>
            </w:r>
          </w:p>
        </w:tc>
        <w:tc>
          <w:tcPr>
            <w:tcW w:w="7387" w:type="dxa"/>
            <w:tcBorders>
              <w:bottom w:val="single" w:color="auto" w:sz="4" w:space="0"/>
            </w:tcBorders>
            <w:vAlign w:val="center"/>
          </w:tcPr>
          <w:p>
            <w:pPr>
              <w:spacing w:line="320" w:lineRule="exact"/>
              <w:rPr>
                <w:rFonts w:hint="eastAsia" w:ascii="宋体" w:hAnsi="宋体"/>
                <w:szCs w:val="21"/>
              </w:rPr>
            </w:pPr>
            <w:r>
              <w:rPr>
                <w:rFonts w:hint="eastAsia" w:ascii="宋体" w:hAnsi="宋体"/>
                <w:szCs w:val="21"/>
              </w:rPr>
              <w:t>评标方法：22.2（2）综合评分法  （适用）</w:t>
            </w:r>
          </w:p>
          <w:p>
            <w:pPr>
              <w:spacing w:line="320" w:lineRule="exact"/>
              <w:ind w:firstLine="1050" w:firstLineChars="500"/>
              <w:rPr>
                <w:rFonts w:ascii="宋体" w:hAnsi="宋体"/>
                <w:szCs w:val="21"/>
              </w:rPr>
            </w:pPr>
            <w:r>
              <w:rPr>
                <w:rFonts w:hint="eastAsia" w:ascii="宋体" w:hAnsi="宋体"/>
                <w:szCs w:val="21"/>
              </w:rPr>
              <w:t>22.2（1）最低评标价法（不适用）</w:t>
            </w:r>
          </w:p>
        </w:tc>
      </w:tr>
      <w:tr>
        <w:trPr>
          <w:trHeight w:val="754" w:hRule="atLeast"/>
        </w:trPr>
        <w:tc>
          <w:tcPr>
            <w:tcW w:w="1260" w:type="dxa"/>
            <w:tcBorders>
              <w:top w:val="single" w:color="auto" w:sz="4" w:space="0"/>
            </w:tcBorders>
            <w:vAlign w:val="center"/>
          </w:tcPr>
          <w:p>
            <w:pPr>
              <w:spacing w:line="320" w:lineRule="exact"/>
              <w:jc w:val="center"/>
              <w:rPr>
                <w:rFonts w:ascii="宋体" w:hAnsi="宋体"/>
                <w:b/>
                <w:szCs w:val="21"/>
              </w:rPr>
            </w:pPr>
            <w:r>
              <w:rPr>
                <w:rFonts w:hint="eastAsia" w:ascii="宋体" w:hAnsi="宋体"/>
                <w:b/>
                <w:szCs w:val="21"/>
              </w:rPr>
              <w:t>30.1</w:t>
            </w:r>
          </w:p>
        </w:tc>
        <w:tc>
          <w:tcPr>
            <w:tcW w:w="7387" w:type="dxa"/>
            <w:tcBorders>
              <w:top w:val="single" w:color="auto" w:sz="4" w:space="0"/>
              <w:bottom w:val="single" w:color="auto" w:sz="4" w:space="0"/>
            </w:tcBorders>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rPr>
          <w:trHeight w:val="641" w:hRule="atLeast"/>
        </w:trPr>
        <w:tc>
          <w:tcPr>
            <w:tcW w:w="8647" w:type="dxa"/>
            <w:gridSpan w:val="2"/>
            <w:tcBorders>
              <w:bottom w:val="single" w:color="auto" w:sz="4" w:space="0"/>
            </w:tcBorders>
            <w:vAlign w:val="center"/>
          </w:tcPr>
          <w:p>
            <w:pPr>
              <w:spacing w:line="320" w:lineRule="exact"/>
              <w:jc w:val="center"/>
              <w:rPr>
                <w:rFonts w:hint="eastAsia" w:ascii="宋体" w:hAnsi="宋体"/>
                <w:b/>
                <w:szCs w:val="21"/>
              </w:rPr>
            </w:pPr>
            <w:r>
              <w:rPr>
                <w:rFonts w:ascii="宋体" w:hAnsi="宋体" w:cs="Arial"/>
                <w:b/>
                <w:szCs w:val="21"/>
              </w:rPr>
              <w:t>适用于本投标人须知的额外增加的变动</w:t>
            </w:r>
          </w:p>
        </w:tc>
      </w:tr>
      <w:tr>
        <w:trPr>
          <w:trHeight w:val="469" w:hRule="atLeast"/>
        </w:trPr>
        <w:tc>
          <w:tcPr>
            <w:tcW w:w="8647" w:type="dxa"/>
            <w:gridSpan w:val="2"/>
            <w:vAlign w:val="center"/>
          </w:tcPr>
          <w:p>
            <w:pPr>
              <w:spacing w:line="360" w:lineRule="auto"/>
              <w:rPr>
                <w:rFonts w:hint="eastAsia"/>
                <w:highlight w:val="none"/>
              </w:rPr>
            </w:pPr>
            <w:r>
              <w:rPr>
                <w:rFonts w:hint="eastAsia"/>
                <w:highlight w:val="none"/>
              </w:rPr>
              <w:t>1、本次共选择</w:t>
            </w:r>
            <w:r>
              <w:rPr>
                <w:rFonts w:hint="eastAsia"/>
                <w:highlight w:val="none"/>
                <w:u w:val="single"/>
                <w:lang w:val="en-US" w:eastAsia="zh-CN"/>
              </w:rPr>
              <w:t>1</w:t>
            </w:r>
            <w:r>
              <w:rPr>
                <w:rFonts w:hint="eastAsia"/>
                <w:highlight w:val="none"/>
              </w:rPr>
              <w:t>家</w:t>
            </w:r>
            <w:r>
              <w:rPr>
                <w:rFonts w:hint="eastAsia"/>
                <w:highlight w:val="none"/>
                <w:lang w:val="en-US" w:eastAsia="zh-CN"/>
              </w:rPr>
              <w:t>服务</w:t>
            </w:r>
            <w:r>
              <w:rPr>
                <w:rFonts w:hint="eastAsia"/>
                <w:highlight w:val="none"/>
              </w:rPr>
              <w:t>商，以实际订单为准。</w:t>
            </w:r>
          </w:p>
          <w:p>
            <w:pPr>
              <w:spacing w:line="360" w:lineRule="auto"/>
              <w:rPr>
                <w:rFonts w:hint="eastAsia"/>
                <w:highlight w:val="none"/>
              </w:rPr>
            </w:pPr>
            <w:r>
              <w:rPr>
                <w:rFonts w:hint="eastAsia"/>
                <w:highlight w:val="none"/>
              </w:rPr>
              <w:t>2、付款方式：参照合同。</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highlight w:val="none"/>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szCs w:val="21"/>
                <w:highlight w:val="none"/>
                <w:lang w:val="en-US" w:bidi="zh-CN"/>
              </w:rPr>
              <w:t>根据</w:t>
            </w:r>
            <w:r>
              <w:rPr>
                <w:rFonts w:hint="eastAsia" w:ascii="宋体" w:hAnsi="宋体" w:cs="宋体"/>
                <w:szCs w:val="21"/>
                <w:highlight w:val="none"/>
                <w:lang w:bidi="zh-CN"/>
              </w:rPr>
              <w:t>合同签订</w:t>
            </w:r>
            <w:r>
              <w:rPr>
                <w:rFonts w:hint="eastAsia"/>
                <w:highlight w:val="none"/>
              </w:rPr>
              <w:t>。</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eastAsia="zh-CN" w:bidi="ar-SA"/>
              </w:rPr>
              <w:t>cipengyue@sinopharm.com</w:t>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rPr>
          <w:trHeight w:val="640" w:hRule="atLeast"/>
        </w:trPr>
        <w:tc>
          <w:tcPr>
            <w:tcW w:w="8647" w:type="dxa"/>
            <w:gridSpan w:val="2"/>
            <w:tcBorders>
              <w:bottom w:val="single" w:color="auto" w:sz="4" w:space="0"/>
            </w:tcBorders>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rPr>
            </w:pPr>
            <w:r>
              <w:rPr>
                <w:rFonts w:hint="eastAsia" w:ascii="宋体" w:hAnsi="宋体"/>
                <w:bCs/>
                <w:szCs w:val="21"/>
                <w:highlight w:val="none"/>
              </w:rPr>
              <w:t>（五）不同供应商的投标保证金从同一单位或者个人的账户转出。</w:t>
            </w:r>
          </w:p>
        </w:tc>
      </w:tr>
    </w:tbl>
    <w:p>
      <w:pPr>
        <w:pStyle w:val="3"/>
        <w:spacing w:before="0" w:line="360" w:lineRule="auto"/>
        <w:ind w:left="0" w:leftChars="0" w:firstLine="0" w:firstLineChars="0"/>
        <w:jc w:val="both"/>
        <w:outlineLvl w:val="9"/>
        <w:rPr>
          <w:rFonts w:hint="eastAsia" w:ascii="宋体" w:hAnsi="宋体" w:eastAsia="宋体"/>
          <w:sz w:val="24"/>
          <w:szCs w:val="24"/>
        </w:rPr>
      </w:pPr>
      <w:bookmarkStart w:id="52" w:name="_Toc109736028"/>
      <w:bookmarkStart w:id="53" w:name="_Toc216582805"/>
      <w:bookmarkStart w:id="54" w:name="_Toc520356143"/>
      <w:bookmarkStart w:id="55" w:name="_Toc144974497"/>
      <w:bookmarkStart w:id="56" w:name="_Toc152045529"/>
      <w:bookmarkStart w:id="57" w:name="_Toc233102492"/>
      <w:bookmarkStart w:id="58" w:name="_Toc179632546"/>
      <w:bookmarkStart w:id="59" w:name="_Toc152042305"/>
    </w:p>
    <w:p>
      <w:pPr>
        <w:rPr>
          <w:rFonts w:hint="eastAsia"/>
        </w:rPr>
      </w:pPr>
    </w:p>
    <w:p>
      <w:pPr>
        <w:pStyle w:val="3"/>
        <w:keepNext/>
        <w:keepLines/>
        <w:widowControl w:val="0"/>
        <w:wordWrap/>
        <w:adjustRightInd/>
        <w:snapToGrid/>
        <w:spacing w:before="0" w:line="360" w:lineRule="auto"/>
        <w:ind w:left="0" w:leftChars="0" w:firstLine="0" w:firstLineChars="0"/>
        <w:jc w:val="center"/>
        <w:textAlignment w:val="auto"/>
        <w:rPr>
          <w:rFonts w:hint="eastAsia" w:ascii="宋体" w:hAnsi="宋体" w:eastAsia="宋体"/>
          <w:sz w:val="24"/>
          <w:szCs w:val="24"/>
        </w:rPr>
      </w:pPr>
      <w:bookmarkStart w:id="60" w:name="_Toc2259"/>
      <w:r>
        <w:rPr>
          <w:rFonts w:hint="eastAsia" w:ascii="宋体" w:hAnsi="宋体" w:eastAsia="宋体"/>
          <w:sz w:val="24"/>
          <w:szCs w:val="24"/>
        </w:rPr>
        <w:t>一  说  明</w:t>
      </w:r>
      <w:bookmarkEnd w:id="52"/>
      <w:bookmarkEnd w:id="53"/>
      <w:bookmarkEnd w:id="54"/>
      <w:bookmarkEnd w:id="60"/>
    </w:p>
    <w:p>
      <w:pPr>
        <w:keepNext/>
        <w:keepLines/>
        <w:widowControl/>
        <w:wordWrap/>
        <w:adjustRightInd/>
        <w:snapToGrid/>
        <w:spacing w:before="0" w:after="0" w:line="360" w:lineRule="auto"/>
        <w:jc w:val="both"/>
        <w:textAlignment w:val="auto"/>
        <w:outlineLvl w:val="2"/>
        <w:rPr>
          <w:rFonts w:ascii="宋体" w:hAnsi="宋体"/>
          <w:b/>
          <w:bCs/>
          <w:sz w:val="21"/>
          <w:szCs w:val="21"/>
        </w:rPr>
      </w:pPr>
      <w:bookmarkStart w:id="61" w:name="_Toc109736029"/>
      <w:bookmarkStart w:id="62" w:name="_Toc520356144"/>
      <w:bookmarkStart w:id="63" w:name="_Toc17941"/>
      <w:bookmarkStart w:id="64" w:name="_Toc27571"/>
      <w:r>
        <w:rPr>
          <w:rFonts w:hint="eastAsia" w:ascii="宋体" w:hAnsi="宋体"/>
          <w:b/>
          <w:bCs/>
          <w:sz w:val="21"/>
          <w:szCs w:val="21"/>
        </w:rPr>
        <w:t>1.</w:t>
      </w:r>
      <w:r>
        <w:rPr>
          <w:rFonts w:hint="eastAsia" w:ascii="宋体" w:hAnsi="宋体"/>
          <w:b/>
          <w:bCs/>
          <w:sz w:val="21"/>
          <w:szCs w:val="21"/>
        </w:rPr>
        <w:tab/>
      </w:r>
      <w:r>
        <w:rPr>
          <w:rFonts w:hint="eastAsia" w:ascii="宋体" w:hAnsi="宋体"/>
          <w:b/>
          <w:bCs/>
          <w:sz w:val="21"/>
          <w:szCs w:val="21"/>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rPr>
      </w:pPr>
      <w:r>
        <w:rPr>
          <w:rFonts w:hint="eastAsia" w:ascii="宋体" w:hAnsi="宋体"/>
          <w:szCs w:val="21"/>
        </w:rPr>
        <w:t>招标采购单位：系指招标人。</w:t>
      </w:r>
    </w:p>
    <w:p>
      <w:pPr>
        <w:spacing w:line="360" w:lineRule="auto"/>
        <w:rPr>
          <w:rFonts w:hint="eastAsia" w:ascii="宋体" w:hAnsi="宋体"/>
          <w:szCs w:val="21"/>
        </w:rPr>
      </w:pPr>
      <w:r>
        <w:rPr>
          <w:rFonts w:hint="eastAsia" w:ascii="宋体" w:hAnsi="宋体"/>
          <w:szCs w:val="21"/>
        </w:rPr>
        <w:t>1.2</w:t>
      </w:r>
      <w:r>
        <w:rPr>
          <w:rFonts w:ascii="宋体" w:hAnsi="宋体"/>
          <w:szCs w:val="21"/>
        </w:rPr>
        <w:tab/>
      </w:r>
      <w:r>
        <w:rPr>
          <w:rFonts w:hint="eastAsia" w:ascii="宋体" w:hAnsi="宋体"/>
          <w:szCs w:val="21"/>
        </w:rPr>
        <w:t xml:space="preserve">    满足以下条件的投标人是合格的投标人，可以参加本次投标：</w:t>
      </w:r>
    </w:p>
    <w:p>
      <w:pPr>
        <w:spacing w:line="360" w:lineRule="auto"/>
        <w:ind w:left="788" w:hanging="787" w:hangingChars="375"/>
        <w:rPr>
          <w:rFonts w:hint="eastAsia" w:ascii="宋体" w:hAnsi="宋体"/>
          <w:szCs w:val="21"/>
        </w:rPr>
      </w:pPr>
      <w:r>
        <w:rPr>
          <w:rFonts w:hint="eastAsia" w:ascii="宋体" w:hAnsi="宋体"/>
          <w:szCs w:val="21"/>
        </w:rPr>
        <w:t>1.2.1</w:t>
      </w:r>
      <w:r>
        <w:rPr>
          <w:rFonts w:hint="eastAsia" w:ascii="宋体" w:hAnsi="宋体"/>
          <w:szCs w:val="21"/>
        </w:rPr>
        <w:tab/>
      </w:r>
      <w:r>
        <w:rPr>
          <w:rFonts w:hint="eastAsia" w:ascii="宋体" w:hAnsi="宋体"/>
          <w:szCs w:val="21"/>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rPr>
      </w:pPr>
      <w:r>
        <w:rPr>
          <w:rFonts w:hint="eastAsia" w:ascii="宋体" w:hAnsi="宋体"/>
          <w:szCs w:val="21"/>
        </w:rPr>
        <w:t>1.2.2</w:t>
      </w:r>
      <w:r>
        <w:rPr>
          <w:rFonts w:hint="eastAsia" w:ascii="宋体" w:hAnsi="宋体"/>
          <w:szCs w:val="21"/>
        </w:rPr>
        <w:tab/>
      </w:r>
      <w:r>
        <w:rPr>
          <w:rFonts w:hint="eastAsia" w:ascii="宋体" w:hAnsi="宋体"/>
          <w:szCs w:val="21"/>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rPr>
      </w:pPr>
      <w:r>
        <w:rPr>
          <w:rFonts w:hint="eastAsia" w:ascii="宋体" w:hAnsi="宋体"/>
          <w:szCs w:val="21"/>
        </w:rPr>
        <w:t>1.3     如</w:t>
      </w:r>
      <w:r>
        <w:rPr>
          <w:rFonts w:hint="eastAsia" w:ascii="宋体" w:hAnsi="宋体"/>
          <w:szCs w:val="21"/>
          <w:u w:val="single"/>
        </w:rPr>
        <w:t>投标人须知资料表</w:t>
      </w:r>
      <w:r>
        <w:rPr>
          <w:rFonts w:hint="eastAsia" w:ascii="宋体" w:hAnsi="宋体"/>
          <w:szCs w:val="21"/>
        </w:rPr>
        <w:t>中允许联合体投标，对联合体规定如下：</w:t>
      </w:r>
    </w:p>
    <w:p>
      <w:pPr>
        <w:spacing w:line="360" w:lineRule="auto"/>
        <w:ind w:left="788" w:hanging="787" w:hangingChars="375"/>
        <w:rPr>
          <w:rFonts w:hint="eastAsia" w:ascii="宋体" w:hAnsi="宋体"/>
          <w:szCs w:val="21"/>
        </w:rPr>
      </w:pPr>
      <w:r>
        <w:rPr>
          <w:rFonts w:hint="eastAsia" w:ascii="宋体" w:hAnsi="宋体"/>
          <w:szCs w:val="21"/>
        </w:rPr>
        <w:t>1.3.1   两个以上投标人可以组成一个投标联合体，以一个投标人的身份投标。</w:t>
      </w:r>
    </w:p>
    <w:p>
      <w:pPr>
        <w:spacing w:line="360" w:lineRule="auto"/>
        <w:ind w:left="788" w:hanging="787" w:hangingChars="375"/>
        <w:rPr>
          <w:rFonts w:hint="eastAsia" w:ascii="宋体" w:hAnsi="宋体"/>
          <w:szCs w:val="21"/>
        </w:rPr>
      </w:pPr>
      <w:r>
        <w:rPr>
          <w:rFonts w:hint="eastAsia" w:ascii="宋体" w:hAnsi="宋体"/>
          <w:szCs w:val="21"/>
        </w:rPr>
        <w:t>1.3.2   招标人根据采购项目对投标人的特殊要求，联合体中至少应当有一方符合其规定。</w:t>
      </w:r>
    </w:p>
    <w:p>
      <w:pPr>
        <w:spacing w:line="360" w:lineRule="auto"/>
        <w:ind w:left="788" w:hanging="787" w:hangingChars="375"/>
        <w:rPr>
          <w:rFonts w:hint="eastAsia" w:ascii="宋体" w:hAnsi="宋体"/>
          <w:szCs w:val="21"/>
        </w:rPr>
      </w:pPr>
      <w:r>
        <w:rPr>
          <w:rFonts w:hint="eastAsia" w:ascii="宋体" w:hAnsi="宋体"/>
          <w:szCs w:val="21"/>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rPr>
      </w:pPr>
      <w:r>
        <w:rPr>
          <w:rFonts w:hint="eastAsia" w:ascii="宋体" w:hAnsi="宋体"/>
          <w:szCs w:val="21"/>
        </w:rPr>
        <w:t>1.3.4   联合</w:t>
      </w:r>
      <w:r>
        <w:rPr>
          <w:rFonts w:ascii="宋体" w:hAnsi="宋体"/>
          <w:szCs w:val="21"/>
        </w:rPr>
        <w:t>体中有</w:t>
      </w:r>
      <w:r>
        <w:rPr>
          <w:rFonts w:hint="eastAsia" w:ascii="宋体" w:hAnsi="宋体"/>
          <w:szCs w:val="21"/>
        </w:rPr>
        <w:t>同</w:t>
      </w:r>
      <w:r>
        <w:rPr>
          <w:rFonts w:ascii="宋体" w:hAnsi="宋体"/>
          <w:szCs w:val="21"/>
        </w:rPr>
        <w:t>类资质的投标人按照联合体分</w:t>
      </w:r>
      <w:r>
        <w:rPr>
          <w:rFonts w:hint="eastAsia" w:ascii="宋体" w:hAnsi="宋体"/>
          <w:szCs w:val="21"/>
        </w:rPr>
        <w:t>工</w:t>
      </w:r>
      <w:r>
        <w:rPr>
          <w:rFonts w:ascii="宋体" w:hAnsi="宋体"/>
          <w:szCs w:val="21"/>
        </w:rPr>
        <w:t>承担</w:t>
      </w:r>
      <w:r>
        <w:rPr>
          <w:rFonts w:hint="eastAsia" w:ascii="宋体" w:hAnsi="宋体"/>
          <w:szCs w:val="21"/>
        </w:rPr>
        <w:t>相</w:t>
      </w:r>
      <w:r>
        <w:rPr>
          <w:rFonts w:ascii="宋体" w:hAnsi="宋体"/>
          <w:szCs w:val="21"/>
        </w:rPr>
        <w:t>同工作的，按照资质等级</w:t>
      </w:r>
      <w:r>
        <w:rPr>
          <w:rFonts w:hint="eastAsia" w:ascii="宋体" w:hAnsi="宋体"/>
          <w:szCs w:val="21"/>
        </w:rPr>
        <w:t>较低</w:t>
      </w:r>
      <w:r>
        <w:rPr>
          <w:rFonts w:ascii="宋体" w:hAnsi="宋体"/>
          <w:szCs w:val="21"/>
        </w:rPr>
        <w:t>的投标人确定资质等级。</w:t>
      </w:r>
    </w:p>
    <w:p>
      <w:pPr>
        <w:spacing w:line="360" w:lineRule="auto"/>
        <w:ind w:left="788" w:hanging="787" w:hangingChars="375"/>
        <w:rPr>
          <w:rFonts w:hint="eastAsia" w:ascii="宋体" w:hAnsi="宋体"/>
          <w:szCs w:val="21"/>
        </w:rPr>
      </w:pPr>
      <w:r>
        <w:rPr>
          <w:rFonts w:ascii="宋体" w:hAnsi="宋体"/>
          <w:szCs w:val="21"/>
        </w:rPr>
        <w:t>1.3.</w:t>
      </w:r>
      <w:r>
        <w:rPr>
          <w:rFonts w:hint="eastAsia" w:ascii="宋体" w:hAnsi="宋体"/>
          <w:szCs w:val="21"/>
        </w:rPr>
        <w:t>5</w:t>
      </w:r>
      <w:r>
        <w:rPr>
          <w:rFonts w:ascii="宋体" w:hAnsi="宋体"/>
          <w:szCs w:val="21"/>
        </w:rPr>
        <w:t xml:space="preserve">  </w:t>
      </w:r>
      <w:r>
        <w:rPr>
          <w:rFonts w:hint="eastAsia" w:ascii="宋体" w:hAnsi="宋体"/>
          <w:szCs w:val="21"/>
        </w:rPr>
        <w:t>以</w:t>
      </w:r>
      <w:r>
        <w:rPr>
          <w:rFonts w:ascii="宋体" w:hAnsi="宋体"/>
          <w:szCs w:val="21"/>
        </w:rPr>
        <w:t>联合体形式参加</w:t>
      </w:r>
      <w:r>
        <w:rPr>
          <w:rFonts w:hint="eastAsia" w:ascii="宋体" w:hAnsi="宋体"/>
          <w:szCs w:val="21"/>
        </w:rPr>
        <w:t>招投标</w:t>
      </w:r>
      <w:r>
        <w:rPr>
          <w:rFonts w:ascii="宋体" w:hAnsi="宋体"/>
          <w:szCs w:val="21"/>
        </w:rPr>
        <w:t>活动的，联合体各方不得再</w:t>
      </w:r>
      <w:r>
        <w:rPr>
          <w:rFonts w:hint="eastAsia" w:ascii="宋体" w:hAnsi="宋体"/>
          <w:szCs w:val="21"/>
        </w:rPr>
        <w:t>单独</w:t>
      </w:r>
      <w:r>
        <w:rPr>
          <w:rFonts w:ascii="宋体" w:hAnsi="宋体"/>
          <w:szCs w:val="21"/>
        </w:rPr>
        <w:t>参加或者与其他投标人另外组成联合体参加</w:t>
      </w:r>
      <w:r>
        <w:rPr>
          <w:rFonts w:hint="eastAsia" w:ascii="宋体" w:hAnsi="宋体"/>
          <w:szCs w:val="21"/>
        </w:rPr>
        <w:t>本项目投标</w:t>
      </w:r>
      <w:r>
        <w:rPr>
          <w:rFonts w:ascii="宋体" w:hAnsi="宋体"/>
          <w:szCs w:val="21"/>
        </w:rPr>
        <w:t>。</w:t>
      </w:r>
    </w:p>
    <w:p>
      <w:pPr>
        <w:spacing w:line="360" w:lineRule="auto"/>
        <w:ind w:left="788" w:hanging="787" w:hangingChars="375"/>
        <w:rPr>
          <w:rFonts w:hint="eastAsia" w:ascii="宋体" w:hAnsi="宋体"/>
          <w:szCs w:val="21"/>
        </w:rPr>
      </w:pPr>
      <w:r>
        <w:rPr>
          <w:rFonts w:hint="eastAsia" w:ascii="宋体" w:hAnsi="宋体"/>
          <w:szCs w:val="21"/>
        </w:rPr>
        <w:t>1.3.6   对联合体投标的其他资格要求见</w:t>
      </w:r>
      <w:r>
        <w:rPr>
          <w:rFonts w:hint="eastAsia" w:ascii="宋体" w:hAnsi="宋体"/>
          <w:szCs w:val="21"/>
          <w:u w:val="single"/>
        </w:rPr>
        <w:t>投标人须知资料表</w:t>
      </w:r>
      <w:r>
        <w:rPr>
          <w:rFonts w:hint="eastAsia" w:ascii="宋体" w:hAnsi="宋体"/>
          <w:szCs w:val="21"/>
        </w:rPr>
        <w:t>。</w:t>
      </w:r>
    </w:p>
    <w:p>
      <w:pPr>
        <w:spacing w:line="360" w:lineRule="auto"/>
        <w:ind w:left="788" w:hanging="787" w:hangingChars="375"/>
        <w:rPr>
          <w:rFonts w:hint="eastAsia" w:ascii="宋体" w:hAnsi="宋体"/>
          <w:szCs w:val="21"/>
        </w:rPr>
      </w:pPr>
      <w:r>
        <w:rPr>
          <w:rFonts w:hint="eastAsia" w:ascii="宋体" w:hAnsi="宋体"/>
          <w:szCs w:val="21"/>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rPr>
      </w:pPr>
      <w:r>
        <w:rPr>
          <w:rFonts w:ascii="宋体" w:hAnsi="宋体"/>
          <w:szCs w:val="21"/>
        </w:rPr>
        <w:t>1.</w:t>
      </w:r>
      <w:r>
        <w:rPr>
          <w:rFonts w:hint="eastAsia" w:ascii="宋体" w:hAnsi="宋体"/>
          <w:szCs w:val="21"/>
        </w:rPr>
        <w:t>5</w:t>
      </w:r>
      <w:r>
        <w:rPr>
          <w:rFonts w:ascii="宋体" w:hAnsi="宋体"/>
          <w:szCs w:val="21"/>
        </w:rPr>
        <w:t xml:space="preserve">    为</w:t>
      </w:r>
      <w:r>
        <w:rPr>
          <w:rFonts w:hint="eastAsia" w:ascii="宋体" w:hAnsi="宋体"/>
          <w:szCs w:val="21"/>
        </w:rPr>
        <w:t>本</w:t>
      </w:r>
      <w:r>
        <w:rPr>
          <w:rFonts w:ascii="宋体" w:hAnsi="宋体"/>
          <w:szCs w:val="21"/>
        </w:rPr>
        <w:t>项目提供整体</w:t>
      </w:r>
      <w:r>
        <w:rPr>
          <w:rFonts w:hint="eastAsia" w:ascii="宋体" w:hAnsi="宋体"/>
          <w:szCs w:val="21"/>
        </w:rPr>
        <w:t>设计</w:t>
      </w:r>
      <w:r>
        <w:rPr>
          <w:rFonts w:ascii="宋体" w:hAnsi="宋体"/>
          <w:szCs w:val="21"/>
        </w:rPr>
        <w:t>、规范编制或者项目管理、监理、检测等服务的投标人，不得再参加</w:t>
      </w:r>
      <w:r>
        <w:rPr>
          <w:rFonts w:hint="eastAsia" w:ascii="宋体" w:hAnsi="宋体"/>
          <w:szCs w:val="21"/>
        </w:rPr>
        <w:t>本项目投标</w:t>
      </w:r>
      <w:r>
        <w:rPr>
          <w:rFonts w:ascii="宋体" w:hAnsi="宋体"/>
          <w:szCs w:val="21"/>
        </w:rPr>
        <w:t>。</w:t>
      </w:r>
    </w:p>
    <w:p>
      <w:pPr>
        <w:spacing w:line="360" w:lineRule="auto"/>
        <w:ind w:left="788" w:hanging="787" w:hangingChars="375"/>
        <w:rPr>
          <w:rFonts w:hint="eastAsia" w:ascii="宋体" w:hAnsi="宋体"/>
          <w:szCs w:val="21"/>
        </w:rPr>
      </w:pPr>
      <w:r>
        <w:rPr>
          <w:rFonts w:hint="eastAsia" w:ascii="宋体" w:hAnsi="宋体"/>
          <w:szCs w:val="21"/>
        </w:rPr>
        <w:t>1.6</w:t>
      </w:r>
      <w:r>
        <w:rPr>
          <w:rFonts w:hint="eastAsia" w:ascii="宋体" w:hAnsi="宋体"/>
          <w:szCs w:val="21"/>
        </w:rPr>
        <w:tab/>
      </w:r>
      <w:r>
        <w:rPr>
          <w:rFonts w:hint="eastAsia" w:ascii="宋体" w:hAnsi="宋体"/>
          <w:szCs w:val="21"/>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rPr>
      </w:pPr>
      <w:r>
        <w:rPr>
          <w:rFonts w:hint="eastAsia" w:ascii="宋体" w:hAnsi="宋体"/>
          <w:szCs w:val="21"/>
        </w:rPr>
        <w:t>1.7</w:t>
      </w:r>
      <w:r>
        <w:rPr>
          <w:rFonts w:hint="eastAsia" w:ascii="宋体" w:hAnsi="宋体"/>
          <w:szCs w:val="21"/>
        </w:rPr>
        <w:tab/>
      </w:r>
      <w:r>
        <w:rPr>
          <w:rFonts w:hint="eastAsia" w:ascii="宋体" w:hAnsi="宋体"/>
          <w:szCs w:val="21"/>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rPr>
      </w:pPr>
      <w:r>
        <w:rPr>
          <w:rFonts w:hint="eastAsia" w:ascii="宋体" w:hAnsi="宋体"/>
          <w:szCs w:val="21"/>
        </w:rPr>
        <w:t>1.7.1</w:t>
      </w:r>
      <w:r>
        <w:rPr>
          <w:rFonts w:hint="eastAsia" w:ascii="宋体" w:hAnsi="宋体"/>
          <w:szCs w:val="21"/>
        </w:rPr>
        <w:tab/>
      </w:r>
      <w:r>
        <w:rPr>
          <w:rFonts w:hint="eastAsia" w:ascii="宋体" w:hAnsi="宋体"/>
          <w:szCs w:val="21"/>
        </w:rPr>
        <w:t>提供虚假的资料。</w:t>
      </w:r>
    </w:p>
    <w:p>
      <w:pPr>
        <w:spacing w:line="360" w:lineRule="auto"/>
        <w:ind w:left="788" w:hanging="787" w:hangingChars="375"/>
        <w:rPr>
          <w:rFonts w:hint="eastAsia" w:ascii="宋体" w:hAnsi="宋体"/>
          <w:szCs w:val="21"/>
        </w:rPr>
      </w:pPr>
      <w:r>
        <w:rPr>
          <w:rFonts w:hint="eastAsia" w:ascii="宋体" w:hAnsi="宋体"/>
          <w:szCs w:val="21"/>
        </w:rPr>
        <w:t>1.7.2</w:t>
      </w:r>
      <w:r>
        <w:rPr>
          <w:rFonts w:hint="eastAsia" w:ascii="宋体" w:hAnsi="宋体"/>
          <w:szCs w:val="21"/>
        </w:rPr>
        <w:tab/>
      </w:r>
      <w:r>
        <w:rPr>
          <w:rFonts w:hint="eastAsia" w:ascii="宋体" w:hAnsi="宋体"/>
          <w:szCs w:val="21"/>
        </w:rPr>
        <w:t>与其他投标人恶意串通。</w:t>
      </w:r>
    </w:p>
    <w:p>
      <w:pPr>
        <w:spacing w:line="360" w:lineRule="auto"/>
        <w:ind w:left="788" w:hanging="787" w:hangingChars="375"/>
        <w:rPr>
          <w:rFonts w:hint="eastAsia" w:ascii="宋体" w:hAnsi="宋体"/>
          <w:szCs w:val="21"/>
        </w:rPr>
      </w:pPr>
      <w:r>
        <w:rPr>
          <w:rFonts w:hint="eastAsia" w:ascii="宋体" w:hAnsi="宋体"/>
          <w:szCs w:val="21"/>
        </w:rPr>
        <w:t>1.7.3</w:t>
      </w:r>
      <w:r>
        <w:rPr>
          <w:rFonts w:hint="eastAsia" w:ascii="宋体" w:hAnsi="宋体"/>
          <w:szCs w:val="21"/>
        </w:rPr>
        <w:tab/>
      </w:r>
      <w:r>
        <w:rPr>
          <w:rFonts w:hint="eastAsia" w:ascii="宋体" w:hAnsi="宋体"/>
          <w:szCs w:val="21"/>
        </w:rPr>
        <w:t>向招标采购单位或评审专家行贿或提供其他不正当利益。</w:t>
      </w:r>
    </w:p>
    <w:p>
      <w:pPr>
        <w:spacing w:line="360" w:lineRule="auto"/>
        <w:ind w:left="788" w:hanging="787" w:hangingChars="375"/>
        <w:rPr>
          <w:rFonts w:hint="eastAsia" w:ascii="宋体" w:hAnsi="宋体"/>
          <w:szCs w:val="21"/>
        </w:rPr>
      </w:pPr>
      <w:r>
        <w:rPr>
          <w:rFonts w:hint="eastAsia" w:ascii="宋体" w:hAnsi="宋体"/>
          <w:szCs w:val="21"/>
        </w:rPr>
        <w:t>1.7.4   中标后不按照招标文件和其投标文件与招标人订立合同。</w:t>
      </w:r>
    </w:p>
    <w:p>
      <w:pPr>
        <w:keepNext/>
        <w:keepLines/>
        <w:widowControl/>
        <w:wordWrap/>
        <w:adjustRightInd/>
        <w:snapToGrid/>
        <w:spacing w:before="0" w:after="0" w:line="360" w:lineRule="auto"/>
        <w:jc w:val="left"/>
        <w:textAlignment w:val="auto"/>
        <w:outlineLvl w:val="2"/>
        <w:rPr>
          <w:rFonts w:ascii="宋体" w:hAnsi="宋体"/>
          <w:b/>
          <w:bCs/>
          <w:sz w:val="21"/>
          <w:szCs w:val="21"/>
        </w:rPr>
      </w:pPr>
      <w:bookmarkStart w:id="65" w:name="_Toc109736030"/>
      <w:bookmarkStart w:id="66" w:name="_Toc29658"/>
      <w:bookmarkStart w:id="67" w:name="_Toc541"/>
      <w:r>
        <w:rPr>
          <w:rFonts w:hint="eastAsia" w:ascii="宋体" w:hAnsi="宋体"/>
          <w:b/>
          <w:bCs/>
          <w:sz w:val="21"/>
          <w:szCs w:val="21"/>
        </w:rPr>
        <w:t xml:space="preserve">2． </w:t>
      </w:r>
      <w:r>
        <w:rPr>
          <w:rFonts w:hint="eastAsia" w:ascii="宋体" w:hAnsi="宋体"/>
          <w:b/>
          <w:bCs/>
          <w:sz w:val="21"/>
          <w:szCs w:val="21"/>
        </w:rPr>
        <w:tab/>
      </w:r>
      <w:r>
        <w:rPr>
          <w:rFonts w:hint="eastAsia" w:ascii="宋体" w:hAnsi="宋体"/>
          <w:b/>
          <w:bCs/>
          <w:sz w:val="21"/>
          <w:szCs w:val="21"/>
        </w:rPr>
        <w:t>资金来源</w:t>
      </w:r>
      <w:bookmarkEnd w:id="65"/>
      <w:bookmarkEnd w:id="66"/>
      <w:bookmarkEnd w:id="67"/>
    </w:p>
    <w:p>
      <w:pPr>
        <w:spacing w:line="360" w:lineRule="auto"/>
        <w:ind w:left="788" w:hanging="787" w:hangingChars="375"/>
        <w:rPr>
          <w:rFonts w:hint="eastAsia" w:ascii="宋体" w:hAnsi="宋体"/>
          <w:szCs w:val="21"/>
        </w:rPr>
      </w:pPr>
      <w:r>
        <w:rPr>
          <w:rFonts w:hint="eastAsia" w:ascii="宋体" w:hAnsi="宋体"/>
          <w:szCs w:val="21"/>
        </w:rPr>
        <w:t>2</w:t>
      </w:r>
      <w:r>
        <w:rPr>
          <w:rFonts w:ascii="宋体" w:hAnsi="宋体"/>
          <w:szCs w:val="21"/>
        </w:rPr>
        <w:t>.1</w:t>
      </w:r>
      <w:r>
        <w:rPr>
          <w:rFonts w:hint="eastAsia" w:ascii="宋体" w:hAnsi="宋体"/>
          <w:szCs w:val="21"/>
        </w:rPr>
        <w:tab/>
      </w:r>
      <w:r>
        <w:rPr>
          <w:rFonts w:hint="eastAsia" w:ascii="宋体" w:hAnsi="宋体"/>
          <w:szCs w:val="21"/>
        </w:rPr>
        <w:t>本项目招标公告所述的招标人已获得足以支付本次招标后所签订的合同项下的款项（包括财政性资金和本项目采购</w:t>
      </w:r>
      <w:r>
        <w:rPr>
          <w:rFonts w:ascii="宋体" w:hAnsi="宋体"/>
          <w:szCs w:val="21"/>
        </w:rPr>
        <w:t>中无法</w:t>
      </w:r>
      <w:r>
        <w:rPr>
          <w:rFonts w:hint="eastAsia" w:ascii="宋体" w:hAnsi="宋体"/>
          <w:szCs w:val="21"/>
        </w:rPr>
        <w:t>与</w:t>
      </w:r>
      <w:r>
        <w:rPr>
          <w:rFonts w:ascii="宋体" w:hAnsi="宋体"/>
          <w:szCs w:val="21"/>
        </w:rPr>
        <w:t>财政性资金分割的非财政性资金</w:t>
      </w:r>
      <w:r>
        <w:rPr>
          <w:rFonts w:hint="eastAsia" w:ascii="宋体" w:hAnsi="宋体"/>
          <w:szCs w:val="21"/>
        </w:rPr>
        <w:t>）。</w:t>
      </w:r>
    </w:p>
    <w:p>
      <w:pPr>
        <w:spacing w:line="360" w:lineRule="auto"/>
        <w:ind w:left="788" w:hanging="787" w:hangingChars="375"/>
        <w:rPr>
          <w:rFonts w:ascii="宋体" w:hAnsi="宋体"/>
          <w:szCs w:val="21"/>
        </w:rPr>
      </w:pPr>
      <w:r>
        <w:rPr>
          <w:rFonts w:hint="eastAsia" w:ascii="宋体" w:hAnsi="宋体"/>
          <w:szCs w:val="21"/>
        </w:rPr>
        <w:t>2.2    项目预算金额和分项或分包控制金额</w:t>
      </w:r>
      <w:r>
        <w:rPr>
          <w:rFonts w:hint="eastAsia" w:ascii="宋体" w:hAnsi="宋体"/>
          <w:szCs w:val="21"/>
          <w:u w:val="single"/>
        </w:rPr>
        <w:t>见投标人须知资料表</w:t>
      </w:r>
      <w:r>
        <w:rPr>
          <w:rFonts w:hint="eastAsia" w:ascii="宋体" w:hAnsi="宋体"/>
          <w:szCs w:val="21"/>
        </w:rPr>
        <w:t>。</w:t>
      </w:r>
    </w:p>
    <w:p>
      <w:pPr>
        <w:keepNext/>
        <w:keepLines/>
        <w:widowControl/>
        <w:wordWrap/>
        <w:adjustRightInd/>
        <w:snapToGrid/>
        <w:spacing w:before="0" w:after="0" w:line="360" w:lineRule="auto"/>
        <w:textAlignment w:val="auto"/>
        <w:outlineLvl w:val="2"/>
        <w:rPr>
          <w:rFonts w:ascii="宋体" w:hAnsi="宋体"/>
          <w:b/>
          <w:bCs/>
          <w:sz w:val="21"/>
          <w:szCs w:val="21"/>
        </w:rPr>
      </w:pPr>
      <w:bookmarkStart w:id="68" w:name="_Toc520356145"/>
      <w:bookmarkStart w:id="69" w:name="_Toc109736031"/>
      <w:bookmarkStart w:id="70" w:name="_Toc30223"/>
      <w:bookmarkStart w:id="71" w:name="_Toc205"/>
      <w:r>
        <w:rPr>
          <w:rFonts w:hint="eastAsia" w:ascii="宋体" w:hAnsi="宋体"/>
          <w:b/>
          <w:bCs/>
          <w:sz w:val="21"/>
          <w:szCs w:val="21"/>
        </w:rPr>
        <w:t xml:space="preserve">3． </w:t>
      </w:r>
      <w:r>
        <w:rPr>
          <w:rFonts w:hint="eastAsia" w:ascii="宋体" w:hAnsi="宋体"/>
          <w:b/>
          <w:bCs/>
          <w:sz w:val="21"/>
          <w:szCs w:val="21"/>
        </w:rPr>
        <w:tab/>
      </w:r>
      <w:r>
        <w:rPr>
          <w:rFonts w:hint="eastAsia" w:ascii="宋体" w:hAnsi="宋体"/>
          <w:b/>
          <w:bCs/>
          <w:sz w:val="21"/>
          <w:szCs w:val="21"/>
        </w:rPr>
        <w:t>投标费用</w:t>
      </w:r>
      <w:bookmarkEnd w:id="68"/>
      <w:bookmarkEnd w:id="69"/>
      <w:bookmarkEnd w:id="70"/>
      <w:bookmarkEnd w:id="71"/>
    </w:p>
    <w:p>
      <w:pPr>
        <w:spacing w:line="360" w:lineRule="auto"/>
        <w:ind w:left="788" w:hanging="787" w:hangingChars="375"/>
        <w:rPr>
          <w:rFonts w:hint="eastAsia" w:ascii="宋体" w:hAnsi="宋体"/>
          <w:szCs w:val="21"/>
        </w:rPr>
      </w:pPr>
      <w:r>
        <w:rPr>
          <w:rFonts w:ascii="宋体" w:hAnsi="宋体"/>
          <w:szCs w:val="21"/>
        </w:rPr>
        <w:tab/>
      </w:r>
      <w:r>
        <w:rPr>
          <w:rFonts w:hint="eastAsia" w:ascii="宋体" w:hAnsi="宋体"/>
          <w:szCs w:val="21"/>
        </w:rPr>
        <w:t>投标人应承担所有与准备和参加投标有关的费用，不论投标的结果如何，招标采购单位均无承担的义务和责任。</w:t>
      </w:r>
    </w:p>
    <w:p>
      <w:pPr>
        <w:keepNext/>
        <w:keepLines/>
        <w:widowControl/>
        <w:wordWrap/>
        <w:adjustRightInd/>
        <w:snapToGrid/>
        <w:spacing w:before="0" w:after="0" w:line="360" w:lineRule="auto"/>
        <w:jc w:val="left"/>
        <w:textAlignment w:val="auto"/>
        <w:outlineLvl w:val="2"/>
        <w:rPr>
          <w:rFonts w:hint="eastAsia" w:ascii="宋体" w:hAnsi="宋体"/>
          <w:b/>
          <w:bCs/>
          <w:sz w:val="21"/>
          <w:szCs w:val="21"/>
        </w:rPr>
      </w:pPr>
      <w:bookmarkStart w:id="72" w:name="_Toc472"/>
      <w:bookmarkStart w:id="73" w:name="_Toc27623"/>
      <w:bookmarkStart w:id="74" w:name="_Toc109736032"/>
      <w:r>
        <w:rPr>
          <w:rFonts w:hint="eastAsia" w:ascii="宋体" w:hAnsi="宋体"/>
          <w:b/>
          <w:bCs/>
          <w:sz w:val="21"/>
          <w:szCs w:val="21"/>
        </w:rPr>
        <w:t>4.     适用法律</w:t>
      </w:r>
      <w:bookmarkEnd w:id="72"/>
      <w:bookmarkEnd w:id="73"/>
      <w:bookmarkEnd w:id="74"/>
    </w:p>
    <w:p>
      <w:pPr>
        <w:spacing w:line="360" w:lineRule="auto"/>
        <w:ind w:left="788" w:hanging="787" w:hangingChars="375"/>
        <w:rPr>
          <w:rFonts w:hint="eastAsia" w:ascii="宋体" w:hAnsi="宋体"/>
          <w:szCs w:val="21"/>
        </w:rPr>
      </w:pPr>
      <w:r>
        <w:rPr>
          <w:rFonts w:hint="eastAsia" w:ascii="宋体" w:hAnsi="宋体"/>
          <w:szCs w:val="21"/>
        </w:rPr>
        <w:t xml:space="preserve">       本次招标属货物类国内公开招标，招标采购单位、投标人、评标委员会的相关行为均受《</w:t>
      </w:r>
      <w:r>
        <w:rPr>
          <w:rFonts w:ascii="宋体" w:hAnsi="宋体"/>
          <w:szCs w:val="21"/>
        </w:rPr>
        <w:t>中华人民共和国招标投标法</w:t>
      </w:r>
      <w:r>
        <w:rPr>
          <w:rFonts w:hint="eastAsia" w:ascii="宋体" w:hAnsi="宋体"/>
          <w:szCs w:val="21"/>
        </w:rPr>
        <w:t>》、《</w:t>
      </w:r>
      <w:r>
        <w:rPr>
          <w:rFonts w:ascii="宋体" w:hAnsi="宋体"/>
          <w:szCs w:val="21"/>
        </w:rPr>
        <w:t>中华人民共和国招标投标法实施条例》</w:t>
      </w:r>
      <w:r>
        <w:rPr>
          <w:rFonts w:hint="eastAsia" w:ascii="宋体" w:hAnsi="宋体"/>
          <w:szCs w:val="21"/>
        </w:rPr>
        <w:t>。</w:t>
      </w:r>
    </w:p>
    <w:p>
      <w:pPr>
        <w:spacing w:line="360" w:lineRule="auto"/>
        <w:ind w:left="1080" w:leftChars="257" w:hanging="540"/>
        <w:rPr>
          <w:rFonts w:hint="eastAsia" w:ascii="宋体" w:hAnsi="宋体"/>
          <w:szCs w:val="21"/>
        </w:rPr>
      </w:pPr>
    </w:p>
    <w:p>
      <w:pPr>
        <w:pStyle w:val="3"/>
        <w:spacing w:before="0" w:line="360" w:lineRule="auto"/>
        <w:jc w:val="center"/>
        <w:rPr>
          <w:rFonts w:hint="eastAsia" w:ascii="宋体" w:hAnsi="宋体" w:eastAsia="宋体"/>
          <w:sz w:val="24"/>
          <w:szCs w:val="24"/>
        </w:rPr>
      </w:pPr>
      <w:bookmarkStart w:id="75" w:name="_Toc216582806"/>
      <w:bookmarkStart w:id="76" w:name="_Toc520356146"/>
      <w:bookmarkStart w:id="77" w:name="_Toc1810"/>
      <w:bookmarkStart w:id="78" w:name="_Toc109736033"/>
      <w:r>
        <w:rPr>
          <w:rFonts w:hint="eastAsia" w:ascii="宋体" w:hAnsi="宋体" w:eastAsia="宋体"/>
          <w:sz w:val="24"/>
          <w:szCs w:val="24"/>
        </w:rPr>
        <w:t>二   招标文件</w:t>
      </w:r>
      <w:bookmarkEnd w:id="75"/>
      <w:bookmarkEnd w:id="76"/>
      <w:bookmarkEnd w:id="77"/>
      <w:bookmarkEnd w:id="78"/>
    </w:p>
    <w:p>
      <w:pPr>
        <w:keepNext/>
        <w:keepLines/>
        <w:widowControl/>
        <w:wordWrap/>
        <w:adjustRightInd/>
        <w:snapToGrid/>
        <w:spacing w:before="0" w:after="0" w:line="360" w:lineRule="auto"/>
        <w:textAlignment w:val="auto"/>
        <w:outlineLvl w:val="9"/>
        <w:rPr>
          <w:rFonts w:ascii="宋体" w:hAnsi="宋体"/>
          <w:b/>
          <w:bCs/>
          <w:sz w:val="21"/>
          <w:szCs w:val="21"/>
        </w:rPr>
      </w:pPr>
      <w:bookmarkStart w:id="79" w:name="_Toc520356147"/>
      <w:bookmarkStart w:id="80" w:name="_Toc109736034"/>
      <w:r>
        <w:rPr>
          <w:rFonts w:hint="eastAsia" w:ascii="宋体" w:hAnsi="宋体"/>
          <w:b/>
          <w:bCs/>
          <w:sz w:val="21"/>
          <w:szCs w:val="21"/>
        </w:rPr>
        <w:t>5.</w:t>
      </w:r>
      <w:r>
        <w:rPr>
          <w:rFonts w:hint="eastAsia" w:ascii="宋体" w:hAnsi="宋体"/>
          <w:b/>
          <w:bCs/>
          <w:sz w:val="21"/>
          <w:szCs w:val="21"/>
        </w:rPr>
        <w:tab/>
      </w:r>
      <w:r>
        <w:rPr>
          <w:rFonts w:hint="eastAsia" w:ascii="宋体" w:hAnsi="宋体"/>
          <w:b/>
          <w:bCs/>
          <w:sz w:val="21"/>
          <w:szCs w:val="21"/>
        </w:rPr>
        <w:t xml:space="preserve">    招标文件构成</w:t>
      </w:r>
      <w:bookmarkEnd w:id="79"/>
      <w:bookmarkEnd w:id="80"/>
    </w:p>
    <w:p>
      <w:pPr>
        <w:spacing w:line="360" w:lineRule="auto"/>
        <w:ind w:left="788" w:hanging="787" w:hangingChars="375"/>
        <w:rPr>
          <w:rFonts w:hint="eastAsia" w:ascii="宋体" w:hAnsi="宋体"/>
          <w:szCs w:val="21"/>
        </w:rPr>
      </w:pPr>
      <w:r>
        <w:rPr>
          <w:rFonts w:hint="eastAsia" w:ascii="宋体" w:hAnsi="宋体"/>
          <w:szCs w:val="21"/>
        </w:rPr>
        <w:t>5.1</w:t>
      </w:r>
      <w:r>
        <w:rPr>
          <w:rFonts w:hint="eastAsia" w:ascii="宋体" w:hAnsi="宋体"/>
          <w:szCs w:val="21"/>
        </w:rPr>
        <w:tab/>
      </w:r>
      <w:r>
        <w:rPr>
          <w:rFonts w:hint="eastAsia" w:ascii="宋体" w:hAnsi="宋体"/>
          <w:szCs w:val="21"/>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rPr>
      </w:pPr>
      <w:r>
        <w:rPr>
          <w:rFonts w:hint="eastAsia" w:ascii="宋体" w:hAnsi="宋体"/>
          <w:szCs w:val="21"/>
        </w:rPr>
        <w:t>招标文件共六章，内容如下：</w:t>
      </w:r>
    </w:p>
    <w:p>
      <w:pPr>
        <w:numPr>
          <w:ilvl w:val="0"/>
          <w:numId w:val="12"/>
        </w:numPr>
        <w:tabs>
          <w:tab w:val="left" w:pos="0"/>
        </w:tabs>
        <w:spacing w:line="360" w:lineRule="auto"/>
        <w:ind w:left="1081" w:leftChars="429" w:hanging="180"/>
        <w:rPr>
          <w:rFonts w:hint="eastAsia" w:ascii="宋体" w:hAnsi="宋体"/>
          <w:szCs w:val="21"/>
        </w:rPr>
      </w:pPr>
      <w:r>
        <w:rPr>
          <w:rFonts w:hint="eastAsia" w:ascii="宋体" w:hAnsi="宋体"/>
          <w:szCs w:val="21"/>
        </w:rPr>
        <w:t xml:space="preserve">  投标</w:t>
      </w:r>
      <w:r>
        <w:rPr>
          <w:rFonts w:hint="eastAsia" w:ascii="宋体" w:hAnsi="宋体"/>
          <w:szCs w:val="21"/>
          <w:lang w:val="en-US" w:eastAsia="zh-CN"/>
        </w:rPr>
        <w:t>公告</w:t>
      </w:r>
    </w:p>
    <w:p>
      <w:pPr>
        <w:numPr>
          <w:ilvl w:val="0"/>
          <w:numId w:val="12"/>
        </w:numPr>
        <w:spacing w:line="360" w:lineRule="auto"/>
        <w:ind w:left="1081" w:leftChars="429" w:hanging="180"/>
        <w:rPr>
          <w:rFonts w:hint="eastAsia" w:ascii="宋体" w:hAnsi="宋体"/>
          <w:szCs w:val="21"/>
        </w:rPr>
      </w:pPr>
      <w:r>
        <w:rPr>
          <w:rFonts w:hint="eastAsia" w:ascii="宋体" w:hAnsi="宋体"/>
          <w:szCs w:val="21"/>
        </w:rPr>
        <w:t>　投标人须知</w:t>
      </w:r>
    </w:p>
    <w:p>
      <w:pPr>
        <w:numPr>
          <w:ilvl w:val="0"/>
          <w:numId w:val="12"/>
        </w:numPr>
        <w:spacing w:line="360" w:lineRule="auto"/>
        <w:ind w:left="1081" w:leftChars="429" w:hanging="180"/>
        <w:rPr>
          <w:rFonts w:hint="eastAsia" w:ascii="宋体" w:hAnsi="宋体"/>
          <w:szCs w:val="21"/>
        </w:rPr>
      </w:pPr>
      <w:r>
        <w:rPr>
          <w:rFonts w:hint="eastAsia" w:ascii="宋体" w:hAnsi="宋体"/>
          <w:szCs w:val="21"/>
        </w:rPr>
        <w:t>　合同条款</w:t>
      </w:r>
    </w:p>
    <w:p>
      <w:pPr>
        <w:numPr>
          <w:ilvl w:val="0"/>
          <w:numId w:val="12"/>
        </w:numPr>
        <w:spacing w:line="360" w:lineRule="auto"/>
        <w:ind w:left="1081" w:leftChars="429" w:hanging="180"/>
        <w:rPr>
          <w:rFonts w:hint="eastAsia" w:ascii="宋体" w:hAnsi="宋体"/>
          <w:szCs w:val="21"/>
        </w:rPr>
      </w:pPr>
      <w:r>
        <w:rPr>
          <w:rFonts w:hint="eastAsia" w:ascii="宋体" w:hAnsi="宋体"/>
          <w:szCs w:val="21"/>
        </w:rPr>
        <w:t xml:space="preserve">  附件—投标文件格式</w:t>
      </w:r>
    </w:p>
    <w:p>
      <w:pPr>
        <w:numPr>
          <w:ilvl w:val="0"/>
          <w:numId w:val="12"/>
        </w:numPr>
        <w:spacing w:line="360" w:lineRule="auto"/>
        <w:ind w:left="1081" w:leftChars="429" w:hanging="180"/>
        <w:rPr>
          <w:rFonts w:hint="eastAsia" w:ascii="宋体" w:hAnsi="宋体"/>
          <w:szCs w:val="21"/>
        </w:rPr>
      </w:pPr>
      <w:r>
        <w:rPr>
          <w:rFonts w:hint="eastAsia" w:ascii="宋体" w:hAnsi="宋体"/>
          <w:szCs w:val="21"/>
        </w:rPr>
        <w:t xml:space="preserve">  评标方法和标准</w:t>
      </w:r>
    </w:p>
    <w:p>
      <w:pPr>
        <w:numPr>
          <w:ilvl w:val="0"/>
          <w:numId w:val="12"/>
        </w:numPr>
        <w:spacing w:line="360" w:lineRule="auto"/>
        <w:ind w:left="1081" w:leftChars="429" w:hanging="180"/>
        <w:rPr>
          <w:rFonts w:hint="eastAsia" w:ascii="宋体" w:hAnsi="宋体"/>
          <w:szCs w:val="21"/>
        </w:rPr>
      </w:pPr>
      <w:r>
        <w:rPr>
          <w:rFonts w:hint="eastAsia" w:ascii="宋体" w:hAnsi="宋体"/>
          <w:szCs w:val="21"/>
        </w:rPr>
        <w:t xml:space="preserve">  货物技术要求</w:t>
      </w:r>
    </w:p>
    <w:p>
      <w:pPr>
        <w:spacing w:line="360" w:lineRule="auto"/>
        <w:ind w:left="788" w:hanging="787" w:hangingChars="375"/>
        <w:rPr>
          <w:rFonts w:hint="eastAsia" w:ascii="宋体" w:hAnsi="宋体"/>
          <w:szCs w:val="21"/>
        </w:rPr>
      </w:pPr>
      <w:r>
        <w:rPr>
          <w:rFonts w:hint="eastAsia" w:ascii="宋体" w:hAnsi="宋体"/>
          <w:szCs w:val="21"/>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81" w:name="_Toc109736035"/>
      <w:bookmarkStart w:id="82" w:name="_Toc520356148"/>
      <w:r>
        <w:rPr>
          <w:rFonts w:hint="eastAsia" w:ascii="宋体" w:hAnsi="宋体" w:eastAsia="宋体" w:cs="Times New Roman"/>
          <w:b/>
          <w:bCs/>
          <w:sz w:val="21"/>
          <w:szCs w:val="21"/>
        </w:rPr>
        <w:t>6.</w:t>
      </w:r>
      <w:r>
        <w:rPr>
          <w:rFonts w:hint="eastAsia" w:ascii="宋体" w:hAnsi="宋体" w:eastAsia="宋体" w:cs="Times New Roman"/>
          <w:b/>
          <w:bCs/>
          <w:sz w:val="21"/>
          <w:szCs w:val="21"/>
        </w:rPr>
        <w:tab/>
      </w:r>
      <w:r>
        <w:rPr>
          <w:rFonts w:hint="eastAsia" w:ascii="宋体" w:hAnsi="宋体" w:eastAsia="宋体" w:cs="Times New Roman"/>
          <w:b/>
          <w:bCs/>
          <w:sz w:val="21"/>
          <w:szCs w:val="21"/>
        </w:rPr>
        <w:t xml:space="preserve">    招标文件的澄清</w:t>
      </w:r>
      <w:bookmarkEnd w:id="81"/>
      <w:bookmarkEnd w:id="82"/>
    </w:p>
    <w:p>
      <w:pPr>
        <w:spacing w:line="360" w:lineRule="auto"/>
        <w:ind w:left="788" w:hanging="787" w:hangingChars="375"/>
        <w:rPr>
          <w:rFonts w:ascii="宋体" w:hAnsi="宋体"/>
          <w:szCs w:val="21"/>
        </w:rPr>
      </w:pPr>
      <w:r>
        <w:rPr>
          <w:rFonts w:ascii="宋体" w:hAnsi="宋体"/>
          <w:szCs w:val="21"/>
        </w:rPr>
        <w:tab/>
      </w:r>
      <w:r>
        <w:rPr>
          <w:rFonts w:hint="eastAsia" w:ascii="宋体" w:hAnsi="宋体"/>
          <w:szCs w:val="21"/>
        </w:rPr>
        <w:t>任何要求对招标文件进行澄清的投标人，均应以书面形式通知招标采购单位。为了</w:t>
      </w:r>
      <w:r>
        <w:rPr>
          <w:rFonts w:ascii="宋体" w:hAnsi="宋体"/>
          <w:szCs w:val="21"/>
        </w:rPr>
        <w:t>保证对招标文件的</w:t>
      </w:r>
      <w:r>
        <w:rPr>
          <w:rFonts w:hint="eastAsia" w:ascii="宋体" w:hAnsi="宋体"/>
          <w:szCs w:val="21"/>
        </w:rPr>
        <w:t>澄清</w:t>
      </w:r>
      <w:r>
        <w:rPr>
          <w:rFonts w:ascii="宋体" w:hAnsi="宋体"/>
          <w:szCs w:val="21"/>
        </w:rPr>
        <w:t>和修改满足</w:t>
      </w:r>
      <w:r>
        <w:rPr>
          <w:rFonts w:hint="eastAsia" w:ascii="宋体" w:hAnsi="宋体"/>
          <w:szCs w:val="21"/>
        </w:rPr>
        <w:t>法律</w:t>
      </w:r>
      <w:r>
        <w:rPr>
          <w:rFonts w:ascii="宋体" w:hAnsi="宋体"/>
          <w:szCs w:val="21"/>
        </w:rPr>
        <w:t>的</w:t>
      </w:r>
      <w:r>
        <w:rPr>
          <w:rFonts w:hint="eastAsia" w:ascii="宋体" w:hAnsi="宋体"/>
          <w:szCs w:val="21"/>
        </w:rPr>
        <w:t>时限</w:t>
      </w:r>
      <w:r>
        <w:rPr>
          <w:rFonts w:ascii="宋体" w:hAnsi="宋体"/>
          <w:szCs w:val="21"/>
        </w:rPr>
        <w:t>要求，</w:t>
      </w:r>
      <w:r>
        <w:rPr>
          <w:rFonts w:hint="eastAsia" w:ascii="宋体" w:hAnsi="宋体"/>
          <w:szCs w:val="21"/>
        </w:rPr>
        <w:t>投标</w:t>
      </w:r>
      <w:r>
        <w:rPr>
          <w:rFonts w:ascii="宋体" w:hAnsi="宋体"/>
          <w:szCs w:val="21"/>
        </w:rPr>
        <w:t>人应在投标截止</w:t>
      </w:r>
      <w:r>
        <w:rPr>
          <w:rFonts w:hint="eastAsia" w:ascii="宋体" w:hAnsi="宋体"/>
          <w:szCs w:val="21"/>
        </w:rPr>
        <w:t>期</w:t>
      </w:r>
      <w:r>
        <w:rPr>
          <w:rFonts w:hint="eastAsia" w:ascii="宋体" w:hAnsi="宋体"/>
          <w:szCs w:val="21"/>
          <w:lang w:val="en-US" w:eastAsia="zh-CN"/>
        </w:rPr>
        <w:t>三</w:t>
      </w:r>
      <w:r>
        <w:rPr>
          <w:rFonts w:hint="eastAsia" w:ascii="宋体" w:hAnsi="宋体"/>
          <w:szCs w:val="21"/>
        </w:rPr>
        <w:t>日前提出并送达澄清要求至招标采购单位。招标采购单位应以公告和书面形式通知每个购买招标文件的投标人（答复中不包括问题的来源）。</w:t>
      </w:r>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83" w:name="_Toc520356149"/>
      <w:bookmarkStart w:id="84" w:name="_Ref467378678"/>
      <w:bookmarkStart w:id="85" w:name="_Toc109736036"/>
      <w:r>
        <w:rPr>
          <w:rFonts w:hint="eastAsia" w:ascii="宋体" w:hAnsi="宋体" w:eastAsia="宋体" w:cs="Times New Roman"/>
          <w:b/>
          <w:bCs/>
          <w:sz w:val="21"/>
          <w:szCs w:val="21"/>
        </w:rPr>
        <w:t>7.</w:t>
      </w:r>
      <w:r>
        <w:rPr>
          <w:rFonts w:hint="eastAsia" w:ascii="宋体" w:hAnsi="宋体" w:eastAsia="宋体" w:cs="Times New Roman"/>
          <w:b/>
          <w:bCs/>
          <w:sz w:val="21"/>
          <w:szCs w:val="21"/>
        </w:rPr>
        <w:tab/>
      </w:r>
      <w:r>
        <w:rPr>
          <w:rFonts w:hint="eastAsia" w:ascii="宋体" w:hAnsi="宋体" w:eastAsia="宋体" w:cs="Times New Roman"/>
          <w:b/>
          <w:bCs/>
          <w:sz w:val="21"/>
          <w:szCs w:val="21"/>
        </w:rPr>
        <w:t>招标文件的修改</w:t>
      </w:r>
      <w:bookmarkEnd w:id="83"/>
      <w:bookmarkEnd w:id="84"/>
      <w:bookmarkEnd w:id="85"/>
    </w:p>
    <w:p>
      <w:pPr>
        <w:spacing w:line="360" w:lineRule="auto"/>
        <w:ind w:left="893" w:hanging="892" w:hangingChars="425"/>
        <w:rPr>
          <w:rFonts w:hint="eastAsia" w:ascii="宋体" w:hAnsi="宋体"/>
          <w:szCs w:val="21"/>
        </w:rPr>
      </w:pPr>
      <w:r>
        <w:rPr>
          <w:rFonts w:hint="eastAsia" w:ascii="宋体" w:hAnsi="宋体"/>
          <w:szCs w:val="21"/>
        </w:rPr>
        <w:t>7</w:t>
      </w:r>
      <w:r>
        <w:rPr>
          <w:rFonts w:ascii="宋体" w:hAnsi="宋体"/>
          <w:szCs w:val="21"/>
        </w:rPr>
        <w:t>.1</w:t>
      </w:r>
      <w:r>
        <w:rPr>
          <w:rFonts w:ascii="宋体" w:hAnsi="宋体"/>
          <w:szCs w:val="21"/>
        </w:rPr>
        <w:tab/>
      </w:r>
      <w:r>
        <w:rPr>
          <w:rFonts w:hint="eastAsia" w:ascii="宋体" w:hAnsi="宋体"/>
          <w:szCs w:val="21"/>
        </w:rPr>
        <w:t>在投标截止期</w:t>
      </w:r>
      <w:r>
        <w:rPr>
          <w:rFonts w:hint="eastAsia" w:ascii="宋体" w:hAnsi="宋体"/>
          <w:szCs w:val="21"/>
          <w:lang w:val="en-US" w:eastAsia="zh-CN"/>
        </w:rPr>
        <w:t>五</w:t>
      </w:r>
      <w:r>
        <w:rPr>
          <w:rFonts w:hint="eastAsia" w:ascii="宋体" w:hAnsi="宋体"/>
          <w:szCs w:val="21"/>
        </w:rPr>
        <w:t>日前，招标采购单位可主动地或在解答投标人提出的澄清问题时对招标文件进行修改。</w:t>
      </w:r>
    </w:p>
    <w:p>
      <w:pPr>
        <w:spacing w:line="360" w:lineRule="auto"/>
        <w:ind w:left="788" w:hanging="787" w:hangingChars="375"/>
        <w:rPr>
          <w:rFonts w:ascii="宋体" w:hAnsi="宋体"/>
          <w:szCs w:val="21"/>
        </w:rPr>
      </w:pPr>
      <w:r>
        <w:rPr>
          <w:rFonts w:hint="eastAsia" w:ascii="宋体" w:hAnsi="宋体"/>
          <w:szCs w:val="21"/>
        </w:rPr>
        <w:t>7</w:t>
      </w:r>
      <w:r>
        <w:rPr>
          <w:rFonts w:ascii="宋体" w:hAnsi="宋体"/>
          <w:szCs w:val="21"/>
        </w:rPr>
        <w:t>.2</w:t>
      </w:r>
      <w:r>
        <w:rPr>
          <w:rFonts w:ascii="宋体" w:hAnsi="宋体"/>
          <w:szCs w:val="21"/>
        </w:rPr>
        <w:tab/>
      </w:r>
      <w:r>
        <w:rPr>
          <w:rFonts w:hint="eastAsia" w:ascii="宋体" w:hAnsi="宋体"/>
          <w:szCs w:val="21"/>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rPr>
      </w:pPr>
      <w:r>
        <w:rPr>
          <w:rFonts w:hint="eastAsia" w:ascii="宋体" w:hAnsi="宋体"/>
          <w:szCs w:val="21"/>
        </w:rPr>
        <w:t>7</w:t>
      </w:r>
      <w:r>
        <w:rPr>
          <w:rFonts w:ascii="宋体" w:hAnsi="宋体"/>
          <w:szCs w:val="21"/>
        </w:rPr>
        <w:t>.3</w:t>
      </w:r>
      <w:r>
        <w:rPr>
          <w:rFonts w:ascii="宋体" w:hAnsi="宋体"/>
          <w:szCs w:val="21"/>
        </w:rPr>
        <w:tab/>
      </w:r>
      <w:r>
        <w:rPr>
          <w:rFonts w:hint="eastAsia" w:ascii="宋体" w:hAnsi="宋体"/>
          <w:szCs w:val="21"/>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rPr>
      </w:pPr>
    </w:p>
    <w:p>
      <w:pPr>
        <w:rPr>
          <w:rFonts w:hint="eastAsia" w:ascii="宋体" w:hAnsi="宋体"/>
          <w:szCs w:val="21"/>
        </w:rPr>
      </w:pPr>
      <w:bookmarkStart w:id="86" w:name="_Toc516367020"/>
      <w:bookmarkStart w:id="87" w:name="_Toc520356150"/>
      <w:bookmarkStart w:id="88" w:name="_Toc216582807"/>
    </w:p>
    <w:p>
      <w:pPr>
        <w:pStyle w:val="3"/>
        <w:keepNext/>
        <w:keepLines/>
        <w:widowControl w:val="0"/>
        <w:tabs>
          <w:tab w:val="left" w:pos="900"/>
        </w:tabs>
        <w:wordWrap/>
        <w:adjustRightInd/>
        <w:snapToGrid/>
        <w:spacing w:before="0" w:line="360" w:lineRule="auto"/>
        <w:jc w:val="center"/>
        <w:textAlignment w:val="auto"/>
        <w:rPr>
          <w:rFonts w:hint="eastAsia" w:ascii="宋体" w:hAnsi="宋体" w:eastAsia="宋体"/>
          <w:sz w:val="24"/>
          <w:szCs w:val="24"/>
        </w:rPr>
      </w:pPr>
      <w:bookmarkStart w:id="89" w:name="_Toc8001"/>
      <w:bookmarkStart w:id="90" w:name="_Toc109736037"/>
      <w:r>
        <w:rPr>
          <w:rFonts w:hint="eastAsia" w:ascii="宋体" w:hAnsi="宋体" w:eastAsia="宋体"/>
          <w:sz w:val="24"/>
          <w:szCs w:val="24"/>
        </w:rPr>
        <w:t>三   投标文件</w:t>
      </w:r>
      <w:bookmarkEnd w:id="86"/>
      <w:r>
        <w:rPr>
          <w:rFonts w:hint="eastAsia" w:ascii="宋体" w:hAnsi="宋体" w:eastAsia="宋体"/>
          <w:sz w:val="24"/>
          <w:szCs w:val="24"/>
        </w:rPr>
        <w:t>的编制</w:t>
      </w:r>
      <w:bookmarkEnd w:id="87"/>
      <w:bookmarkEnd w:id="88"/>
      <w:bookmarkEnd w:id="89"/>
      <w:bookmarkEnd w:id="90"/>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91" w:name="_Toc109736038"/>
      <w:bookmarkStart w:id="92" w:name="_Toc516367021"/>
      <w:bookmarkStart w:id="93" w:name="_Toc520356151"/>
      <w:r>
        <w:rPr>
          <w:rFonts w:hint="eastAsia" w:ascii="宋体" w:hAnsi="宋体" w:eastAsia="宋体" w:cs="Times New Roman"/>
          <w:b/>
          <w:bCs/>
          <w:sz w:val="21"/>
          <w:szCs w:val="21"/>
        </w:rPr>
        <w:t>8.</w:t>
      </w:r>
      <w:r>
        <w:rPr>
          <w:rFonts w:hint="eastAsia" w:ascii="宋体" w:hAnsi="宋体" w:eastAsia="宋体" w:cs="Times New Roman"/>
          <w:b/>
          <w:bCs/>
          <w:sz w:val="21"/>
          <w:szCs w:val="21"/>
        </w:rPr>
        <w:tab/>
      </w:r>
      <w:r>
        <w:rPr>
          <w:rFonts w:hint="eastAsia" w:ascii="宋体" w:hAnsi="宋体" w:eastAsia="宋体" w:cs="Times New Roman"/>
          <w:b/>
          <w:bCs/>
          <w:sz w:val="21"/>
          <w:szCs w:val="21"/>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rPr>
      </w:pPr>
      <w:r>
        <w:rPr>
          <w:rFonts w:hint="eastAsia" w:ascii="宋体" w:hAnsi="宋体"/>
          <w:szCs w:val="21"/>
        </w:rPr>
        <w:t>8</w:t>
      </w:r>
      <w:r>
        <w:rPr>
          <w:rFonts w:ascii="宋体" w:hAnsi="宋体"/>
          <w:szCs w:val="21"/>
        </w:rPr>
        <w:t>.1</w:t>
      </w:r>
      <w:r>
        <w:rPr>
          <w:rFonts w:ascii="宋体" w:hAnsi="宋体"/>
          <w:szCs w:val="21"/>
        </w:rPr>
        <w:tab/>
      </w:r>
      <w:r>
        <w:rPr>
          <w:rFonts w:hint="eastAsia" w:ascii="宋体" w:hAnsi="宋体"/>
          <w:szCs w:val="21"/>
        </w:rPr>
        <w:t>投标人可对招标文件中“货物需求一览表”所列的所有货物进行投标，也可只对其中一包或几包货物进行投标，除非在</w:t>
      </w:r>
      <w:r>
        <w:rPr>
          <w:rFonts w:hint="eastAsia" w:ascii="宋体" w:hAnsi="宋体"/>
          <w:szCs w:val="21"/>
          <w:u w:val="single"/>
        </w:rPr>
        <w:t>投标人须知资料表</w:t>
      </w:r>
      <w:r>
        <w:rPr>
          <w:rFonts w:hint="eastAsia" w:ascii="宋体" w:hAnsi="宋体"/>
          <w:szCs w:val="21"/>
        </w:rPr>
        <w:t>中另有规定。但无论如何，均不得将一包中的内容拆开投标。</w:t>
      </w:r>
    </w:p>
    <w:p>
      <w:pPr>
        <w:spacing w:line="360" w:lineRule="auto"/>
        <w:ind w:left="788" w:hanging="787" w:hangingChars="375"/>
        <w:rPr>
          <w:rFonts w:hint="eastAsia" w:ascii="宋体" w:hAnsi="宋体"/>
          <w:szCs w:val="21"/>
        </w:rPr>
      </w:pPr>
      <w:r>
        <w:rPr>
          <w:rFonts w:hint="eastAsia" w:ascii="宋体" w:hAnsi="宋体"/>
          <w:szCs w:val="21"/>
        </w:rPr>
        <w:t>8.2     如</w:t>
      </w:r>
      <w:r>
        <w:rPr>
          <w:rFonts w:hint="eastAsia" w:ascii="宋体" w:hAnsi="宋体"/>
          <w:szCs w:val="21"/>
          <w:u w:val="single"/>
        </w:rPr>
        <w:t>投标人须知资料表</w:t>
      </w:r>
      <w:r>
        <w:rPr>
          <w:rFonts w:hint="eastAsia" w:ascii="宋体" w:hAnsi="宋体"/>
          <w:szCs w:val="21"/>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rPr>
      </w:pPr>
      <w:r>
        <w:rPr>
          <w:rFonts w:hint="eastAsia" w:ascii="宋体" w:hAnsi="宋体"/>
          <w:szCs w:val="21"/>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4</w:t>
      </w:r>
      <w:r>
        <w:rPr>
          <w:rFonts w:ascii="宋体" w:hAnsi="宋体"/>
          <w:szCs w:val="21"/>
        </w:rPr>
        <w:tab/>
      </w:r>
      <w:r>
        <w:rPr>
          <w:rFonts w:hint="eastAsia" w:ascii="宋体" w:hAnsi="宋体"/>
          <w:szCs w:val="21"/>
        </w:rPr>
        <w:t>投标文件中所使用的计量单位，除招标文件中有特殊要求外，应采用中华人民共和国法定计量单位。</w:t>
      </w:r>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94" w:name="_Ref467306676"/>
      <w:bookmarkStart w:id="95" w:name="_Toc516367022"/>
      <w:bookmarkStart w:id="96" w:name="_Ref467306195"/>
      <w:bookmarkStart w:id="97" w:name="_Toc109736039"/>
      <w:bookmarkStart w:id="98" w:name="_Toc520356152"/>
      <w:r>
        <w:rPr>
          <w:rFonts w:hint="eastAsia" w:ascii="宋体" w:hAnsi="宋体" w:eastAsia="宋体" w:cs="Times New Roman"/>
          <w:b/>
          <w:bCs/>
          <w:sz w:val="21"/>
          <w:szCs w:val="21"/>
        </w:rPr>
        <w:t>9.</w:t>
      </w:r>
      <w:r>
        <w:rPr>
          <w:rFonts w:hint="eastAsia" w:ascii="宋体" w:hAnsi="宋体" w:eastAsia="宋体" w:cs="Times New Roman"/>
          <w:b/>
          <w:bCs/>
          <w:sz w:val="21"/>
          <w:szCs w:val="21"/>
        </w:rPr>
        <w:tab/>
      </w:r>
      <w:r>
        <w:rPr>
          <w:rFonts w:hint="eastAsia" w:ascii="宋体" w:hAnsi="宋体" w:eastAsia="宋体" w:cs="Times New Roman"/>
          <w:b/>
          <w:bCs/>
          <w:sz w:val="21"/>
          <w:szCs w:val="21"/>
        </w:rPr>
        <w:t>投标文件</w:t>
      </w:r>
      <w:bookmarkEnd w:id="94"/>
      <w:bookmarkEnd w:id="95"/>
      <w:bookmarkEnd w:id="96"/>
      <w:r>
        <w:rPr>
          <w:rFonts w:hint="eastAsia" w:ascii="宋体" w:hAnsi="宋体" w:eastAsia="宋体" w:cs="Times New Roman"/>
          <w:b/>
          <w:bCs/>
          <w:sz w:val="21"/>
          <w:szCs w:val="21"/>
        </w:rPr>
        <w:t>构成</w:t>
      </w:r>
      <w:bookmarkEnd w:id="97"/>
      <w:bookmarkEnd w:id="98"/>
    </w:p>
    <w:p>
      <w:pPr>
        <w:spacing w:line="360" w:lineRule="auto"/>
        <w:ind w:left="788" w:hanging="787" w:hangingChars="375"/>
        <w:rPr>
          <w:rFonts w:hint="eastAsia" w:ascii="宋体" w:hAnsi="宋体"/>
          <w:szCs w:val="21"/>
        </w:rPr>
      </w:pPr>
      <w:bookmarkStart w:id="99" w:name="_Ref467052588"/>
      <w:r>
        <w:rPr>
          <w:rFonts w:hint="eastAsia" w:ascii="宋体" w:hAnsi="宋体"/>
          <w:szCs w:val="21"/>
        </w:rPr>
        <w:t>9</w:t>
      </w:r>
      <w:r>
        <w:rPr>
          <w:rFonts w:ascii="宋体" w:hAnsi="宋体"/>
          <w:szCs w:val="21"/>
        </w:rPr>
        <w:t>.1</w:t>
      </w:r>
      <w:r>
        <w:rPr>
          <w:rFonts w:ascii="宋体" w:hAnsi="宋体"/>
          <w:szCs w:val="21"/>
        </w:rPr>
        <w:tab/>
      </w:r>
      <w:r>
        <w:rPr>
          <w:rFonts w:hint="eastAsia" w:ascii="宋体" w:hAnsi="宋体"/>
          <w:szCs w:val="21"/>
        </w:rPr>
        <w:t>投标人应完整地按招标文件提供的投标文件格式填写投标文件，投标文件应包括以下内容</w:t>
      </w:r>
      <w:bookmarkEnd w:id="99"/>
      <w:r>
        <w:rPr>
          <w:rFonts w:hint="eastAsia" w:ascii="宋体" w:hAnsi="宋体"/>
          <w:szCs w:val="21"/>
        </w:rPr>
        <w:t>，如不完整将按无效投标处理：</w:t>
      </w:r>
    </w:p>
    <w:p>
      <w:pPr>
        <w:tabs>
          <w:tab w:val="left" w:pos="900"/>
          <w:tab w:val="left" w:pos="5580"/>
        </w:tabs>
        <w:spacing w:line="360" w:lineRule="auto"/>
        <w:ind w:left="1056" w:leftChars="428" w:hanging="157" w:hangingChars="75"/>
        <w:rPr>
          <w:rFonts w:hint="eastAsia" w:ascii="宋体" w:hAnsi="宋体"/>
          <w:szCs w:val="21"/>
        </w:rPr>
      </w:pPr>
      <w:r>
        <w:rPr>
          <w:rFonts w:hint="eastAsia" w:ascii="宋体" w:hAnsi="宋体"/>
          <w:szCs w:val="21"/>
        </w:rPr>
        <w:t>附件1——投标书（格式）</w:t>
      </w:r>
    </w:p>
    <w:p>
      <w:pPr>
        <w:tabs>
          <w:tab w:val="left" w:pos="900"/>
          <w:tab w:val="left" w:pos="5580"/>
        </w:tabs>
        <w:spacing w:line="360" w:lineRule="auto"/>
        <w:ind w:left="1056" w:leftChars="428" w:hanging="157" w:hangingChars="75"/>
        <w:rPr>
          <w:rFonts w:hint="eastAsia" w:ascii="宋体" w:hAnsi="宋体"/>
          <w:szCs w:val="21"/>
        </w:rPr>
      </w:pPr>
      <w:r>
        <w:rPr>
          <w:rFonts w:hint="eastAsia" w:ascii="宋体" w:hAnsi="宋体"/>
          <w:szCs w:val="21"/>
        </w:rPr>
        <w:t>附件2——开标一览表（格式）</w:t>
      </w:r>
    </w:p>
    <w:p>
      <w:pPr>
        <w:tabs>
          <w:tab w:val="left" w:pos="900"/>
          <w:tab w:val="left" w:pos="5580"/>
        </w:tabs>
        <w:spacing w:line="360" w:lineRule="auto"/>
        <w:ind w:left="1056" w:leftChars="428" w:hanging="157" w:hangingChars="75"/>
        <w:rPr>
          <w:rFonts w:hint="eastAsia" w:ascii="宋体" w:hAnsi="宋体"/>
          <w:szCs w:val="21"/>
        </w:rPr>
      </w:pPr>
      <w:r>
        <w:rPr>
          <w:rFonts w:hint="eastAsia" w:ascii="宋体" w:hAnsi="宋体"/>
          <w:szCs w:val="21"/>
        </w:rPr>
        <w:t>附件</w:t>
      </w:r>
      <w:r>
        <w:rPr>
          <w:rFonts w:hint="eastAsia" w:ascii="宋体" w:hAnsi="宋体"/>
          <w:szCs w:val="21"/>
          <w:lang w:val="en-US" w:eastAsia="zh-CN"/>
        </w:rPr>
        <w:t>3</w:t>
      </w:r>
      <w:r>
        <w:rPr>
          <w:rFonts w:hint="eastAsia" w:ascii="宋体" w:hAnsi="宋体"/>
          <w:szCs w:val="21"/>
        </w:rPr>
        <w:t>——商务条款偏离表（格式）</w:t>
      </w:r>
    </w:p>
    <w:p>
      <w:pPr>
        <w:tabs>
          <w:tab w:val="left" w:pos="900"/>
          <w:tab w:val="left" w:pos="5580"/>
        </w:tabs>
        <w:spacing w:line="360" w:lineRule="auto"/>
        <w:ind w:left="1056" w:leftChars="428" w:hanging="157" w:hangingChars="75"/>
        <w:rPr>
          <w:rFonts w:hint="eastAsia" w:ascii="宋体" w:hAnsi="宋体"/>
          <w:szCs w:val="21"/>
        </w:rPr>
      </w:pPr>
      <w:r>
        <w:rPr>
          <w:rFonts w:hint="eastAsia" w:ascii="宋体" w:hAnsi="宋体"/>
          <w:szCs w:val="21"/>
        </w:rPr>
        <w:t>附件</w:t>
      </w:r>
      <w:r>
        <w:rPr>
          <w:rFonts w:hint="eastAsia" w:ascii="宋体" w:hAnsi="宋体"/>
          <w:szCs w:val="21"/>
          <w:lang w:val="en-US" w:eastAsia="zh-CN"/>
        </w:rPr>
        <w:t>4</w:t>
      </w:r>
      <w:r>
        <w:rPr>
          <w:rFonts w:hint="eastAsia" w:ascii="宋体" w:hAnsi="宋体"/>
          <w:szCs w:val="21"/>
        </w:rPr>
        <w:t>——技术规格偏离表（格式）</w:t>
      </w:r>
    </w:p>
    <w:p>
      <w:pPr>
        <w:tabs>
          <w:tab w:val="left" w:pos="900"/>
          <w:tab w:val="left" w:pos="5580"/>
        </w:tabs>
        <w:spacing w:line="360" w:lineRule="auto"/>
        <w:ind w:left="1056" w:leftChars="428" w:hanging="157" w:hangingChars="75"/>
        <w:rPr>
          <w:rFonts w:hint="eastAsia" w:ascii="宋体" w:hAnsi="宋体"/>
          <w:szCs w:val="21"/>
        </w:rPr>
      </w:pPr>
      <w:bookmarkStart w:id="100" w:name="_Hlt520276204"/>
      <w:bookmarkStart w:id="101" w:name="_Hlt520274929"/>
      <w:r>
        <w:rPr>
          <w:rFonts w:hint="eastAsia" w:ascii="宋体" w:hAnsi="宋体"/>
          <w:szCs w:val="21"/>
        </w:rPr>
        <w:t>附件</w:t>
      </w:r>
      <w:r>
        <w:rPr>
          <w:rFonts w:hint="eastAsia" w:ascii="宋体" w:hAnsi="宋体"/>
          <w:szCs w:val="21"/>
          <w:lang w:val="en-US" w:eastAsia="zh-CN"/>
        </w:rPr>
        <w:t>5</w:t>
      </w:r>
      <w:r>
        <w:rPr>
          <w:rFonts w:hint="eastAsia" w:ascii="宋体" w:hAnsi="宋体"/>
          <w:szCs w:val="21"/>
        </w:rPr>
        <w:t>——资格、资信证明文件</w:t>
      </w:r>
    </w:p>
    <w:bookmarkEnd w:id="100"/>
    <w:bookmarkEnd w:id="101"/>
    <w:p>
      <w:pPr>
        <w:widowControl w:val="0"/>
        <w:wordWrap/>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包括但不限于：</w:t>
      </w:r>
    </w:p>
    <w:p>
      <w:pPr>
        <w:widowControl w:val="0"/>
        <w:wordWrap/>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-1法人或者其他组织的营业执照等证明文件复印件（须加盖本单位公章）</w:t>
      </w:r>
    </w:p>
    <w:p>
      <w:pPr>
        <w:widowControl w:val="0"/>
        <w:wordWrap/>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-2法定代表人授权书及身份证复印件（格式）</w:t>
      </w:r>
    </w:p>
    <w:p>
      <w:pPr>
        <w:widowControl w:val="0"/>
        <w:wordWrap/>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-3生产厂商的授权书（格式，或投标人须知前附表要求其他格式）</w:t>
      </w:r>
    </w:p>
    <w:p>
      <w:pPr>
        <w:widowControl w:val="0"/>
        <w:wordWrap/>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-4投标人开户银行在投标截止日前三个月内开具的资信证明（原件或复印件加盖公章）或会计师事务所出具的上一年度财务审计报告复印件</w:t>
      </w:r>
    </w:p>
    <w:p>
      <w:pPr>
        <w:widowControl w:val="0"/>
        <w:wordWrap/>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-5投标截止日前6个月内任意连续3个月缴纳税收和社会保障资金的证明材料</w:t>
      </w:r>
    </w:p>
    <w:p>
      <w:pPr>
        <w:widowControl w:val="0"/>
        <w:wordWrap/>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-6投标人参加本项目活动前三年内，在经营活动中没有重大违法记录的声明</w:t>
      </w:r>
    </w:p>
    <w:p>
      <w:pPr>
        <w:widowControl w:val="0"/>
        <w:wordWrap/>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-7近三年类似项目业绩一览表</w:t>
      </w:r>
    </w:p>
    <w:p>
      <w:pPr>
        <w:widowControl w:val="0"/>
        <w:wordWrap/>
        <w:adjustRightInd/>
        <w:snapToGrid/>
        <w:spacing w:line="360" w:lineRule="auto"/>
        <w:ind w:left="0" w:firstLine="840" w:firstLineChars="400"/>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-8符合投标人须知前附表和招标文件中要求的其它证明文件</w:t>
      </w:r>
    </w:p>
    <w:p>
      <w:pPr>
        <w:widowControl w:val="0"/>
        <w:wordWrap/>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6</w:t>
      </w:r>
      <w:r>
        <w:rPr>
          <w:rFonts w:hint="eastAsia" w:ascii="宋体" w:hAnsi="宋体"/>
          <w:szCs w:val="21"/>
        </w:rPr>
        <w:t>——反商业贿赂承诺书（格式）</w:t>
      </w:r>
    </w:p>
    <w:p>
      <w:pPr>
        <w:widowControl w:val="0"/>
        <w:wordWrap/>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7</w:t>
      </w:r>
      <w:r>
        <w:rPr>
          <w:rFonts w:hint="eastAsia" w:ascii="宋体" w:hAnsi="宋体"/>
          <w:szCs w:val="21"/>
        </w:rPr>
        <w:t>——详细的实施方案</w:t>
      </w:r>
    </w:p>
    <w:p>
      <w:pPr>
        <w:widowControl w:val="0"/>
        <w:wordWrap/>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8</w:t>
      </w:r>
      <w:r>
        <w:rPr>
          <w:rFonts w:hint="eastAsia" w:ascii="宋体" w:hAnsi="宋体"/>
          <w:szCs w:val="21"/>
        </w:rPr>
        <w:t>——售后服务方案及承诺</w:t>
      </w:r>
    </w:p>
    <w:p>
      <w:pPr>
        <w:widowControl w:val="0"/>
        <w:wordWrap/>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9</w:t>
      </w:r>
      <w:r>
        <w:rPr>
          <w:rFonts w:hint="eastAsia" w:ascii="宋体" w:hAnsi="宋体"/>
          <w:szCs w:val="21"/>
        </w:rPr>
        <w:t>——投标人认为需要提供的其它材料</w:t>
      </w:r>
    </w:p>
    <w:p>
      <w:pPr>
        <w:widowControl w:val="0"/>
        <w:wordWrap/>
        <w:adjustRightInd/>
        <w:snapToGrid/>
        <w:spacing w:line="360" w:lineRule="auto"/>
        <w:ind w:left="0" w:firstLine="840" w:firstLineChars="400"/>
        <w:textAlignment w:val="auto"/>
        <w:rPr>
          <w:rFonts w:hint="eastAsia" w:ascii="宋体" w:hAnsi="宋体"/>
          <w:szCs w:val="21"/>
        </w:rPr>
      </w:pPr>
      <w:r>
        <w:rPr>
          <w:rFonts w:hint="eastAsia" w:ascii="宋体" w:hAnsi="宋体"/>
          <w:szCs w:val="21"/>
        </w:rPr>
        <w:t>附件</w:t>
      </w:r>
      <w:r>
        <w:rPr>
          <w:rFonts w:hint="eastAsia" w:ascii="宋体" w:hAnsi="宋体"/>
          <w:szCs w:val="21"/>
          <w:lang w:val="en-US" w:eastAsia="zh-CN"/>
        </w:rPr>
        <w:t>10</w:t>
      </w:r>
      <w:r>
        <w:rPr>
          <w:rFonts w:hint="eastAsia" w:ascii="宋体" w:hAnsi="宋体"/>
          <w:szCs w:val="21"/>
        </w:rPr>
        <w:t>--其他投标相关承诺书</w:t>
      </w:r>
    </w:p>
    <w:p>
      <w:pPr>
        <w:spacing w:line="360" w:lineRule="auto"/>
        <w:ind w:left="788" w:hanging="787" w:hangingChars="375"/>
        <w:rPr>
          <w:rFonts w:hint="eastAsia" w:ascii="宋体" w:hAnsi="宋体"/>
          <w:szCs w:val="21"/>
        </w:rPr>
      </w:pPr>
      <w:r>
        <w:rPr>
          <w:rFonts w:hint="eastAsia" w:ascii="宋体" w:hAnsi="宋体"/>
          <w:szCs w:val="21"/>
        </w:rPr>
        <w:t>9</w:t>
      </w:r>
      <w:r>
        <w:rPr>
          <w:rFonts w:ascii="宋体" w:hAnsi="宋体"/>
          <w:szCs w:val="21"/>
        </w:rPr>
        <w:t>.2</w:t>
      </w:r>
      <w:r>
        <w:rPr>
          <w:rFonts w:ascii="宋体" w:hAnsi="宋体"/>
          <w:szCs w:val="21"/>
        </w:rPr>
        <w:tab/>
      </w:r>
      <w:r>
        <w:rPr>
          <w:rFonts w:hint="eastAsia" w:ascii="宋体" w:hAnsi="宋体"/>
          <w:szCs w:val="21"/>
        </w:rPr>
        <w:t>除上述9</w:t>
      </w:r>
      <w:r>
        <w:rPr>
          <w:rFonts w:ascii="宋体" w:hAnsi="宋体"/>
          <w:szCs w:val="21"/>
        </w:rPr>
        <w:t>.1</w:t>
      </w:r>
      <w:r>
        <w:rPr>
          <w:rFonts w:hint="eastAsia" w:ascii="宋体" w:hAnsi="宋体"/>
          <w:szCs w:val="21"/>
        </w:rPr>
        <w:t>条外，投标文件还应包括本须知第10条的所有文件。</w:t>
      </w:r>
    </w:p>
    <w:p>
      <w:pPr>
        <w:spacing w:line="360" w:lineRule="auto"/>
        <w:ind w:left="735" w:hanging="735" w:hangingChars="350"/>
        <w:rPr>
          <w:rFonts w:hint="eastAsia" w:ascii="宋体" w:hAnsi="宋体"/>
          <w:szCs w:val="21"/>
        </w:rPr>
      </w:pPr>
      <w:r>
        <w:rPr>
          <w:rFonts w:hint="eastAsia" w:ascii="宋体" w:hAnsi="宋体"/>
          <w:szCs w:val="21"/>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rPr>
      </w:pPr>
      <w:r>
        <w:rPr>
          <w:rFonts w:hint="eastAsia" w:ascii="宋体" w:hAnsi="宋体"/>
          <w:szCs w:val="21"/>
        </w:rPr>
        <w:t>9.4    上述文件应按照招标文件规定的格式填写、签署和盖章。</w:t>
      </w:r>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102" w:name="_Toc109736040"/>
      <w:bookmarkStart w:id="103" w:name="_Toc520356153"/>
      <w:bookmarkStart w:id="104" w:name="_Toc516367023"/>
      <w:r>
        <w:rPr>
          <w:rFonts w:hint="eastAsia" w:ascii="宋体" w:hAnsi="宋体" w:eastAsia="宋体" w:cs="Times New Roman"/>
          <w:b/>
          <w:bCs/>
          <w:sz w:val="21"/>
          <w:szCs w:val="21"/>
        </w:rPr>
        <w:t>10.</w:t>
      </w:r>
      <w:r>
        <w:rPr>
          <w:rFonts w:hint="eastAsia" w:ascii="宋体" w:hAnsi="宋体" w:eastAsia="宋体" w:cs="Times New Roman"/>
          <w:b/>
          <w:bCs/>
          <w:sz w:val="21"/>
          <w:szCs w:val="21"/>
        </w:rPr>
        <w:tab/>
      </w:r>
      <w:r>
        <w:rPr>
          <w:rFonts w:hint="eastAsia" w:ascii="宋体" w:hAnsi="宋体" w:eastAsia="宋体" w:cs="Times New Roman"/>
          <w:b/>
          <w:bCs/>
          <w:sz w:val="21"/>
          <w:szCs w:val="21"/>
        </w:rPr>
        <w:t>证明货物的合格性和符合招标文件规定的文件</w:t>
      </w:r>
      <w:bookmarkEnd w:id="102"/>
      <w:bookmarkEnd w:id="103"/>
      <w:bookmarkEnd w:id="104"/>
    </w:p>
    <w:p>
      <w:pPr>
        <w:spacing w:line="360" w:lineRule="auto"/>
        <w:ind w:left="788" w:hanging="787" w:hangingChars="375"/>
        <w:rPr>
          <w:rFonts w:ascii="宋体" w:hAnsi="宋体"/>
          <w:szCs w:val="21"/>
        </w:rPr>
      </w:pPr>
      <w:r>
        <w:rPr>
          <w:rFonts w:hint="eastAsia" w:ascii="宋体" w:hAnsi="宋体"/>
          <w:szCs w:val="21"/>
        </w:rPr>
        <w:t>10</w:t>
      </w:r>
      <w:r>
        <w:rPr>
          <w:rFonts w:ascii="宋体" w:hAnsi="宋体"/>
          <w:szCs w:val="21"/>
        </w:rPr>
        <w:t>.1</w:t>
      </w:r>
      <w:r>
        <w:rPr>
          <w:rFonts w:ascii="宋体" w:hAnsi="宋体"/>
          <w:szCs w:val="21"/>
        </w:rPr>
        <w:tab/>
      </w:r>
      <w:r>
        <w:rPr>
          <w:rFonts w:hint="eastAsia" w:ascii="宋体" w:hAnsi="宋体"/>
          <w:szCs w:val="21"/>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rPr>
      </w:pPr>
      <w:bookmarkStart w:id="105" w:name="_Ref467306244"/>
      <w:r>
        <w:rPr>
          <w:rFonts w:hint="eastAsia" w:ascii="宋体" w:hAnsi="宋体"/>
          <w:szCs w:val="21"/>
        </w:rPr>
        <w:t>10</w:t>
      </w:r>
      <w:r>
        <w:rPr>
          <w:rFonts w:ascii="宋体" w:hAnsi="宋体"/>
          <w:szCs w:val="21"/>
        </w:rPr>
        <w:t>.2</w:t>
      </w:r>
      <w:r>
        <w:rPr>
          <w:rFonts w:ascii="宋体" w:hAnsi="宋体"/>
          <w:szCs w:val="21"/>
        </w:rPr>
        <w:tab/>
      </w:r>
      <w:r>
        <w:rPr>
          <w:rFonts w:hint="eastAsia" w:ascii="宋体" w:hAnsi="宋体"/>
          <w:szCs w:val="21"/>
        </w:rPr>
        <w:t>上款所述的证明文件，可以是文字资料、图纸和数据，</w:t>
      </w:r>
      <w:bookmarkEnd w:id="105"/>
      <w:r>
        <w:rPr>
          <w:rFonts w:hint="eastAsia" w:ascii="宋体" w:hAnsi="宋体"/>
          <w:szCs w:val="21"/>
        </w:rPr>
        <w:t>它包括：</w:t>
      </w:r>
    </w:p>
    <w:p>
      <w:pPr>
        <w:spacing w:line="360" w:lineRule="auto"/>
        <w:ind w:left="788" w:hanging="787" w:hangingChars="375"/>
        <w:rPr>
          <w:rFonts w:hint="eastAsia" w:ascii="宋体" w:hAnsi="宋体"/>
          <w:szCs w:val="21"/>
        </w:rPr>
      </w:pPr>
      <w:r>
        <w:rPr>
          <w:rFonts w:hint="eastAsia" w:ascii="宋体" w:hAnsi="宋体"/>
          <w:szCs w:val="21"/>
        </w:rPr>
        <w:t>10</w:t>
      </w:r>
      <w:r>
        <w:rPr>
          <w:rFonts w:ascii="宋体" w:hAnsi="宋体"/>
          <w:szCs w:val="21"/>
        </w:rPr>
        <w:t>.2.1</w:t>
      </w:r>
      <w:r>
        <w:rPr>
          <w:rFonts w:ascii="宋体" w:hAnsi="宋体"/>
          <w:szCs w:val="21"/>
        </w:rPr>
        <w:tab/>
      </w:r>
      <w:r>
        <w:rPr>
          <w:rFonts w:hint="eastAsia" w:ascii="宋体" w:hAnsi="宋体"/>
          <w:szCs w:val="21"/>
        </w:rPr>
        <w:t>货物主要技术指标和性能的详细说明。</w:t>
      </w:r>
    </w:p>
    <w:p>
      <w:pPr>
        <w:spacing w:line="360" w:lineRule="auto"/>
        <w:ind w:left="788" w:hanging="787" w:hangingChars="375"/>
        <w:rPr>
          <w:rFonts w:hint="eastAsia" w:ascii="宋体" w:hAnsi="宋体"/>
          <w:szCs w:val="21"/>
        </w:rPr>
      </w:pPr>
      <w:r>
        <w:rPr>
          <w:rFonts w:hint="eastAsia" w:ascii="宋体" w:hAnsi="宋体"/>
          <w:szCs w:val="21"/>
        </w:rPr>
        <w:t>10</w:t>
      </w:r>
      <w:r>
        <w:rPr>
          <w:rFonts w:ascii="宋体" w:hAnsi="宋体"/>
          <w:szCs w:val="21"/>
        </w:rPr>
        <w:t>.2.2</w:t>
      </w:r>
      <w:r>
        <w:rPr>
          <w:rFonts w:ascii="宋体" w:hAnsi="宋体"/>
          <w:szCs w:val="21"/>
        </w:rPr>
        <w:tab/>
      </w:r>
      <w:r>
        <w:rPr>
          <w:rFonts w:hint="eastAsia" w:ascii="宋体" w:hAnsi="宋体"/>
          <w:szCs w:val="21"/>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rPr>
      </w:pPr>
      <w:r>
        <w:rPr>
          <w:rFonts w:hint="eastAsia" w:ascii="宋体" w:hAnsi="宋体"/>
          <w:szCs w:val="21"/>
        </w:rPr>
        <w:t>10</w:t>
      </w:r>
      <w:r>
        <w:rPr>
          <w:rFonts w:ascii="宋体" w:hAnsi="宋体"/>
          <w:szCs w:val="21"/>
        </w:rPr>
        <w:t>.2.3</w:t>
      </w:r>
      <w:r>
        <w:rPr>
          <w:rFonts w:ascii="宋体" w:hAnsi="宋体"/>
          <w:szCs w:val="21"/>
        </w:rPr>
        <w:tab/>
      </w:r>
      <w:r>
        <w:rPr>
          <w:rFonts w:hint="eastAsia" w:ascii="宋体" w:hAnsi="宋体"/>
          <w:szCs w:val="21"/>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rPr>
      </w:pPr>
      <w:r>
        <w:rPr>
          <w:rFonts w:hint="eastAsia" w:ascii="宋体" w:hAnsi="宋体"/>
          <w:szCs w:val="21"/>
        </w:rPr>
        <w:t>10</w:t>
      </w:r>
      <w:r>
        <w:rPr>
          <w:rFonts w:ascii="宋体" w:hAnsi="宋体"/>
          <w:szCs w:val="21"/>
        </w:rPr>
        <w:t>.3</w:t>
      </w:r>
      <w:r>
        <w:rPr>
          <w:rFonts w:ascii="宋体" w:hAnsi="宋体"/>
          <w:szCs w:val="21"/>
        </w:rPr>
        <w:tab/>
      </w:r>
      <w:r>
        <w:rPr>
          <w:rFonts w:hint="eastAsia" w:ascii="宋体" w:hAnsi="宋体"/>
          <w:szCs w:val="21"/>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rPr>
      </w:pPr>
      <w:r>
        <w:rPr>
          <w:rFonts w:hint="eastAsia" w:ascii="宋体" w:hAnsi="宋体"/>
          <w:szCs w:val="21"/>
        </w:rPr>
        <w:t>10.4   本条所指证明文件不得为对招标文件相关部分的文字、图标的复制。</w:t>
      </w:r>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106" w:name="_Toc109736041"/>
      <w:bookmarkStart w:id="107" w:name="_Toc520356155"/>
      <w:r>
        <w:rPr>
          <w:rFonts w:hint="eastAsia" w:ascii="宋体" w:hAnsi="宋体" w:eastAsia="宋体" w:cs="Times New Roman"/>
          <w:b/>
          <w:bCs/>
          <w:sz w:val="21"/>
          <w:szCs w:val="21"/>
        </w:rPr>
        <w:t>11.</w:t>
      </w:r>
      <w:r>
        <w:rPr>
          <w:rFonts w:hint="eastAsia" w:ascii="宋体" w:hAnsi="宋体" w:eastAsia="宋体" w:cs="Times New Roman"/>
          <w:b/>
          <w:bCs/>
          <w:sz w:val="21"/>
          <w:szCs w:val="21"/>
        </w:rPr>
        <w:tab/>
      </w:r>
      <w:r>
        <w:rPr>
          <w:rFonts w:hint="eastAsia" w:ascii="宋体" w:hAnsi="宋体" w:eastAsia="宋体" w:cs="Times New Roman"/>
          <w:b/>
          <w:bCs/>
          <w:sz w:val="21"/>
          <w:szCs w:val="21"/>
        </w:rPr>
        <w:tab/>
      </w:r>
      <w:r>
        <w:rPr>
          <w:rFonts w:hint="eastAsia" w:ascii="宋体" w:hAnsi="宋体" w:eastAsia="宋体" w:cs="Times New Roman"/>
          <w:b/>
          <w:bCs/>
          <w:sz w:val="21"/>
          <w:szCs w:val="21"/>
        </w:rPr>
        <w:t>投标报价</w:t>
      </w:r>
      <w:bookmarkEnd w:id="106"/>
      <w:bookmarkEnd w:id="107"/>
    </w:p>
    <w:p>
      <w:pPr>
        <w:spacing w:line="360" w:lineRule="auto"/>
        <w:ind w:left="788" w:hanging="787" w:hangingChars="375"/>
        <w:rPr>
          <w:rFonts w:ascii="宋体" w:hAnsi="宋体"/>
          <w:szCs w:val="21"/>
        </w:rPr>
      </w:pPr>
      <w:r>
        <w:rPr>
          <w:rFonts w:ascii="宋体" w:hAnsi="宋体"/>
          <w:szCs w:val="21"/>
        </w:rPr>
        <w:t>1</w:t>
      </w:r>
      <w:r>
        <w:rPr>
          <w:rFonts w:hint="eastAsia" w:ascii="宋体" w:hAnsi="宋体"/>
          <w:szCs w:val="21"/>
        </w:rPr>
        <w:t>1</w:t>
      </w:r>
      <w:r>
        <w:rPr>
          <w:rFonts w:ascii="宋体" w:hAnsi="宋体"/>
          <w:szCs w:val="21"/>
        </w:rPr>
        <w:t>.1</w:t>
      </w:r>
      <w:r>
        <w:rPr>
          <w:rFonts w:ascii="宋体" w:hAnsi="宋体"/>
          <w:szCs w:val="21"/>
        </w:rPr>
        <w:tab/>
      </w:r>
      <w:r>
        <w:rPr>
          <w:rFonts w:hint="eastAsia" w:ascii="宋体" w:hAnsi="宋体"/>
          <w:szCs w:val="21"/>
        </w:rPr>
        <w:t>所有投标均以人民币报价。投标人的投标报价应遵守《中华人民共和国价格法》。</w:t>
      </w:r>
    </w:p>
    <w:p>
      <w:pPr>
        <w:spacing w:line="360" w:lineRule="auto"/>
        <w:ind w:left="788" w:hanging="787" w:hangingChars="375"/>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.2</w:t>
      </w:r>
      <w:r>
        <w:rPr>
          <w:rFonts w:ascii="宋体" w:hAnsi="宋体"/>
          <w:szCs w:val="21"/>
        </w:rPr>
        <w:tab/>
      </w:r>
      <w:r>
        <w:rPr>
          <w:rFonts w:hint="eastAsia" w:ascii="宋体" w:hAnsi="宋体"/>
          <w:szCs w:val="21"/>
        </w:rPr>
        <w:t>投标人应在</w:t>
      </w:r>
      <w:r>
        <w:rPr>
          <w:rFonts w:hint="eastAsia" w:ascii="宋体" w:hAnsi="宋体"/>
          <w:szCs w:val="21"/>
          <w:lang w:val="en-US" w:eastAsia="zh-CN"/>
        </w:rPr>
        <w:t>开标一览表</w:t>
      </w:r>
      <w:r>
        <w:rPr>
          <w:rFonts w:hint="eastAsia" w:ascii="宋体" w:hAnsi="宋体"/>
          <w:szCs w:val="21"/>
        </w:rPr>
        <w:t>上标明投标货物及相关服务的单价（如适用）和总价，并由法定代表人或其授权代表签署。</w:t>
      </w:r>
    </w:p>
    <w:p>
      <w:pPr>
        <w:spacing w:line="360" w:lineRule="auto"/>
        <w:ind w:left="788" w:hanging="787" w:hangingChars="375"/>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.3</w:t>
      </w:r>
      <w:r>
        <w:rPr>
          <w:rFonts w:ascii="宋体" w:hAnsi="宋体"/>
          <w:szCs w:val="21"/>
        </w:rPr>
        <w:tab/>
      </w:r>
      <w:r>
        <w:rPr>
          <w:rFonts w:hint="eastAsia" w:ascii="宋体" w:hAnsi="宋体"/>
          <w:szCs w:val="21"/>
        </w:rPr>
        <w:t>投标分项报价表上的价格应按下列方式填写：</w:t>
      </w:r>
    </w:p>
    <w:p>
      <w:pPr>
        <w:spacing w:line="360" w:lineRule="auto"/>
        <w:ind w:left="788" w:hanging="787" w:hangingChars="375"/>
        <w:rPr>
          <w:rFonts w:hint="eastAsia" w:ascii="宋体" w:hAnsi="宋体"/>
          <w:szCs w:val="21"/>
        </w:rPr>
      </w:pPr>
      <w:r>
        <w:rPr>
          <w:rFonts w:hint="eastAsia" w:ascii="宋体" w:hAnsi="宋体"/>
          <w:szCs w:val="21"/>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rPr>
      </w:pPr>
      <w:r>
        <w:rPr>
          <w:rFonts w:hint="eastAsia" w:ascii="宋体" w:hAnsi="宋体"/>
          <w:szCs w:val="21"/>
        </w:rPr>
        <w:t>11.3.2  货物运至最终目的地的运输费和保险费用。</w:t>
      </w:r>
    </w:p>
    <w:p>
      <w:pPr>
        <w:spacing w:line="360" w:lineRule="auto"/>
        <w:ind w:left="788" w:hanging="787" w:hangingChars="375"/>
        <w:rPr>
          <w:rFonts w:ascii="宋体" w:hAnsi="宋体"/>
          <w:szCs w:val="21"/>
        </w:rPr>
      </w:pPr>
      <w:r>
        <w:rPr>
          <w:rFonts w:hint="eastAsia" w:ascii="宋体" w:hAnsi="宋体"/>
          <w:szCs w:val="21"/>
        </w:rPr>
        <w:t>11</w:t>
      </w:r>
      <w:r>
        <w:rPr>
          <w:rFonts w:ascii="宋体" w:hAnsi="宋体"/>
          <w:szCs w:val="21"/>
        </w:rPr>
        <w:t>.</w:t>
      </w:r>
      <w:r>
        <w:rPr>
          <w:rFonts w:hint="eastAsia" w:ascii="宋体" w:hAnsi="宋体"/>
          <w:szCs w:val="21"/>
        </w:rPr>
        <w:t>4</w:t>
      </w:r>
      <w:r>
        <w:rPr>
          <w:rFonts w:hint="eastAsia" w:ascii="宋体" w:hAnsi="宋体"/>
          <w:szCs w:val="21"/>
        </w:rPr>
        <w:tab/>
      </w:r>
      <w:r>
        <w:rPr>
          <w:rFonts w:hint="eastAsia" w:ascii="宋体" w:hAnsi="宋体"/>
          <w:szCs w:val="21"/>
        </w:rPr>
        <w:t>为了方便评标委员会对投标文件进行比较，投标人可根据本须知11</w:t>
      </w:r>
      <w:r>
        <w:rPr>
          <w:rFonts w:ascii="宋体" w:hAnsi="宋体"/>
          <w:szCs w:val="21"/>
        </w:rPr>
        <w:t>.3</w:t>
      </w:r>
      <w:r>
        <w:rPr>
          <w:rFonts w:hint="eastAsia" w:ascii="宋体" w:hAnsi="宋体"/>
          <w:szCs w:val="21"/>
        </w:rPr>
        <w:t>条的规定将投标价分成几部分，并不限制买方以上述任何条件订立合同的权利。</w:t>
      </w:r>
    </w:p>
    <w:p>
      <w:pPr>
        <w:spacing w:line="360" w:lineRule="auto"/>
        <w:ind w:left="788" w:hanging="787" w:hangingChars="375"/>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.5</w:t>
      </w:r>
      <w:r>
        <w:rPr>
          <w:rFonts w:ascii="宋体" w:hAnsi="宋体"/>
          <w:szCs w:val="21"/>
        </w:rPr>
        <w:tab/>
      </w:r>
      <w:r>
        <w:rPr>
          <w:rFonts w:hint="eastAsia" w:ascii="宋体" w:hAnsi="宋体"/>
          <w:szCs w:val="21"/>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rPr>
      </w:pPr>
      <w:r>
        <w:rPr>
          <w:rFonts w:hint="eastAsia" w:ascii="宋体" w:hAnsi="宋体"/>
          <w:szCs w:val="21"/>
        </w:rPr>
        <w:t>11.6</w:t>
      </w:r>
      <w:r>
        <w:rPr>
          <w:rFonts w:hint="eastAsia" w:ascii="宋体" w:hAnsi="宋体"/>
          <w:szCs w:val="21"/>
        </w:rPr>
        <w:tab/>
      </w:r>
      <w:r>
        <w:rPr>
          <w:rFonts w:hint="eastAsia" w:ascii="宋体" w:hAnsi="宋体"/>
          <w:szCs w:val="21"/>
        </w:rPr>
        <w:t>每种货物只能有一个投标报价。招标采购单位不接受具有附加条件的报价。</w:t>
      </w:r>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108" w:name="_Ref467306513"/>
      <w:bookmarkStart w:id="109" w:name="_Toc109736042"/>
      <w:bookmarkStart w:id="110" w:name="_Toc520356156"/>
      <w:r>
        <w:rPr>
          <w:rFonts w:hint="eastAsia" w:ascii="宋体" w:hAnsi="宋体" w:eastAsia="宋体" w:cs="Times New Roman"/>
          <w:b/>
          <w:bCs/>
          <w:sz w:val="21"/>
          <w:szCs w:val="21"/>
        </w:rPr>
        <w:t xml:space="preserve">12.  </w:t>
      </w:r>
      <w:r>
        <w:rPr>
          <w:rFonts w:hint="eastAsia" w:ascii="宋体" w:hAnsi="宋体" w:eastAsia="宋体" w:cs="Times New Roman"/>
          <w:b/>
          <w:bCs/>
          <w:sz w:val="21"/>
          <w:szCs w:val="21"/>
        </w:rPr>
        <w:tab/>
      </w:r>
      <w:r>
        <w:rPr>
          <w:rFonts w:hint="eastAsia" w:ascii="宋体" w:hAnsi="宋体" w:eastAsia="宋体" w:cs="Times New Roman"/>
          <w:b/>
          <w:bCs/>
          <w:sz w:val="21"/>
          <w:szCs w:val="21"/>
        </w:rPr>
        <w:t>投标保证金</w:t>
      </w:r>
      <w:bookmarkEnd w:id="108"/>
      <w:bookmarkEnd w:id="109"/>
      <w:bookmarkEnd w:id="110"/>
    </w:p>
    <w:p>
      <w:pPr>
        <w:spacing w:line="360" w:lineRule="auto"/>
        <w:ind w:left="788" w:hanging="787" w:hangingChars="375"/>
        <w:rPr>
          <w:rFonts w:hint="eastAsia" w:ascii="宋体" w:hAnsi="宋体"/>
          <w:szCs w:val="21"/>
        </w:rPr>
      </w:pPr>
      <w:bookmarkStart w:id="111" w:name="_Ref467306302"/>
      <w:r>
        <w:rPr>
          <w:rFonts w:ascii="宋体" w:hAnsi="宋体"/>
          <w:szCs w:val="21"/>
        </w:rPr>
        <w:t>1</w:t>
      </w:r>
      <w:r>
        <w:rPr>
          <w:rFonts w:hint="eastAsia" w:ascii="宋体" w:hAnsi="宋体"/>
          <w:szCs w:val="21"/>
        </w:rPr>
        <w:t>2</w:t>
      </w:r>
      <w:r>
        <w:rPr>
          <w:rFonts w:ascii="宋体" w:hAnsi="宋体"/>
          <w:szCs w:val="21"/>
        </w:rPr>
        <w:t>.1</w:t>
      </w:r>
      <w:r>
        <w:rPr>
          <w:rFonts w:ascii="宋体" w:hAnsi="宋体"/>
          <w:szCs w:val="21"/>
        </w:rPr>
        <w:tab/>
      </w:r>
      <w:r>
        <w:rPr>
          <w:rFonts w:hint="eastAsia" w:ascii="宋体" w:hAnsi="宋体"/>
          <w:szCs w:val="21"/>
        </w:rPr>
        <w:t>投标人应提供</w:t>
      </w:r>
      <w:r>
        <w:rPr>
          <w:rFonts w:hint="eastAsia" w:ascii="宋体" w:hAnsi="宋体"/>
          <w:szCs w:val="21"/>
          <w:u w:val="single"/>
        </w:rPr>
        <w:t>投标人须知资料表</w:t>
      </w:r>
      <w:r>
        <w:rPr>
          <w:rFonts w:hint="eastAsia" w:ascii="宋体" w:hAnsi="宋体"/>
          <w:szCs w:val="21"/>
        </w:rPr>
        <w:t>中规定的投标保证金</w:t>
      </w:r>
      <w:bookmarkEnd w:id="111"/>
      <w:r>
        <w:rPr>
          <w:rFonts w:hint="eastAsia" w:ascii="宋体" w:hAnsi="宋体"/>
          <w:szCs w:val="21"/>
        </w:rPr>
        <w:t>，并作为其投标的一部分。</w:t>
      </w:r>
    </w:p>
    <w:p>
      <w:pPr>
        <w:spacing w:line="360" w:lineRule="auto"/>
        <w:ind w:left="788" w:hanging="787" w:hangingChars="375"/>
        <w:rPr>
          <w:rFonts w:ascii="宋体" w:hAnsi="宋体"/>
          <w:szCs w:val="21"/>
        </w:rPr>
      </w:pPr>
      <w:r>
        <w:rPr>
          <w:rFonts w:ascii="宋体" w:hAnsi="宋体"/>
          <w:szCs w:val="21"/>
        </w:rPr>
        <w:t>1</w:t>
      </w:r>
      <w:r>
        <w:rPr>
          <w:rFonts w:hint="eastAsia" w:ascii="宋体" w:hAnsi="宋体"/>
          <w:szCs w:val="21"/>
        </w:rPr>
        <w:t>2</w:t>
      </w:r>
      <w:r>
        <w:rPr>
          <w:rFonts w:ascii="宋体" w:hAnsi="宋体"/>
          <w:szCs w:val="21"/>
        </w:rPr>
        <w:t>.2</w:t>
      </w:r>
      <w:r>
        <w:rPr>
          <w:rFonts w:ascii="宋体" w:hAnsi="宋体"/>
          <w:szCs w:val="21"/>
        </w:rPr>
        <w:tab/>
      </w:r>
      <w:r>
        <w:rPr>
          <w:rFonts w:hint="eastAsia" w:ascii="宋体" w:hAnsi="宋体"/>
          <w:szCs w:val="21"/>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rPr>
      </w:pPr>
      <w:r>
        <w:rPr>
          <w:rFonts w:hint="eastAsia" w:ascii="宋体" w:hAnsi="宋体"/>
          <w:szCs w:val="21"/>
        </w:rPr>
        <w:t>下列任何情况发生，投标保证金将被没收：</w:t>
      </w:r>
    </w:p>
    <w:p>
      <w:pPr>
        <w:pStyle w:val="27"/>
        <w:tabs>
          <w:tab w:val="left" w:pos="2240"/>
        </w:tabs>
        <w:spacing w:line="360" w:lineRule="auto"/>
        <w:ind w:left="1041" w:leftChars="371" w:hanging="262" w:hangingChars="125"/>
        <w:rPr>
          <w:rFonts w:hint="eastAsia" w:hAnsi="宋体"/>
          <w:szCs w:val="21"/>
        </w:rPr>
      </w:pPr>
      <w:r>
        <w:rPr>
          <w:rFonts w:hint="eastAsia" w:hAnsi="宋体"/>
          <w:szCs w:val="21"/>
        </w:rPr>
        <w:t>（1）在开标之日后到投标有效期满前，投标人擅自撤回投标的；</w:t>
      </w:r>
    </w:p>
    <w:p>
      <w:pPr>
        <w:pStyle w:val="27"/>
        <w:tabs>
          <w:tab w:val="left" w:pos="2240"/>
        </w:tabs>
        <w:spacing w:line="360" w:lineRule="auto"/>
        <w:ind w:left="1041" w:leftChars="371" w:hanging="262" w:hangingChars="125"/>
        <w:rPr>
          <w:rFonts w:hint="eastAsia" w:hAnsi="宋体"/>
          <w:szCs w:val="21"/>
        </w:rPr>
      </w:pPr>
      <w:r>
        <w:rPr>
          <w:rFonts w:hint="eastAsia" w:hAnsi="宋体"/>
          <w:szCs w:val="21"/>
        </w:rPr>
        <w:t>（2）中标投标人不按本须知的规定与招标人签订合同的；</w:t>
      </w:r>
    </w:p>
    <w:p>
      <w:pPr>
        <w:pStyle w:val="27"/>
        <w:tabs>
          <w:tab w:val="left" w:pos="2240"/>
        </w:tabs>
        <w:spacing w:line="360" w:lineRule="auto"/>
        <w:ind w:left="1041" w:leftChars="371" w:hanging="262" w:hangingChars="125"/>
        <w:rPr>
          <w:rFonts w:hint="eastAsia" w:hAnsi="宋体"/>
          <w:szCs w:val="21"/>
        </w:rPr>
      </w:pPr>
      <w:r>
        <w:rPr>
          <w:rFonts w:hint="eastAsia" w:hAnsi="宋体"/>
          <w:szCs w:val="21"/>
        </w:rPr>
        <w:t>（3）中标投标人不按本须知的规定提交履约保证金的；</w:t>
      </w:r>
    </w:p>
    <w:p>
      <w:pPr>
        <w:spacing w:line="360" w:lineRule="auto"/>
        <w:ind w:left="788" w:hanging="787" w:hangingChars="375"/>
        <w:rPr>
          <w:rFonts w:ascii="宋体" w:hAnsi="宋体"/>
          <w:szCs w:val="21"/>
        </w:rPr>
      </w:pPr>
      <w:bookmarkStart w:id="112" w:name="_Ref467306336"/>
      <w:r>
        <w:rPr>
          <w:rFonts w:hint="eastAsia" w:ascii="宋体" w:hAnsi="宋体"/>
          <w:szCs w:val="21"/>
        </w:rPr>
        <w:t>12.3</w:t>
      </w:r>
      <w:r>
        <w:rPr>
          <w:rFonts w:hint="eastAsia" w:ascii="宋体" w:hAnsi="宋体"/>
          <w:szCs w:val="21"/>
        </w:rPr>
        <w:tab/>
      </w:r>
      <w:r>
        <w:rPr>
          <w:rFonts w:hint="eastAsia" w:ascii="宋体" w:hAnsi="宋体"/>
          <w:szCs w:val="21"/>
        </w:rPr>
        <w:t>投标保证金可采用下列形式之一：</w:t>
      </w:r>
      <w:bookmarkEnd w:id="112"/>
    </w:p>
    <w:p>
      <w:pPr>
        <w:spacing w:line="360" w:lineRule="auto"/>
        <w:ind w:left="1056" w:leftChars="428" w:hanging="157" w:hangingChars="75"/>
        <w:rPr>
          <w:rFonts w:hint="eastAsia" w:ascii="宋体" w:hAnsi="宋体"/>
          <w:szCs w:val="21"/>
        </w:rPr>
      </w:pPr>
      <w:r>
        <w:rPr>
          <w:rFonts w:hint="eastAsia" w:ascii="宋体" w:hAnsi="宋体"/>
          <w:szCs w:val="21"/>
        </w:rPr>
        <w:t>扬州地区：支票、汇票、电汇，</w:t>
      </w:r>
      <w:r>
        <w:rPr>
          <w:rFonts w:ascii="宋体" w:hAnsi="宋体"/>
          <w:szCs w:val="21"/>
        </w:rPr>
        <w:t>以及</w:t>
      </w:r>
      <w:r>
        <w:rPr>
          <w:rFonts w:hint="eastAsia" w:ascii="宋体" w:hAnsi="宋体"/>
          <w:szCs w:val="21"/>
        </w:rPr>
        <w:t>招标采购单位可接受的其他形式</w:t>
      </w:r>
    </w:p>
    <w:p>
      <w:pPr>
        <w:spacing w:line="360" w:lineRule="auto"/>
        <w:ind w:left="1056" w:leftChars="428" w:hanging="157" w:hangingChars="75"/>
        <w:rPr>
          <w:rFonts w:hint="eastAsia" w:ascii="宋体" w:hAnsi="宋体"/>
          <w:szCs w:val="21"/>
        </w:rPr>
      </w:pPr>
      <w:r>
        <w:rPr>
          <w:rFonts w:hint="eastAsia" w:ascii="宋体" w:hAnsi="宋体"/>
          <w:szCs w:val="21"/>
        </w:rPr>
        <w:t>外埠：汇票、电汇，</w:t>
      </w:r>
      <w:r>
        <w:rPr>
          <w:rFonts w:ascii="宋体" w:hAnsi="宋体"/>
          <w:szCs w:val="21"/>
        </w:rPr>
        <w:t>以及</w:t>
      </w:r>
      <w:r>
        <w:rPr>
          <w:rFonts w:hint="eastAsia" w:ascii="宋体" w:hAnsi="宋体"/>
          <w:szCs w:val="21"/>
        </w:rPr>
        <w:t>招标采购单位可接受的其他形式</w:t>
      </w:r>
    </w:p>
    <w:p>
      <w:pPr>
        <w:spacing w:line="360" w:lineRule="auto"/>
        <w:ind w:left="788" w:hanging="787" w:hangingChars="375"/>
        <w:rPr>
          <w:rFonts w:hint="eastAsia" w:ascii="宋体" w:hAnsi="宋体"/>
          <w:szCs w:val="21"/>
        </w:rPr>
      </w:pPr>
      <w:r>
        <w:rPr>
          <w:rFonts w:hint="eastAsia" w:ascii="宋体" w:hAnsi="宋体"/>
          <w:szCs w:val="21"/>
        </w:rPr>
        <w:t>12.4</w:t>
      </w:r>
      <w:r>
        <w:rPr>
          <w:rFonts w:hint="eastAsia" w:ascii="宋体" w:hAnsi="宋体"/>
          <w:szCs w:val="21"/>
        </w:rPr>
        <w:tab/>
      </w:r>
      <w:r>
        <w:rPr>
          <w:rFonts w:hint="eastAsia" w:ascii="宋体" w:hAnsi="宋体"/>
          <w:szCs w:val="21"/>
        </w:rPr>
        <w:t>凡没有根据本须知12</w:t>
      </w:r>
      <w:r>
        <w:rPr>
          <w:rFonts w:ascii="宋体" w:hAnsi="宋体"/>
          <w:szCs w:val="21"/>
        </w:rPr>
        <w:t>.1</w:t>
      </w:r>
      <w:r>
        <w:rPr>
          <w:rFonts w:hint="eastAsia" w:ascii="宋体" w:hAnsi="宋体"/>
          <w:szCs w:val="21"/>
        </w:rPr>
        <w:t>和第</w:t>
      </w:r>
      <w:r>
        <w:rPr>
          <w:rFonts w:ascii="宋体" w:hAnsi="宋体"/>
          <w:szCs w:val="21"/>
        </w:rPr>
        <w:t>1</w:t>
      </w:r>
      <w:r>
        <w:rPr>
          <w:rFonts w:hint="eastAsia" w:ascii="宋体" w:hAnsi="宋体"/>
          <w:szCs w:val="21"/>
        </w:rPr>
        <w:t>2</w:t>
      </w:r>
      <w:r>
        <w:rPr>
          <w:rFonts w:ascii="宋体" w:hAnsi="宋体"/>
          <w:szCs w:val="21"/>
        </w:rPr>
        <w:t>.3</w:t>
      </w:r>
      <w:r>
        <w:rPr>
          <w:rFonts w:hint="eastAsia" w:ascii="宋体" w:hAnsi="宋体"/>
          <w:szCs w:val="21"/>
        </w:rPr>
        <w:t>条的规定，随附投标保证金的投标，将被视为无效投标被拒绝。</w:t>
      </w:r>
    </w:p>
    <w:p>
      <w:pPr>
        <w:spacing w:line="360" w:lineRule="auto"/>
        <w:ind w:left="788" w:hanging="787" w:hangingChars="375"/>
        <w:rPr>
          <w:rFonts w:ascii="宋体" w:hAnsi="宋体"/>
          <w:szCs w:val="21"/>
        </w:rPr>
      </w:pPr>
      <w:r>
        <w:rPr>
          <w:rFonts w:hint="eastAsia" w:ascii="宋体" w:hAnsi="宋体"/>
          <w:szCs w:val="21"/>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rPr>
      </w:pPr>
      <w:r>
        <w:rPr>
          <w:rFonts w:hint="eastAsia" w:ascii="宋体" w:hAnsi="宋体"/>
          <w:szCs w:val="21"/>
        </w:rPr>
        <w:t>12.6</w:t>
      </w:r>
      <w:r>
        <w:rPr>
          <w:rFonts w:hint="eastAsia" w:ascii="宋体" w:hAnsi="宋体"/>
          <w:szCs w:val="21"/>
        </w:rPr>
        <w:tab/>
      </w:r>
      <w:r>
        <w:rPr>
          <w:rFonts w:hint="eastAsia" w:ascii="宋体" w:hAnsi="宋体"/>
          <w:b/>
          <w:szCs w:val="21"/>
        </w:rPr>
        <w:t>投标人必须填写投标保证金退回表（格式详见本章附件2），投标时和投标保证金一并密封于一信封内。</w:t>
      </w:r>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113" w:name="_Toc109736043"/>
      <w:bookmarkStart w:id="114" w:name="_Toc520356157"/>
      <w:r>
        <w:rPr>
          <w:rFonts w:hint="eastAsia" w:ascii="宋体" w:hAnsi="宋体" w:eastAsia="宋体" w:cs="Times New Roman"/>
          <w:b/>
          <w:bCs/>
          <w:sz w:val="21"/>
          <w:szCs w:val="21"/>
        </w:rPr>
        <w:t>13.</w:t>
      </w:r>
      <w:r>
        <w:rPr>
          <w:rFonts w:hint="eastAsia" w:ascii="宋体" w:hAnsi="宋体" w:eastAsia="宋体" w:cs="Times New Roman"/>
          <w:b/>
          <w:bCs/>
          <w:sz w:val="21"/>
          <w:szCs w:val="21"/>
        </w:rPr>
        <w:tab/>
      </w:r>
      <w:r>
        <w:rPr>
          <w:rFonts w:hint="eastAsia" w:ascii="宋体" w:hAnsi="宋体" w:eastAsia="宋体" w:cs="Times New Roman"/>
          <w:b/>
          <w:bCs/>
          <w:sz w:val="21"/>
          <w:szCs w:val="21"/>
        </w:rPr>
        <w:t xml:space="preserve">    投标有效期</w:t>
      </w:r>
      <w:bookmarkEnd w:id="113"/>
      <w:bookmarkEnd w:id="114"/>
    </w:p>
    <w:p>
      <w:pPr>
        <w:spacing w:line="360" w:lineRule="auto"/>
        <w:ind w:left="788" w:hanging="787" w:hangingChars="375"/>
        <w:rPr>
          <w:rFonts w:ascii="宋体" w:hAnsi="宋体"/>
          <w:szCs w:val="21"/>
        </w:rPr>
      </w:pPr>
      <w:r>
        <w:rPr>
          <w:rFonts w:hint="eastAsia" w:ascii="宋体" w:hAnsi="宋体"/>
          <w:szCs w:val="21"/>
        </w:rPr>
        <w:t>13.1</w:t>
      </w:r>
      <w:r>
        <w:rPr>
          <w:rFonts w:hint="eastAsia" w:ascii="宋体" w:hAnsi="宋体"/>
          <w:szCs w:val="21"/>
        </w:rPr>
        <w:tab/>
      </w:r>
      <w:r>
        <w:rPr>
          <w:rFonts w:hint="eastAsia" w:ascii="宋体" w:hAnsi="宋体"/>
          <w:szCs w:val="21"/>
        </w:rPr>
        <w:t>投标应在规定的开标日后，按照</w:t>
      </w:r>
      <w:r>
        <w:rPr>
          <w:rFonts w:hint="eastAsia" w:ascii="宋体" w:hAnsi="宋体"/>
          <w:szCs w:val="21"/>
          <w:u w:val="single"/>
        </w:rPr>
        <w:t>投标人须知资料表</w:t>
      </w:r>
      <w:r>
        <w:rPr>
          <w:rFonts w:hint="eastAsia" w:ascii="宋体" w:hAnsi="宋体"/>
          <w:szCs w:val="21"/>
        </w:rPr>
        <w:t>中规定时间内保持有效，投标有效期不满足要求的投标将被视为无效投标被拒绝。</w:t>
      </w:r>
    </w:p>
    <w:p>
      <w:pPr>
        <w:spacing w:line="360" w:lineRule="auto"/>
        <w:ind w:left="788" w:hanging="787" w:hangingChars="375"/>
        <w:rPr>
          <w:rFonts w:ascii="宋体" w:hAnsi="宋体"/>
          <w:szCs w:val="21"/>
        </w:rPr>
      </w:pPr>
      <w:r>
        <w:rPr>
          <w:rFonts w:hint="eastAsia" w:ascii="宋体" w:hAnsi="宋体"/>
          <w:szCs w:val="21"/>
        </w:rPr>
        <w:t>13.2</w:t>
      </w:r>
      <w:r>
        <w:rPr>
          <w:rFonts w:hint="eastAsia" w:ascii="宋体" w:hAnsi="宋体"/>
          <w:szCs w:val="21"/>
        </w:rPr>
        <w:tab/>
      </w:r>
      <w:r>
        <w:rPr>
          <w:rFonts w:hint="eastAsia" w:ascii="宋体" w:hAnsi="宋体"/>
          <w:szCs w:val="21"/>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115" w:name="_Toc520356158"/>
      <w:bookmarkStart w:id="116" w:name="_Toc109736044"/>
      <w:r>
        <w:rPr>
          <w:rFonts w:hint="eastAsia" w:ascii="宋体" w:hAnsi="宋体" w:eastAsia="宋体" w:cs="Times New Roman"/>
          <w:b/>
          <w:bCs/>
          <w:sz w:val="21"/>
          <w:szCs w:val="21"/>
        </w:rPr>
        <w:t xml:space="preserve">14.  </w:t>
      </w:r>
      <w:r>
        <w:rPr>
          <w:rFonts w:hint="eastAsia" w:ascii="宋体" w:hAnsi="宋体" w:eastAsia="宋体" w:cs="Times New Roman"/>
          <w:b/>
          <w:bCs/>
          <w:sz w:val="21"/>
          <w:szCs w:val="21"/>
        </w:rPr>
        <w:tab/>
      </w:r>
      <w:r>
        <w:rPr>
          <w:rFonts w:hint="eastAsia" w:ascii="宋体" w:hAnsi="宋体" w:eastAsia="宋体" w:cs="Times New Roman"/>
          <w:b/>
          <w:bCs/>
          <w:sz w:val="21"/>
          <w:szCs w:val="21"/>
        </w:rPr>
        <w:t>投标文件的签署</w:t>
      </w:r>
      <w:bookmarkEnd w:id="115"/>
      <w:r>
        <w:rPr>
          <w:rFonts w:hint="eastAsia" w:ascii="宋体" w:hAnsi="宋体" w:eastAsia="宋体" w:cs="Times New Roman"/>
          <w:b/>
          <w:bCs/>
          <w:sz w:val="21"/>
          <w:szCs w:val="21"/>
        </w:rPr>
        <w:t>及规定</w:t>
      </w:r>
      <w:bookmarkEnd w:id="116"/>
    </w:p>
    <w:p>
      <w:pPr>
        <w:spacing w:line="360" w:lineRule="auto"/>
        <w:ind w:left="788" w:hanging="787" w:hangingChars="375"/>
        <w:rPr>
          <w:rFonts w:hint="eastAsia" w:ascii="宋体" w:hAnsi="宋体"/>
          <w:szCs w:val="21"/>
        </w:rPr>
      </w:pPr>
      <w:r>
        <w:rPr>
          <w:rFonts w:hint="eastAsia" w:ascii="宋体" w:hAnsi="宋体"/>
          <w:szCs w:val="21"/>
        </w:rPr>
        <w:t>14.1</w:t>
      </w:r>
      <w:r>
        <w:rPr>
          <w:rFonts w:hint="eastAsia" w:ascii="宋体" w:hAnsi="宋体"/>
          <w:szCs w:val="21"/>
        </w:rPr>
        <w:tab/>
      </w:r>
      <w:r>
        <w:rPr>
          <w:rFonts w:hint="eastAsia" w:ascii="宋体" w:hAnsi="宋体"/>
          <w:szCs w:val="21"/>
        </w:rPr>
        <w:t>投标人应按</w:t>
      </w:r>
      <w:r>
        <w:rPr>
          <w:rFonts w:hint="eastAsia" w:ascii="宋体" w:hAnsi="宋体"/>
          <w:szCs w:val="21"/>
          <w:u w:val="single"/>
        </w:rPr>
        <w:t>投标人须知资料表</w:t>
      </w:r>
      <w:r>
        <w:rPr>
          <w:rFonts w:hint="eastAsia" w:ascii="宋体" w:hAnsi="宋体"/>
          <w:szCs w:val="21"/>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rPr>
      </w:pPr>
      <w:r>
        <w:rPr>
          <w:rFonts w:hint="eastAsia" w:ascii="宋体" w:hAnsi="宋体"/>
          <w:szCs w:val="21"/>
        </w:rPr>
        <w:t>14.2</w:t>
      </w:r>
      <w:r>
        <w:rPr>
          <w:rFonts w:hint="eastAsia" w:ascii="宋体" w:hAnsi="宋体"/>
          <w:szCs w:val="21"/>
        </w:rPr>
        <w:tab/>
      </w:r>
      <w:r>
        <w:rPr>
          <w:rFonts w:hint="eastAsia" w:ascii="宋体" w:hAnsi="宋体"/>
          <w:szCs w:val="21"/>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rPr>
      </w:pPr>
      <w:r>
        <w:rPr>
          <w:rFonts w:hint="eastAsia" w:ascii="宋体" w:hAnsi="宋体"/>
          <w:szCs w:val="21"/>
        </w:rPr>
        <w:t>14.3</w:t>
      </w:r>
      <w:r>
        <w:rPr>
          <w:rFonts w:hint="eastAsia" w:ascii="宋体" w:hAnsi="宋体"/>
          <w:szCs w:val="21"/>
        </w:rPr>
        <w:tab/>
      </w:r>
      <w:r>
        <w:rPr>
          <w:rFonts w:hint="eastAsia" w:ascii="宋体" w:hAnsi="宋体"/>
          <w:szCs w:val="21"/>
        </w:rPr>
        <w:t>任何行间插字、涂改和增删，必须由投标文件签字人签字或盖章后才有效。</w:t>
      </w:r>
    </w:p>
    <w:p>
      <w:pPr>
        <w:spacing w:line="360" w:lineRule="auto"/>
        <w:ind w:left="788" w:hanging="787" w:hangingChars="375"/>
        <w:rPr>
          <w:rFonts w:hint="eastAsia" w:ascii="宋体" w:hAnsi="宋体"/>
          <w:szCs w:val="21"/>
        </w:rPr>
      </w:pPr>
      <w:r>
        <w:rPr>
          <w:rFonts w:hint="eastAsia" w:ascii="宋体" w:hAnsi="宋体"/>
          <w:szCs w:val="21"/>
        </w:rPr>
        <w:t>14.4</w:t>
      </w:r>
      <w:r>
        <w:rPr>
          <w:rFonts w:hint="eastAsia" w:ascii="宋体" w:hAnsi="宋体"/>
          <w:szCs w:val="21"/>
        </w:rPr>
        <w:tab/>
      </w:r>
      <w:r>
        <w:rPr>
          <w:rFonts w:hint="eastAsia" w:ascii="宋体" w:hAnsi="宋体"/>
          <w:szCs w:val="21"/>
        </w:rPr>
        <w:t>投标文件因字迹潦草、表达不清或</w:t>
      </w:r>
      <w:r>
        <w:rPr>
          <w:rFonts w:ascii="宋体" w:hAnsi="宋体"/>
          <w:szCs w:val="21"/>
        </w:rPr>
        <w:t>装订不当</w:t>
      </w:r>
      <w:r>
        <w:rPr>
          <w:rFonts w:hint="eastAsia" w:ascii="宋体" w:hAnsi="宋体"/>
          <w:szCs w:val="21"/>
        </w:rPr>
        <w:t>所引起的后果由投标人负责。</w:t>
      </w:r>
    </w:p>
    <w:p>
      <w:pPr>
        <w:spacing w:line="360" w:lineRule="auto"/>
        <w:ind w:left="788" w:hanging="787" w:hangingChars="375"/>
        <w:rPr>
          <w:rFonts w:ascii="宋体" w:hAnsi="宋体"/>
          <w:szCs w:val="21"/>
        </w:rPr>
      </w:pPr>
    </w:p>
    <w:p>
      <w:pPr>
        <w:pStyle w:val="3"/>
        <w:keepNext/>
        <w:keepLines/>
        <w:widowControl w:val="0"/>
        <w:wordWrap/>
        <w:adjustRightInd/>
        <w:snapToGrid/>
        <w:spacing w:before="0" w:line="360" w:lineRule="auto"/>
        <w:jc w:val="center"/>
        <w:textAlignment w:val="auto"/>
        <w:rPr>
          <w:rFonts w:hint="eastAsia" w:ascii="宋体" w:hAnsi="宋体" w:eastAsia="宋体"/>
          <w:sz w:val="24"/>
          <w:szCs w:val="24"/>
        </w:rPr>
      </w:pPr>
      <w:bookmarkStart w:id="117" w:name="_Toc520356159"/>
      <w:bookmarkStart w:id="118" w:name="_Toc109736045"/>
      <w:bookmarkStart w:id="119" w:name="_Toc216582808"/>
      <w:bookmarkStart w:id="120" w:name="_Toc23629"/>
      <w:r>
        <w:rPr>
          <w:rFonts w:hint="eastAsia" w:ascii="宋体" w:hAnsi="宋体" w:eastAsia="宋体"/>
          <w:sz w:val="24"/>
          <w:szCs w:val="24"/>
        </w:rPr>
        <w:t>四   投标文件的递交</w:t>
      </w:r>
      <w:bookmarkEnd w:id="117"/>
      <w:bookmarkEnd w:id="118"/>
      <w:bookmarkEnd w:id="119"/>
      <w:bookmarkEnd w:id="120"/>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121" w:name="_Toc520356160"/>
      <w:bookmarkStart w:id="122" w:name="_Toc109736046"/>
      <w:r>
        <w:rPr>
          <w:rFonts w:hint="eastAsia" w:ascii="宋体" w:hAnsi="宋体" w:eastAsia="宋体" w:cs="Times New Roman"/>
          <w:b/>
          <w:bCs/>
          <w:sz w:val="21"/>
          <w:szCs w:val="21"/>
        </w:rPr>
        <w:t xml:space="preserve">15.  </w:t>
      </w:r>
      <w:r>
        <w:rPr>
          <w:rFonts w:hint="eastAsia" w:ascii="宋体" w:hAnsi="宋体" w:eastAsia="宋体" w:cs="Times New Roman"/>
          <w:b/>
          <w:bCs/>
          <w:sz w:val="21"/>
          <w:szCs w:val="21"/>
        </w:rPr>
        <w:tab/>
      </w:r>
      <w:r>
        <w:rPr>
          <w:rFonts w:hint="eastAsia" w:ascii="宋体" w:hAnsi="宋体" w:eastAsia="宋体" w:cs="Times New Roman"/>
          <w:b/>
          <w:bCs/>
          <w:sz w:val="21"/>
          <w:szCs w:val="21"/>
        </w:rPr>
        <w:t>投标文件的密封和标记</w:t>
      </w:r>
      <w:bookmarkEnd w:id="121"/>
      <w:bookmarkEnd w:id="122"/>
    </w:p>
    <w:p>
      <w:pPr>
        <w:spacing w:line="360" w:lineRule="auto"/>
        <w:ind w:left="788" w:hanging="787" w:hangingChars="375"/>
        <w:rPr>
          <w:rFonts w:hint="eastAsia" w:ascii="宋体" w:hAnsi="宋体"/>
          <w:szCs w:val="21"/>
        </w:rPr>
      </w:pPr>
      <w:r>
        <w:rPr>
          <w:rFonts w:hint="eastAsia" w:ascii="宋体" w:hAnsi="宋体"/>
          <w:szCs w:val="21"/>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rPr>
      </w:pPr>
      <w:r>
        <w:rPr>
          <w:rFonts w:hint="eastAsia" w:ascii="宋体" w:hAnsi="宋体"/>
          <w:szCs w:val="21"/>
        </w:rPr>
        <w:t>15.2   为方便开标唱标，投标人应将 “开标一览表</w:t>
      </w:r>
      <w:r>
        <w:rPr>
          <w:rFonts w:ascii="宋体" w:hAnsi="宋体"/>
          <w:szCs w:val="21"/>
        </w:rPr>
        <w:t>”</w:t>
      </w:r>
      <w:r>
        <w:rPr>
          <w:rFonts w:hint="eastAsia" w:ascii="宋体" w:hAnsi="宋体"/>
          <w:szCs w:val="21"/>
        </w:rPr>
        <w:t>单独密封，并在信封上标明“开标一览表”字样，在投标时单独递交。</w:t>
      </w:r>
    </w:p>
    <w:p>
      <w:pPr>
        <w:spacing w:line="360" w:lineRule="auto"/>
        <w:ind w:left="788" w:hanging="787" w:hangingChars="375"/>
        <w:rPr>
          <w:rFonts w:hint="eastAsia" w:ascii="宋体" w:hAnsi="宋体"/>
          <w:szCs w:val="21"/>
        </w:rPr>
      </w:pPr>
      <w:r>
        <w:rPr>
          <w:rFonts w:hint="eastAsia" w:ascii="宋体" w:hAnsi="宋体"/>
          <w:szCs w:val="21"/>
        </w:rPr>
        <w:t>15.3   为方便核查投标保证金，投标人应将“投标保证金（支票、汇票、保函正本、电汇底单复印件）</w:t>
      </w:r>
      <w:r>
        <w:rPr>
          <w:rFonts w:ascii="宋体" w:hAnsi="宋体"/>
          <w:szCs w:val="21"/>
        </w:rPr>
        <w:t>”</w:t>
      </w:r>
      <w:r>
        <w:rPr>
          <w:rFonts w:hint="eastAsia" w:ascii="宋体" w:hAnsi="宋体"/>
          <w:szCs w:val="21"/>
        </w:rPr>
        <w:t>单独密封于一信封，并在信封上标明 “投标保证金”字样，在投标时单独递交。</w:t>
      </w:r>
    </w:p>
    <w:p>
      <w:pPr>
        <w:spacing w:line="360" w:lineRule="auto"/>
        <w:ind w:left="788" w:hanging="787" w:hangingChars="375"/>
        <w:rPr>
          <w:rFonts w:ascii="宋体" w:hAnsi="宋体"/>
          <w:szCs w:val="21"/>
        </w:rPr>
      </w:pPr>
      <w:r>
        <w:rPr>
          <w:rFonts w:hint="eastAsia" w:ascii="宋体" w:hAnsi="宋体"/>
          <w:szCs w:val="21"/>
        </w:rPr>
        <w:t>15.4    所有包装封皮和信封上均应：</w:t>
      </w:r>
    </w:p>
    <w:p>
      <w:pPr>
        <w:spacing w:line="360" w:lineRule="auto"/>
        <w:ind w:left="890" w:leftChars="399" w:hanging="52" w:hangingChars="25"/>
        <w:rPr>
          <w:rFonts w:hint="eastAsia" w:ascii="宋体" w:hAnsi="宋体"/>
          <w:szCs w:val="21"/>
        </w:rPr>
      </w:pPr>
      <w:r>
        <w:rPr>
          <w:rFonts w:hint="eastAsia" w:ascii="宋体" w:hAnsi="宋体"/>
          <w:szCs w:val="21"/>
        </w:rPr>
        <w:t>（1）注明招标公告或投标邀请书中指明的货物名称、招标编号、投标人名称和“在（</w:t>
      </w:r>
      <w:r>
        <w:rPr>
          <w:rFonts w:hint="eastAsia" w:ascii="宋体" w:hAnsi="宋体"/>
          <w:szCs w:val="21"/>
          <w:u w:val="single"/>
        </w:rPr>
        <w:t>投标人须知资料表</w:t>
      </w:r>
      <w:r>
        <w:rPr>
          <w:rFonts w:hint="eastAsia" w:ascii="宋体" w:hAnsi="宋体"/>
          <w:szCs w:val="21"/>
        </w:rPr>
        <w:t>中规定开标时间）之前不得启封”的字样。</w:t>
      </w:r>
    </w:p>
    <w:p>
      <w:pPr>
        <w:spacing w:line="360" w:lineRule="auto"/>
        <w:ind w:left="890" w:leftChars="399" w:hanging="52" w:hangingChars="25"/>
        <w:rPr>
          <w:rFonts w:hint="eastAsia" w:ascii="宋体" w:hAnsi="宋体"/>
          <w:szCs w:val="21"/>
        </w:rPr>
      </w:pPr>
      <w:r>
        <w:rPr>
          <w:rFonts w:hint="eastAsia" w:ascii="宋体" w:hAnsi="宋体"/>
          <w:szCs w:val="21"/>
        </w:rPr>
        <w:t>（2）在封装处加盖投标人公章，或由法定代表人（或其授权代表）签字。</w:t>
      </w:r>
    </w:p>
    <w:p>
      <w:pPr>
        <w:spacing w:line="360" w:lineRule="auto"/>
        <w:ind w:left="788" w:hanging="787" w:hangingChars="375"/>
        <w:rPr>
          <w:rFonts w:ascii="宋体" w:hAnsi="宋体"/>
          <w:szCs w:val="21"/>
        </w:rPr>
      </w:pPr>
      <w:r>
        <w:rPr>
          <w:rFonts w:hint="eastAsia" w:ascii="宋体" w:hAnsi="宋体"/>
          <w:szCs w:val="21"/>
        </w:rPr>
        <w:t>15.5</w:t>
      </w:r>
      <w:r>
        <w:rPr>
          <w:rFonts w:hint="eastAsia" w:ascii="宋体" w:hAnsi="宋体"/>
          <w:szCs w:val="21"/>
        </w:rPr>
        <w:tab/>
      </w:r>
      <w:r>
        <w:rPr>
          <w:rFonts w:hint="eastAsia" w:ascii="宋体" w:hAnsi="宋体"/>
          <w:szCs w:val="21"/>
        </w:rPr>
        <w:t>如果投标人未按上述要求密封及加写标记，招标采购单位对投标文件过早启封概不负责，并可能导致其投标被拒绝。</w:t>
      </w:r>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123" w:name="_Toc520356161"/>
      <w:bookmarkStart w:id="124" w:name="_Toc109736047"/>
      <w:r>
        <w:rPr>
          <w:rFonts w:hint="eastAsia" w:ascii="宋体" w:hAnsi="宋体" w:eastAsia="宋体" w:cs="Times New Roman"/>
          <w:b/>
          <w:bCs/>
          <w:sz w:val="21"/>
          <w:szCs w:val="21"/>
        </w:rPr>
        <w:t>16.</w:t>
      </w:r>
      <w:r>
        <w:rPr>
          <w:rFonts w:hint="eastAsia" w:ascii="宋体" w:hAnsi="宋体" w:eastAsia="宋体" w:cs="Times New Roman"/>
          <w:b/>
          <w:bCs/>
          <w:sz w:val="21"/>
          <w:szCs w:val="21"/>
        </w:rPr>
        <w:tab/>
      </w:r>
      <w:r>
        <w:rPr>
          <w:rFonts w:hint="eastAsia" w:ascii="宋体" w:hAnsi="宋体" w:eastAsia="宋体" w:cs="Times New Roman"/>
          <w:b/>
          <w:bCs/>
          <w:sz w:val="21"/>
          <w:szCs w:val="21"/>
        </w:rPr>
        <w:t xml:space="preserve">    投标截止期</w:t>
      </w:r>
      <w:bookmarkEnd w:id="123"/>
      <w:bookmarkEnd w:id="124"/>
    </w:p>
    <w:p>
      <w:pPr>
        <w:spacing w:line="360" w:lineRule="auto"/>
        <w:ind w:left="788" w:hanging="787" w:hangingChars="375"/>
        <w:rPr>
          <w:rFonts w:hint="eastAsia" w:ascii="宋体" w:hAnsi="宋体"/>
          <w:szCs w:val="21"/>
        </w:rPr>
      </w:pPr>
      <w:r>
        <w:rPr>
          <w:rFonts w:hint="eastAsia" w:ascii="宋体" w:hAnsi="宋体"/>
          <w:szCs w:val="21"/>
        </w:rPr>
        <w:t>16.1</w:t>
      </w:r>
      <w:r>
        <w:rPr>
          <w:rFonts w:hint="eastAsia" w:ascii="宋体" w:hAnsi="宋体"/>
          <w:szCs w:val="21"/>
        </w:rPr>
        <w:tab/>
      </w:r>
      <w:r>
        <w:rPr>
          <w:rFonts w:hint="eastAsia" w:ascii="宋体" w:hAnsi="宋体"/>
          <w:szCs w:val="21"/>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rPr>
      </w:pPr>
      <w:r>
        <w:rPr>
          <w:rFonts w:hint="eastAsia" w:ascii="宋体" w:hAnsi="宋体"/>
          <w:szCs w:val="21"/>
        </w:rPr>
        <w:t>16.2</w:t>
      </w:r>
      <w:r>
        <w:rPr>
          <w:rFonts w:hint="eastAsia" w:ascii="宋体" w:hAnsi="宋体"/>
          <w:szCs w:val="21"/>
        </w:rPr>
        <w:tab/>
      </w:r>
      <w:r>
        <w:rPr>
          <w:rFonts w:hint="eastAsia" w:ascii="宋体" w:hAnsi="宋体"/>
          <w:szCs w:val="21"/>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rPr>
      </w:pPr>
      <w:r>
        <w:rPr>
          <w:rFonts w:hint="eastAsia" w:ascii="宋体" w:hAnsi="宋体"/>
          <w:szCs w:val="21"/>
        </w:rPr>
        <w:t>16.3</w:t>
      </w:r>
      <w:r>
        <w:rPr>
          <w:rFonts w:hint="eastAsia" w:ascii="宋体" w:hAnsi="宋体"/>
          <w:szCs w:val="21"/>
        </w:rPr>
        <w:tab/>
      </w:r>
      <w:r>
        <w:rPr>
          <w:rFonts w:hint="eastAsia" w:ascii="宋体" w:hAnsi="宋体"/>
          <w:szCs w:val="21"/>
        </w:rPr>
        <w:t>招标采购单位将拒绝并原封退回在投标截止期后送达的任何投标文件。</w:t>
      </w:r>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125" w:name="_Toc109736048"/>
      <w:bookmarkStart w:id="126" w:name="_Toc520356162"/>
      <w:r>
        <w:rPr>
          <w:rFonts w:hint="eastAsia" w:ascii="宋体" w:hAnsi="宋体" w:eastAsia="宋体" w:cs="Times New Roman"/>
          <w:b/>
          <w:bCs/>
          <w:sz w:val="21"/>
          <w:szCs w:val="21"/>
        </w:rPr>
        <w:t>17.</w:t>
      </w:r>
      <w:r>
        <w:rPr>
          <w:rFonts w:hint="eastAsia" w:ascii="宋体" w:hAnsi="宋体" w:eastAsia="宋体" w:cs="Times New Roman"/>
          <w:b/>
          <w:bCs/>
          <w:sz w:val="21"/>
          <w:szCs w:val="21"/>
        </w:rPr>
        <w:tab/>
      </w:r>
      <w:r>
        <w:rPr>
          <w:rFonts w:hint="eastAsia" w:ascii="宋体" w:hAnsi="宋体" w:eastAsia="宋体" w:cs="Times New Roman"/>
          <w:b/>
          <w:bCs/>
          <w:sz w:val="21"/>
          <w:szCs w:val="21"/>
        </w:rPr>
        <w:t xml:space="preserve">    投标文件的修改与撤回</w:t>
      </w:r>
      <w:bookmarkEnd w:id="125"/>
      <w:bookmarkEnd w:id="126"/>
    </w:p>
    <w:p>
      <w:pPr>
        <w:spacing w:line="360" w:lineRule="auto"/>
        <w:ind w:left="788" w:hanging="787" w:hangingChars="375"/>
        <w:rPr>
          <w:rFonts w:ascii="宋体" w:hAnsi="宋体"/>
          <w:szCs w:val="21"/>
        </w:rPr>
      </w:pPr>
      <w:r>
        <w:rPr>
          <w:rFonts w:hint="eastAsia" w:ascii="宋体" w:hAnsi="宋体"/>
          <w:szCs w:val="21"/>
        </w:rPr>
        <w:t>17.1</w:t>
      </w:r>
      <w:r>
        <w:rPr>
          <w:rFonts w:hint="eastAsia" w:ascii="宋体" w:hAnsi="宋体"/>
          <w:szCs w:val="21"/>
        </w:rPr>
        <w:tab/>
      </w:r>
      <w:r>
        <w:rPr>
          <w:rFonts w:hint="eastAsia" w:ascii="宋体" w:hAnsi="宋体"/>
          <w:szCs w:val="21"/>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rPr>
      </w:pPr>
      <w:r>
        <w:rPr>
          <w:rFonts w:hint="eastAsia" w:ascii="宋体" w:hAnsi="宋体"/>
          <w:szCs w:val="21"/>
        </w:rPr>
        <w:t>17.2</w:t>
      </w:r>
      <w:r>
        <w:rPr>
          <w:rFonts w:hint="eastAsia" w:ascii="宋体" w:hAnsi="宋体"/>
          <w:szCs w:val="21"/>
        </w:rPr>
        <w:tab/>
      </w:r>
      <w:r>
        <w:rPr>
          <w:rFonts w:hint="eastAsia" w:ascii="宋体" w:hAnsi="宋体"/>
          <w:szCs w:val="21"/>
        </w:rPr>
        <w:t>投标人对投标文件的修改或撤回通知应按本须知第15条规定编制、密封、标记和发送。</w:t>
      </w:r>
    </w:p>
    <w:p>
      <w:pPr>
        <w:spacing w:line="360" w:lineRule="auto"/>
        <w:ind w:left="788" w:hanging="787" w:hangingChars="375"/>
        <w:rPr>
          <w:rFonts w:ascii="宋体" w:hAnsi="宋体"/>
          <w:szCs w:val="21"/>
        </w:rPr>
      </w:pPr>
      <w:r>
        <w:rPr>
          <w:rFonts w:hint="eastAsia" w:ascii="宋体" w:hAnsi="宋体"/>
          <w:szCs w:val="21"/>
        </w:rPr>
        <w:t>17.3</w:t>
      </w:r>
      <w:r>
        <w:rPr>
          <w:rFonts w:hint="eastAsia" w:ascii="宋体" w:hAnsi="宋体"/>
          <w:szCs w:val="21"/>
        </w:rPr>
        <w:tab/>
      </w:r>
      <w:r>
        <w:rPr>
          <w:rFonts w:hint="eastAsia" w:ascii="宋体" w:hAnsi="宋体"/>
          <w:szCs w:val="21"/>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rPr>
      </w:pPr>
      <w:r>
        <w:rPr>
          <w:rFonts w:hint="eastAsia" w:ascii="宋体" w:hAnsi="宋体"/>
          <w:szCs w:val="21"/>
        </w:rPr>
        <w:t>17.4</w:t>
      </w:r>
      <w:r>
        <w:rPr>
          <w:rFonts w:hint="eastAsia" w:ascii="宋体" w:hAnsi="宋体"/>
          <w:szCs w:val="21"/>
        </w:rPr>
        <w:tab/>
      </w:r>
      <w:r>
        <w:rPr>
          <w:rFonts w:hint="eastAsia" w:ascii="宋体" w:hAnsi="宋体"/>
          <w:szCs w:val="21"/>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shd w:val="pct10" w:color="auto" w:fill="FFFFFF"/>
        </w:rPr>
      </w:pPr>
    </w:p>
    <w:p>
      <w:pPr>
        <w:pStyle w:val="3"/>
        <w:spacing w:before="0" w:line="360" w:lineRule="auto"/>
        <w:jc w:val="center"/>
        <w:rPr>
          <w:rFonts w:hint="eastAsia" w:ascii="宋体" w:hAnsi="宋体" w:eastAsia="宋体"/>
          <w:sz w:val="24"/>
          <w:szCs w:val="24"/>
        </w:rPr>
      </w:pPr>
      <w:bookmarkStart w:id="127" w:name="_Toc23762"/>
      <w:bookmarkStart w:id="128" w:name="_Toc520356163"/>
      <w:bookmarkStart w:id="129" w:name="_Toc109736049"/>
      <w:bookmarkStart w:id="130" w:name="_Toc216582809"/>
      <w:r>
        <w:rPr>
          <w:rFonts w:hint="eastAsia" w:ascii="宋体" w:hAnsi="宋体" w:eastAsia="宋体"/>
          <w:sz w:val="24"/>
          <w:szCs w:val="24"/>
        </w:rPr>
        <w:t>五   开标及评标</w:t>
      </w:r>
      <w:bookmarkEnd w:id="127"/>
      <w:bookmarkEnd w:id="128"/>
      <w:bookmarkEnd w:id="129"/>
      <w:bookmarkEnd w:id="130"/>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131" w:name="_Toc520356164"/>
      <w:bookmarkStart w:id="132" w:name="_Toc109736050"/>
      <w:r>
        <w:rPr>
          <w:rFonts w:hint="eastAsia" w:ascii="宋体" w:hAnsi="宋体" w:eastAsia="宋体" w:cs="Times New Roman"/>
          <w:b/>
          <w:bCs/>
          <w:sz w:val="21"/>
          <w:szCs w:val="21"/>
        </w:rPr>
        <w:t>18.</w:t>
      </w:r>
      <w:r>
        <w:rPr>
          <w:rFonts w:hint="eastAsia" w:ascii="宋体" w:hAnsi="宋体" w:eastAsia="宋体" w:cs="Times New Roman"/>
          <w:b/>
          <w:bCs/>
          <w:sz w:val="21"/>
          <w:szCs w:val="21"/>
        </w:rPr>
        <w:tab/>
      </w:r>
      <w:r>
        <w:rPr>
          <w:rFonts w:hint="eastAsia" w:ascii="宋体" w:hAnsi="宋体" w:eastAsia="宋体" w:cs="Times New Roman"/>
          <w:b/>
          <w:bCs/>
          <w:sz w:val="21"/>
          <w:szCs w:val="21"/>
        </w:rPr>
        <w:t xml:space="preserve">    开标</w:t>
      </w:r>
      <w:bookmarkEnd w:id="131"/>
      <w:bookmarkEnd w:id="132"/>
    </w:p>
    <w:p>
      <w:pPr>
        <w:spacing w:line="360" w:lineRule="auto"/>
        <w:ind w:left="788" w:hanging="787" w:hangingChars="375"/>
        <w:rPr>
          <w:rFonts w:hint="eastAsia" w:ascii="宋体" w:hAnsi="宋体"/>
          <w:szCs w:val="21"/>
        </w:rPr>
      </w:pPr>
      <w:r>
        <w:rPr>
          <w:rFonts w:hint="eastAsia" w:ascii="宋体" w:hAnsi="宋体"/>
          <w:szCs w:val="21"/>
        </w:rPr>
        <w:t>18.1</w:t>
      </w:r>
      <w:r>
        <w:rPr>
          <w:rFonts w:hint="eastAsia" w:ascii="宋体" w:hAnsi="宋体"/>
          <w:szCs w:val="21"/>
        </w:rPr>
        <w:tab/>
      </w:r>
      <w:r>
        <w:rPr>
          <w:rFonts w:hint="eastAsia" w:ascii="宋体" w:hAnsi="宋体"/>
          <w:szCs w:val="21"/>
        </w:rPr>
        <w:t>招标采购单位将按规定的开标时间和地点组织公开开标，所有投标人代表均有权参加。</w:t>
      </w:r>
    </w:p>
    <w:p>
      <w:pPr>
        <w:spacing w:line="360" w:lineRule="auto"/>
        <w:ind w:left="788" w:hanging="787" w:hangingChars="375"/>
        <w:rPr>
          <w:rFonts w:hint="eastAsia" w:ascii="宋体" w:hAnsi="宋体"/>
          <w:szCs w:val="21"/>
        </w:rPr>
      </w:pPr>
      <w:r>
        <w:rPr>
          <w:rFonts w:hint="eastAsia" w:ascii="宋体" w:hAnsi="宋体"/>
          <w:szCs w:val="21"/>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rPr>
      </w:pPr>
      <w:r>
        <w:rPr>
          <w:rFonts w:hint="eastAsia" w:ascii="宋体" w:hAnsi="宋体"/>
          <w:szCs w:val="21"/>
        </w:rPr>
        <w:t>未宣读的投标价格、价格折扣、备选方案等实质内容，评标时不予承认。</w:t>
      </w:r>
    </w:p>
    <w:p>
      <w:pPr>
        <w:spacing w:line="360" w:lineRule="auto"/>
        <w:ind w:left="788" w:hanging="787" w:hangingChars="375"/>
        <w:rPr>
          <w:rFonts w:ascii="宋体" w:hAnsi="宋体"/>
          <w:szCs w:val="21"/>
        </w:rPr>
      </w:pPr>
      <w:r>
        <w:rPr>
          <w:rFonts w:hint="eastAsia" w:ascii="宋体" w:hAnsi="宋体"/>
          <w:szCs w:val="21"/>
        </w:rPr>
        <w:t>18.3    除了按照本须知的规定原封退回迟到的投标文件之外，开标时将不得拒绝任何投标。</w:t>
      </w:r>
    </w:p>
    <w:p>
      <w:pPr>
        <w:spacing w:line="360" w:lineRule="auto"/>
        <w:ind w:left="788" w:hanging="787" w:hangingChars="375"/>
        <w:rPr>
          <w:rFonts w:hint="eastAsia" w:ascii="宋体" w:hAnsi="宋体"/>
          <w:szCs w:val="21"/>
        </w:rPr>
      </w:pPr>
      <w:r>
        <w:rPr>
          <w:rFonts w:hint="eastAsia" w:ascii="宋体" w:hAnsi="宋体"/>
          <w:szCs w:val="21"/>
        </w:rPr>
        <w:t>18.4</w:t>
      </w:r>
      <w:r>
        <w:rPr>
          <w:rFonts w:hint="eastAsia" w:ascii="宋体" w:hAnsi="宋体"/>
          <w:szCs w:val="21"/>
        </w:rPr>
        <w:tab/>
      </w:r>
      <w:r>
        <w:rPr>
          <w:rFonts w:hint="eastAsia" w:ascii="宋体" w:hAnsi="宋体"/>
          <w:szCs w:val="21"/>
        </w:rPr>
        <w:t>招标采购单位将对开标</w:t>
      </w:r>
      <w:r>
        <w:rPr>
          <w:rFonts w:ascii="宋体" w:hAnsi="宋体"/>
          <w:szCs w:val="21"/>
        </w:rPr>
        <w:t>过程</w:t>
      </w:r>
      <w:r>
        <w:rPr>
          <w:rFonts w:hint="eastAsia" w:ascii="宋体" w:hAnsi="宋体"/>
          <w:szCs w:val="21"/>
        </w:rPr>
        <w:t>进行记录</w:t>
      </w:r>
      <w:bookmarkStart w:id="133" w:name="_Toc520356165"/>
      <w:r>
        <w:rPr>
          <w:rFonts w:hint="eastAsia" w:ascii="宋体" w:hAnsi="宋体"/>
          <w:szCs w:val="21"/>
        </w:rPr>
        <w:t>，并存档备查。</w:t>
      </w:r>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134" w:name="_Toc109736051"/>
      <w:r>
        <w:rPr>
          <w:rFonts w:hint="eastAsia" w:ascii="宋体" w:hAnsi="宋体" w:eastAsia="宋体" w:cs="Times New Roman"/>
          <w:b/>
          <w:bCs/>
          <w:sz w:val="21"/>
          <w:szCs w:val="21"/>
        </w:rPr>
        <w:t>19.</w:t>
      </w:r>
      <w:r>
        <w:rPr>
          <w:rFonts w:hint="eastAsia" w:ascii="宋体" w:hAnsi="宋体" w:eastAsia="宋体" w:cs="Times New Roman"/>
          <w:b/>
          <w:bCs/>
          <w:sz w:val="21"/>
          <w:szCs w:val="21"/>
        </w:rPr>
        <w:tab/>
      </w:r>
      <w:bookmarkEnd w:id="133"/>
      <w:r>
        <w:rPr>
          <w:rFonts w:hint="eastAsia" w:ascii="宋体" w:hAnsi="宋体" w:eastAsia="宋体" w:cs="Times New Roman"/>
          <w:b/>
          <w:bCs/>
          <w:sz w:val="21"/>
          <w:szCs w:val="21"/>
        </w:rPr>
        <w:t xml:space="preserve">    组建评标委员会</w:t>
      </w:r>
      <w:bookmarkEnd w:id="134"/>
    </w:p>
    <w:p>
      <w:pPr>
        <w:spacing w:line="360" w:lineRule="auto"/>
        <w:ind w:left="899" w:leftChars="428"/>
        <w:rPr>
          <w:rFonts w:hint="eastAsia" w:ascii="宋体" w:hAnsi="宋体"/>
          <w:szCs w:val="21"/>
        </w:rPr>
      </w:pPr>
      <w:r>
        <w:rPr>
          <w:rFonts w:hint="eastAsia" w:ascii="宋体" w:hAnsi="宋体"/>
          <w:szCs w:val="21"/>
        </w:rPr>
        <w:t>评标委员会根据招标采购货物的特点，按照《</w:t>
      </w:r>
      <w:r>
        <w:rPr>
          <w:rFonts w:ascii="宋体" w:hAnsi="宋体"/>
          <w:szCs w:val="21"/>
        </w:rPr>
        <w:t>中华人民共和国招标投标法</w:t>
      </w:r>
      <w:r>
        <w:rPr>
          <w:rFonts w:hint="eastAsia" w:ascii="宋体" w:hAnsi="宋体"/>
          <w:szCs w:val="21"/>
        </w:rPr>
        <w:t>》、《</w:t>
      </w:r>
      <w:r>
        <w:rPr>
          <w:rFonts w:ascii="宋体" w:hAnsi="宋体"/>
          <w:szCs w:val="21"/>
        </w:rPr>
        <w:t>中华人民共和国招标投标法实施条例》门</w:t>
      </w:r>
      <w:r>
        <w:rPr>
          <w:rFonts w:hint="eastAsia" w:ascii="宋体" w:hAnsi="宋体"/>
          <w:szCs w:val="21"/>
        </w:rPr>
        <w:t>的有关规定依法组建，并负责评标工作。</w:t>
      </w:r>
      <w:bookmarkStart w:id="135" w:name="_Toc520356166"/>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136" w:name="_Toc109736052"/>
      <w:r>
        <w:rPr>
          <w:rFonts w:hint="eastAsia" w:ascii="宋体" w:hAnsi="宋体" w:eastAsia="宋体" w:cs="Times New Roman"/>
          <w:b/>
          <w:bCs/>
          <w:sz w:val="21"/>
          <w:szCs w:val="21"/>
        </w:rPr>
        <w:t>20.</w:t>
      </w:r>
      <w:r>
        <w:rPr>
          <w:rFonts w:hint="eastAsia" w:ascii="宋体" w:hAnsi="宋体" w:eastAsia="宋体" w:cs="Times New Roman"/>
          <w:b/>
          <w:bCs/>
          <w:sz w:val="21"/>
          <w:szCs w:val="21"/>
        </w:rPr>
        <w:tab/>
      </w:r>
      <w:r>
        <w:rPr>
          <w:rFonts w:hint="eastAsia" w:ascii="宋体" w:hAnsi="宋体" w:eastAsia="宋体" w:cs="Times New Roman"/>
          <w:b/>
          <w:bCs/>
          <w:sz w:val="21"/>
          <w:szCs w:val="21"/>
        </w:rPr>
        <w:t xml:space="preserve">    投标文件的初审</w:t>
      </w:r>
      <w:bookmarkEnd w:id="135"/>
      <w:r>
        <w:rPr>
          <w:rFonts w:hint="eastAsia" w:ascii="宋体" w:hAnsi="宋体" w:eastAsia="宋体" w:cs="Times New Roman"/>
          <w:b/>
          <w:bCs/>
          <w:sz w:val="21"/>
          <w:szCs w:val="21"/>
        </w:rPr>
        <w:t>与澄清</w:t>
      </w:r>
      <w:bookmarkEnd w:id="136"/>
    </w:p>
    <w:p>
      <w:pPr>
        <w:spacing w:line="360" w:lineRule="auto"/>
        <w:ind w:left="788" w:hanging="787" w:hangingChars="375"/>
        <w:rPr>
          <w:rFonts w:hint="eastAsia" w:ascii="宋体" w:hAnsi="宋体"/>
          <w:szCs w:val="21"/>
        </w:rPr>
      </w:pPr>
      <w:r>
        <w:rPr>
          <w:rFonts w:hint="eastAsia" w:ascii="宋体" w:hAnsi="宋体"/>
          <w:szCs w:val="21"/>
        </w:rPr>
        <w:t>20.1    投标文件的初审分为资格性检查和符合性检查。</w:t>
      </w:r>
    </w:p>
    <w:p>
      <w:pPr>
        <w:spacing w:line="360" w:lineRule="auto"/>
        <w:ind w:left="788" w:hanging="787" w:hangingChars="375"/>
        <w:rPr>
          <w:rFonts w:hint="eastAsia" w:ascii="宋体" w:hAnsi="宋体"/>
          <w:szCs w:val="21"/>
        </w:rPr>
      </w:pPr>
      <w:r>
        <w:rPr>
          <w:rFonts w:hint="eastAsia" w:ascii="宋体" w:hAnsi="宋体"/>
          <w:szCs w:val="21"/>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rPr>
      </w:pPr>
      <w:r>
        <w:rPr>
          <w:rFonts w:hint="eastAsia" w:ascii="宋体" w:hAnsi="宋体"/>
          <w:szCs w:val="21"/>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rPr>
      </w:pPr>
      <w:r>
        <w:rPr>
          <w:rFonts w:hint="eastAsia" w:ascii="宋体" w:hAnsi="宋体"/>
          <w:szCs w:val="21"/>
        </w:rPr>
        <w:t>20.2</w:t>
      </w:r>
      <w:r>
        <w:rPr>
          <w:rFonts w:hint="eastAsia" w:ascii="宋体" w:hAnsi="宋体"/>
          <w:szCs w:val="21"/>
        </w:rPr>
        <w:tab/>
      </w:r>
      <w:r>
        <w:rPr>
          <w:rFonts w:hint="eastAsia" w:ascii="宋体" w:hAnsi="宋体"/>
          <w:szCs w:val="21"/>
        </w:rPr>
        <w:t>投标文件的澄清</w:t>
      </w:r>
    </w:p>
    <w:p>
      <w:pPr>
        <w:spacing w:line="360" w:lineRule="auto"/>
        <w:ind w:left="788" w:hanging="787" w:hangingChars="375"/>
        <w:rPr>
          <w:rFonts w:hint="eastAsia" w:ascii="宋体" w:hAnsi="宋体"/>
          <w:szCs w:val="21"/>
        </w:rPr>
      </w:pPr>
      <w:r>
        <w:rPr>
          <w:rFonts w:hint="eastAsia" w:ascii="宋体" w:hAnsi="宋体"/>
          <w:szCs w:val="21"/>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rPr>
      </w:pPr>
      <w:r>
        <w:rPr>
          <w:rFonts w:hint="eastAsia" w:ascii="宋体" w:hAnsi="宋体"/>
          <w:szCs w:val="21"/>
        </w:rPr>
        <w:t>20.2.2  澄清文件将作为投标文件的一部分。</w:t>
      </w:r>
    </w:p>
    <w:p>
      <w:pPr>
        <w:spacing w:line="360" w:lineRule="auto"/>
        <w:ind w:left="788" w:hanging="787" w:hangingChars="375"/>
        <w:rPr>
          <w:rFonts w:hint="eastAsia" w:ascii="宋体" w:hAnsi="宋体"/>
          <w:szCs w:val="21"/>
        </w:rPr>
      </w:pPr>
      <w:r>
        <w:rPr>
          <w:rFonts w:hint="eastAsia" w:ascii="宋体" w:hAnsi="宋体"/>
          <w:szCs w:val="21"/>
        </w:rPr>
        <w:t>20.2.3  算术错误及文字歧义将按以下方法更正：投标文件中“开标一览表”（报价表）内容与投标文件中明细表内容不一致的，以“开标一览表” （报价表）为准。投标文件同一部分</w:t>
      </w:r>
      <w:r>
        <w:rPr>
          <w:rFonts w:ascii="宋体" w:hAnsi="宋体"/>
          <w:szCs w:val="21"/>
        </w:rPr>
        <w:t>中，</w:t>
      </w:r>
      <w:r>
        <w:rPr>
          <w:rFonts w:hint="eastAsia" w:ascii="宋体" w:hAnsi="宋体"/>
          <w:szCs w:val="21"/>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rPr>
      </w:pPr>
      <w:r>
        <w:rPr>
          <w:rFonts w:hint="eastAsia" w:ascii="宋体" w:hAnsi="宋体"/>
          <w:szCs w:val="21"/>
        </w:rPr>
        <w:t>20.2.4 如果投标人不接受对其错误和歧义的更改，其投标将作为无效投标被拒绝。</w:t>
      </w:r>
    </w:p>
    <w:p>
      <w:pPr>
        <w:spacing w:line="360" w:lineRule="auto"/>
        <w:ind w:left="788" w:hanging="787" w:hangingChars="375"/>
        <w:rPr>
          <w:rFonts w:hint="eastAsia" w:ascii="宋体" w:hAnsi="宋体"/>
          <w:szCs w:val="21"/>
        </w:rPr>
      </w:pPr>
      <w:r>
        <w:rPr>
          <w:rFonts w:hint="eastAsia" w:ascii="宋体" w:hAnsi="宋体"/>
          <w:szCs w:val="21"/>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139" w:name="_Toc109736053"/>
      <w:r>
        <w:rPr>
          <w:rFonts w:hint="eastAsia" w:ascii="宋体" w:hAnsi="宋体" w:eastAsia="宋体" w:cs="Times New Roman"/>
          <w:b/>
          <w:bCs/>
          <w:sz w:val="21"/>
          <w:szCs w:val="21"/>
        </w:rPr>
        <w:t>21.     投标偏离与无效投标</w:t>
      </w:r>
      <w:bookmarkEnd w:id="139"/>
    </w:p>
    <w:p>
      <w:pPr>
        <w:spacing w:line="360" w:lineRule="auto"/>
        <w:ind w:left="788" w:hanging="787" w:hangingChars="375"/>
        <w:rPr>
          <w:rFonts w:hint="eastAsia" w:ascii="宋体" w:hAnsi="宋体"/>
          <w:szCs w:val="21"/>
        </w:rPr>
      </w:pPr>
      <w:r>
        <w:rPr>
          <w:rFonts w:hint="eastAsia" w:ascii="宋体" w:hAnsi="宋体"/>
          <w:szCs w:val="21"/>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rPr>
      </w:pPr>
      <w:r>
        <w:rPr>
          <w:rFonts w:hint="eastAsia" w:ascii="宋体" w:hAnsi="宋体"/>
          <w:szCs w:val="21"/>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rPr>
      </w:pPr>
      <w:r>
        <w:rPr>
          <w:rFonts w:hint="eastAsia" w:ascii="宋体" w:hAnsi="宋体"/>
          <w:szCs w:val="21"/>
        </w:rPr>
        <w:t>21.3</w:t>
      </w:r>
      <w:r>
        <w:rPr>
          <w:rFonts w:hint="eastAsia" w:ascii="宋体" w:hAnsi="宋体"/>
          <w:szCs w:val="21"/>
        </w:rPr>
        <w:tab/>
      </w:r>
      <w:r>
        <w:rPr>
          <w:rFonts w:hint="eastAsia" w:ascii="宋体" w:hAnsi="宋体"/>
          <w:szCs w:val="21"/>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rPr>
      </w:pPr>
      <w:r>
        <w:rPr>
          <w:rFonts w:hint="eastAsia" w:ascii="宋体" w:hAnsi="宋体"/>
          <w:szCs w:val="21"/>
        </w:rPr>
        <w:t>报价超过项目预算额的；</w:t>
      </w:r>
    </w:p>
    <w:p>
      <w:pPr>
        <w:numPr>
          <w:ilvl w:val="0"/>
          <w:numId w:val="13"/>
        </w:numPr>
        <w:spacing w:line="360" w:lineRule="auto"/>
        <w:ind w:left="1081" w:leftChars="429" w:hanging="180"/>
        <w:rPr>
          <w:rFonts w:hint="eastAsia" w:ascii="宋体" w:hAnsi="宋体"/>
          <w:szCs w:val="21"/>
        </w:rPr>
      </w:pPr>
      <w:r>
        <w:rPr>
          <w:rFonts w:hint="eastAsia" w:ascii="宋体" w:hAnsi="宋体"/>
          <w:szCs w:val="21"/>
        </w:rPr>
        <w:t>未按招标文件规定的形式和数量交纳投标保证金的；</w:t>
      </w:r>
    </w:p>
    <w:p>
      <w:pPr>
        <w:numPr>
          <w:ilvl w:val="0"/>
          <w:numId w:val="13"/>
        </w:numPr>
        <w:spacing w:line="360" w:lineRule="auto"/>
        <w:ind w:left="1081" w:leftChars="429" w:hanging="180"/>
        <w:rPr>
          <w:rFonts w:hint="eastAsia" w:ascii="宋体" w:hAnsi="宋体"/>
          <w:szCs w:val="21"/>
        </w:rPr>
      </w:pPr>
      <w:r>
        <w:rPr>
          <w:rFonts w:hint="eastAsia" w:ascii="宋体" w:hAnsi="宋体"/>
          <w:szCs w:val="21"/>
        </w:rPr>
        <w:t>未按照招标文件规定要求密封、签署、盖章的；</w:t>
      </w:r>
    </w:p>
    <w:p>
      <w:pPr>
        <w:numPr>
          <w:ilvl w:val="0"/>
          <w:numId w:val="13"/>
        </w:numPr>
        <w:spacing w:line="360" w:lineRule="auto"/>
        <w:ind w:left="1081" w:leftChars="429" w:hanging="180"/>
        <w:rPr>
          <w:rFonts w:hint="eastAsia" w:ascii="宋体" w:hAnsi="宋体"/>
          <w:szCs w:val="21"/>
        </w:rPr>
      </w:pPr>
      <w:r>
        <w:rPr>
          <w:rFonts w:hint="eastAsia" w:ascii="宋体" w:hAnsi="宋体"/>
          <w:szCs w:val="21"/>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rPr>
      </w:pPr>
      <w:r>
        <w:rPr>
          <w:rFonts w:hint="eastAsia" w:ascii="宋体" w:hAnsi="宋体"/>
          <w:szCs w:val="21"/>
        </w:rPr>
        <w:t xml:space="preserve">不具备招标文件中规定投标人资格要求的； </w:t>
      </w:r>
    </w:p>
    <w:p>
      <w:pPr>
        <w:numPr>
          <w:ilvl w:val="0"/>
          <w:numId w:val="13"/>
        </w:numPr>
        <w:spacing w:line="360" w:lineRule="auto"/>
        <w:ind w:left="1081" w:leftChars="429" w:hanging="180"/>
        <w:rPr>
          <w:rFonts w:hint="eastAsia" w:ascii="宋体" w:hAnsi="宋体"/>
          <w:szCs w:val="21"/>
        </w:rPr>
      </w:pPr>
      <w:r>
        <w:rPr>
          <w:rFonts w:hint="eastAsia" w:ascii="宋体" w:hAnsi="宋体"/>
          <w:szCs w:val="21"/>
        </w:rPr>
        <w:t>不满足招标文件中商务部分标注“</w:t>
      </w:r>
      <w:r>
        <w:rPr>
          <w:rFonts w:hint="eastAsia" w:ascii="宋体" w:hAnsi="宋体"/>
          <w:b/>
          <w:szCs w:val="21"/>
        </w:rPr>
        <w:t>*</w:t>
      </w:r>
      <w:r>
        <w:rPr>
          <w:rFonts w:hint="eastAsia" w:ascii="宋体" w:hAnsi="宋体"/>
          <w:szCs w:val="21"/>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rPr>
      </w:pPr>
      <w:r>
        <w:rPr>
          <w:rFonts w:hint="eastAsia" w:ascii="宋体" w:hAnsi="宋体"/>
          <w:szCs w:val="21"/>
        </w:rPr>
        <w:t>不符合法规和招标文件中规定的其他实质性要求的。</w:t>
      </w:r>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140" w:name="_Toc109736054"/>
      <w:r>
        <w:rPr>
          <w:rFonts w:hint="eastAsia" w:ascii="宋体" w:hAnsi="宋体" w:eastAsia="宋体" w:cs="Times New Roman"/>
          <w:b/>
          <w:bCs/>
          <w:sz w:val="21"/>
          <w:szCs w:val="21"/>
        </w:rPr>
        <w:t xml:space="preserve">22. </w:t>
      </w:r>
      <w:r>
        <w:rPr>
          <w:rFonts w:hint="eastAsia" w:ascii="宋体" w:hAnsi="宋体" w:eastAsia="宋体" w:cs="Times New Roman"/>
          <w:b/>
          <w:bCs/>
          <w:sz w:val="21"/>
          <w:szCs w:val="21"/>
        </w:rPr>
        <w:tab/>
      </w:r>
      <w:bookmarkEnd w:id="138"/>
      <w:r>
        <w:rPr>
          <w:rFonts w:hint="eastAsia" w:ascii="宋体" w:hAnsi="宋体" w:eastAsia="宋体" w:cs="Times New Roman"/>
          <w:b/>
          <w:bCs/>
          <w:sz w:val="21"/>
          <w:szCs w:val="21"/>
        </w:rPr>
        <w:t>比较与评价</w:t>
      </w:r>
      <w:bookmarkEnd w:id="140"/>
    </w:p>
    <w:p>
      <w:pPr>
        <w:spacing w:line="360" w:lineRule="auto"/>
        <w:ind w:left="788" w:hanging="787" w:hangingChars="375"/>
        <w:rPr>
          <w:rFonts w:hint="eastAsia" w:ascii="宋体" w:hAnsi="宋体"/>
          <w:szCs w:val="21"/>
        </w:rPr>
      </w:pPr>
      <w:r>
        <w:rPr>
          <w:rFonts w:hint="eastAsia" w:ascii="宋体" w:hAnsi="宋体"/>
          <w:szCs w:val="21"/>
        </w:rPr>
        <w:t>22.1</w:t>
      </w:r>
      <w:r>
        <w:rPr>
          <w:rFonts w:hint="eastAsia" w:ascii="宋体" w:hAnsi="宋体"/>
          <w:szCs w:val="21"/>
        </w:rPr>
        <w:tab/>
      </w:r>
      <w:r>
        <w:rPr>
          <w:rFonts w:hint="eastAsia" w:ascii="宋体" w:hAnsi="宋体"/>
          <w:szCs w:val="21"/>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rPr>
      </w:pPr>
      <w:r>
        <w:rPr>
          <w:rFonts w:hint="eastAsia" w:ascii="宋体" w:hAnsi="宋体"/>
          <w:szCs w:val="21"/>
        </w:rPr>
        <w:t xml:space="preserve">22.2  </w:t>
      </w:r>
      <w:r>
        <w:rPr>
          <w:rFonts w:hint="eastAsia" w:ascii="宋体" w:hAnsi="宋体"/>
          <w:szCs w:val="21"/>
        </w:rPr>
        <w:tab/>
      </w:r>
      <w:r>
        <w:rPr>
          <w:rFonts w:hint="eastAsia" w:ascii="宋体" w:hAnsi="宋体"/>
          <w:szCs w:val="21"/>
        </w:rPr>
        <w:t>评标严格按照招标文件的要求和条件进行。根据实际情况，在</w:t>
      </w:r>
      <w:r>
        <w:rPr>
          <w:rFonts w:hint="eastAsia" w:ascii="宋体" w:hAnsi="宋体"/>
          <w:szCs w:val="21"/>
          <w:u w:val="single"/>
        </w:rPr>
        <w:t>投标人须知资料表</w:t>
      </w:r>
      <w:r>
        <w:rPr>
          <w:rFonts w:hint="eastAsia" w:ascii="宋体" w:hAnsi="宋体"/>
          <w:szCs w:val="21"/>
        </w:rPr>
        <w:t>中规定采用下列一种评标方法，详细评标标准见招标文件第九章：</w:t>
      </w:r>
    </w:p>
    <w:p>
      <w:pPr>
        <w:pStyle w:val="27"/>
        <w:spacing w:line="360" w:lineRule="auto"/>
        <w:ind w:left="899" w:leftChars="342" w:hanging="181"/>
        <w:rPr>
          <w:rFonts w:hint="eastAsia" w:hAnsi="宋体"/>
          <w:szCs w:val="21"/>
        </w:rPr>
      </w:pPr>
      <w:r>
        <w:rPr>
          <w:rFonts w:hint="eastAsia" w:hAnsi="宋体"/>
          <w:szCs w:val="21"/>
        </w:rPr>
        <w:t>（1） 最低评标价法。是指</w:t>
      </w:r>
      <w:r>
        <w:rPr>
          <w:rFonts w:hAnsi="宋体"/>
          <w:szCs w:val="21"/>
        </w:rPr>
        <w:t>投标文件满足招标文件全部实质性要求且投标报价最低的投标人为中标</w:t>
      </w:r>
      <w:r>
        <w:rPr>
          <w:rFonts w:hint="eastAsia" w:hAnsi="宋体"/>
          <w:szCs w:val="21"/>
        </w:rPr>
        <w:t>候选</w:t>
      </w:r>
      <w:r>
        <w:rPr>
          <w:rFonts w:hAnsi="宋体"/>
          <w:szCs w:val="21"/>
        </w:rPr>
        <w:t>人的评标方法</w:t>
      </w:r>
      <w:r>
        <w:rPr>
          <w:rFonts w:hint="eastAsia" w:hAnsi="宋体"/>
          <w:szCs w:val="21"/>
        </w:rPr>
        <w:t>。</w:t>
      </w:r>
    </w:p>
    <w:p>
      <w:pPr>
        <w:pStyle w:val="27"/>
        <w:spacing w:line="360" w:lineRule="auto"/>
        <w:ind w:left="898" w:leftChars="342" w:hanging="180"/>
        <w:rPr>
          <w:rFonts w:hint="eastAsia" w:hAnsi="宋体"/>
          <w:szCs w:val="21"/>
        </w:rPr>
      </w:pPr>
      <w:r>
        <w:rPr>
          <w:rFonts w:hint="eastAsia" w:hAnsi="宋体"/>
          <w:szCs w:val="21"/>
        </w:rPr>
        <w:t>（2） 综合评分法。是</w:t>
      </w:r>
      <w:r>
        <w:rPr>
          <w:rFonts w:hAnsi="宋体"/>
          <w:szCs w:val="21"/>
        </w:rPr>
        <w:t>指投标文件满足招标</w:t>
      </w:r>
      <w:r>
        <w:rPr>
          <w:rFonts w:hint="eastAsia" w:hAnsi="宋体"/>
          <w:szCs w:val="21"/>
        </w:rPr>
        <w:t>文件</w:t>
      </w:r>
      <w:r>
        <w:rPr>
          <w:rFonts w:hAnsi="宋体"/>
          <w:szCs w:val="21"/>
        </w:rPr>
        <w:t>全部实质性要求且按照评审因素的</w:t>
      </w:r>
      <w:r>
        <w:rPr>
          <w:rFonts w:hint="eastAsia" w:hAnsi="宋体"/>
          <w:szCs w:val="21"/>
        </w:rPr>
        <w:t>量化</w:t>
      </w:r>
      <w:r>
        <w:rPr>
          <w:rFonts w:hAnsi="宋体"/>
          <w:szCs w:val="21"/>
        </w:rPr>
        <w:t>指标评审得分最高的投标人为中标候选人的评标方法。</w:t>
      </w:r>
    </w:p>
    <w:p>
      <w:pPr>
        <w:pStyle w:val="27"/>
        <w:spacing w:line="360" w:lineRule="auto"/>
        <w:ind w:left="788" w:hanging="787" w:hangingChars="375"/>
        <w:rPr>
          <w:rFonts w:hint="eastAsia" w:hAnsi="宋体"/>
          <w:szCs w:val="21"/>
        </w:rPr>
      </w:pPr>
      <w:r>
        <w:rPr>
          <w:rFonts w:hint="eastAsia" w:hAnsi="宋体"/>
          <w:szCs w:val="21"/>
        </w:rPr>
        <w:t>22.3   备选方案的评审。如</w:t>
      </w:r>
      <w:r>
        <w:rPr>
          <w:rFonts w:hint="eastAsia" w:hAnsi="宋体"/>
          <w:szCs w:val="21"/>
          <w:u w:val="single"/>
        </w:rPr>
        <w:t>投标人须知资料表</w:t>
      </w:r>
      <w:r>
        <w:rPr>
          <w:rFonts w:hint="eastAsia" w:hAnsi="宋体"/>
          <w:szCs w:val="21"/>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r>
        <w:rPr>
          <w:rFonts w:hint="eastAsia" w:ascii="宋体" w:hAnsi="宋体" w:eastAsia="宋体" w:cs="Times New Roman"/>
          <w:b/>
          <w:bCs/>
          <w:sz w:val="21"/>
          <w:szCs w:val="21"/>
        </w:rPr>
        <w:t xml:space="preserve">  </w:t>
      </w:r>
      <w:bookmarkStart w:id="141" w:name="_Toc520356169"/>
      <w:r>
        <w:rPr>
          <w:rFonts w:hint="eastAsia" w:ascii="宋体" w:hAnsi="宋体" w:eastAsia="宋体" w:cs="Times New Roman"/>
          <w:b/>
          <w:bCs/>
          <w:sz w:val="21"/>
          <w:szCs w:val="21"/>
        </w:rPr>
        <w:t>23．</w:t>
      </w:r>
      <w:r>
        <w:rPr>
          <w:rFonts w:hint="eastAsia" w:ascii="宋体" w:hAnsi="宋体" w:eastAsia="宋体" w:cs="Times New Roman"/>
          <w:b/>
          <w:bCs/>
          <w:sz w:val="21"/>
          <w:szCs w:val="21"/>
        </w:rPr>
        <w:tab/>
      </w:r>
      <w:r>
        <w:rPr>
          <w:rFonts w:hint="eastAsia" w:ascii="宋体" w:hAnsi="宋体" w:eastAsia="宋体" w:cs="Times New Roman"/>
          <w:b/>
          <w:bCs/>
          <w:sz w:val="21"/>
          <w:szCs w:val="21"/>
        </w:rPr>
        <w:t>保密原则</w:t>
      </w:r>
    </w:p>
    <w:p>
      <w:pPr>
        <w:spacing w:line="360" w:lineRule="auto"/>
        <w:ind w:left="788" w:hanging="787" w:hangingChars="375"/>
        <w:rPr>
          <w:rFonts w:hint="eastAsia" w:ascii="宋体" w:hAnsi="宋体"/>
          <w:szCs w:val="21"/>
        </w:rPr>
      </w:pPr>
      <w:r>
        <w:rPr>
          <w:rFonts w:hint="eastAsia" w:ascii="宋体" w:hAnsi="宋体"/>
          <w:szCs w:val="21"/>
        </w:rPr>
        <w:t>23.1</w:t>
      </w:r>
      <w:r>
        <w:rPr>
          <w:rFonts w:hint="eastAsia" w:ascii="宋体" w:hAnsi="宋体"/>
          <w:szCs w:val="21"/>
        </w:rPr>
        <w:tab/>
      </w:r>
      <w:r>
        <w:rPr>
          <w:rFonts w:hint="eastAsia" w:ascii="宋体" w:hAnsi="宋体"/>
          <w:szCs w:val="21"/>
        </w:rPr>
        <w:t>评标将在严格保密的情况下进行。</w:t>
      </w:r>
    </w:p>
    <w:p>
      <w:pPr>
        <w:spacing w:line="360" w:lineRule="auto"/>
        <w:ind w:left="788" w:hanging="787" w:hangingChars="375"/>
        <w:rPr>
          <w:rFonts w:hint="eastAsia" w:ascii="宋体" w:hAnsi="宋体"/>
          <w:szCs w:val="21"/>
        </w:rPr>
      </w:pPr>
      <w:r>
        <w:rPr>
          <w:rFonts w:hint="eastAsia" w:ascii="宋体" w:hAnsi="宋体"/>
          <w:szCs w:val="21"/>
        </w:rPr>
        <w:t>23.2</w:t>
      </w:r>
      <w:r>
        <w:rPr>
          <w:rFonts w:hint="eastAsia" w:ascii="宋体" w:hAnsi="宋体"/>
          <w:szCs w:val="21"/>
        </w:rPr>
        <w:tab/>
      </w:r>
      <w:r>
        <w:rPr>
          <w:rFonts w:ascii="宋体" w:hAnsi="宋体"/>
          <w:szCs w:val="21"/>
        </w:rPr>
        <w:t>评审专家应当</w:t>
      </w:r>
      <w:r>
        <w:rPr>
          <w:rFonts w:hint="eastAsia" w:ascii="宋体" w:hAnsi="宋体"/>
          <w:szCs w:val="21"/>
        </w:rPr>
        <w:t>遵</w:t>
      </w:r>
      <w:r>
        <w:rPr>
          <w:rFonts w:ascii="宋体" w:hAnsi="宋体"/>
          <w:szCs w:val="21"/>
        </w:rPr>
        <w:t>守评审工作纪律，不得</w:t>
      </w:r>
      <w:r>
        <w:rPr>
          <w:rFonts w:hint="eastAsia" w:ascii="宋体" w:hAnsi="宋体"/>
          <w:szCs w:val="21"/>
        </w:rPr>
        <w:t>泄露</w:t>
      </w:r>
      <w:r>
        <w:rPr>
          <w:rFonts w:ascii="宋体" w:hAnsi="宋体"/>
          <w:szCs w:val="21"/>
        </w:rPr>
        <w:t>评审</w:t>
      </w:r>
      <w:r>
        <w:rPr>
          <w:rFonts w:hint="eastAsia" w:ascii="宋体" w:hAnsi="宋体"/>
          <w:szCs w:val="21"/>
        </w:rPr>
        <w:t>文件</w:t>
      </w:r>
      <w:r>
        <w:rPr>
          <w:rFonts w:ascii="宋体" w:hAnsi="宋体"/>
          <w:szCs w:val="21"/>
        </w:rPr>
        <w:t>、评审情况和评审中获悉的商业秘密。</w:t>
      </w:r>
    </w:p>
    <w:p>
      <w:pPr>
        <w:spacing w:line="360" w:lineRule="auto"/>
        <w:ind w:left="788" w:hanging="787" w:hangingChars="375"/>
        <w:rPr>
          <w:rFonts w:hint="eastAsia" w:ascii="宋体" w:hAnsi="宋体"/>
          <w:szCs w:val="21"/>
        </w:rPr>
      </w:pPr>
      <w:r>
        <w:rPr>
          <w:rFonts w:hint="eastAsia" w:ascii="宋体" w:hAnsi="宋体"/>
          <w:szCs w:val="21"/>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rPr>
      </w:pPr>
    </w:p>
    <w:p>
      <w:pPr>
        <w:pStyle w:val="3"/>
        <w:spacing w:before="0" w:line="360" w:lineRule="auto"/>
        <w:jc w:val="center"/>
        <w:rPr>
          <w:rFonts w:hint="eastAsia" w:ascii="宋体" w:hAnsi="宋体" w:eastAsia="宋体"/>
          <w:sz w:val="24"/>
          <w:szCs w:val="24"/>
        </w:rPr>
      </w:pPr>
      <w:bookmarkStart w:id="142" w:name="_Toc109736055"/>
      <w:bookmarkStart w:id="143" w:name="_Toc6900"/>
      <w:bookmarkStart w:id="144" w:name="_Toc216582810"/>
      <w:r>
        <w:rPr>
          <w:rFonts w:hint="eastAsia" w:ascii="宋体" w:hAnsi="宋体" w:eastAsia="宋体"/>
          <w:sz w:val="24"/>
          <w:szCs w:val="24"/>
        </w:rPr>
        <w:t xml:space="preserve">六   </w:t>
      </w:r>
      <w:bookmarkEnd w:id="141"/>
      <w:r>
        <w:rPr>
          <w:rFonts w:hint="eastAsia" w:ascii="宋体" w:hAnsi="宋体" w:eastAsia="宋体"/>
          <w:sz w:val="24"/>
          <w:szCs w:val="24"/>
        </w:rPr>
        <w:t>确定中标</w:t>
      </w:r>
      <w:bookmarkEnd w:id="142"/>
      <w:bookmarkEnd w:id="143"/>
      <w:bookmarkEnd w:id="144"/>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145" w:name="_Toc109736056"/>
      <w:bookmarkStart w:id="146" w:name="_Toc520356170"/>
      <w:bookmarkStart w:id="147" w:name="_Ref467307010"/>
      <w:r>
        <w:rPr>
          <w:rFonts w:hint="eastAsia" w:ascii="宋体" w:hAnsi="宋体" w:eastAsia="宋体" w:cs="Times New Roman"/>
          <w:b/>
          <w:bCs/>
          <w:sz w:val="21"/>
          <w:szCs w:val="21"/>
        </w:rPr>
        <w:t>2</w:t>
      </w:r>
      <w:r>
        <w:rPr>
          <w:rFonts w:hint="eastAsia" w:ascii="宋体" w:hAnsi="宋体" w:eastAsia="宋体" w:cs="Times New Roman"/>
          <w:b/>
          <w:bCs/>
          <w:sz w:val="21"/>
          <w:szCs w:val="21"/>
          <w:lang w:val="en-US" w:eastAsia="zh-CN"/>
        </w:rPr>
        <w:t>4</w:t>
      </w:r>
      <w:r>
        <w:rPr>
          <w:rFonts w:hint="eastAsia" w:ascii="宋体" w:hAnsi="宋体" w:eastAsia="宋体" w:cs="Times New Roman"/>
          <w:b/>
          <w:bCs/>
          <w:sz w:val="21"/>
          <w:szCs w:val="21"/>
        </w:rPr>
        <w:t>．</w:t>
      </w:r>
      <w:r>
        <w:rPr>
          <w:rFonts w:hint="eastAsia" w:ascii="宋体" w:hAnsi="宋体" w:eastAsia="宋体" w:cs="Times New Roman"/>
          <w:b/>
          <w:bCs/>
          <w:sz w:val="21"/>
          <w:szCs w:val="21"/>
        </w:rPr>
        <w:tab/>
      </w:r>
      <w:r>
        <w:rPr>
          <w:rFonts w:hint="eastAsia" w:ascii="宋体" w:hAnsi="宋体" w:eastAsia="宋体" w:cs="Times New Roman"/>
          <w:b/>
          <w:bCs/>
          <w:sz w:val="21"/>
          <w:szCs w:val="21"/>
        </w:rPr>
        <w:t>中标候选投标人的确定原则及标准</w:t>
      </w:r>
      <w:bookmarkEnd w:id="145"/>
      <w:bookmarkEnd w:id="146"/>
      <w:bookmarkEnd w:id="147"/>
    </w:p>
    <w:p>
      <w:pPr>
        <w:spacing w:line="360" w:lineRule="auto"/>
        <w:ind w:left="788" w:hanging="787" w:hangingChars="375"/>
        <w:rPr>
          <w:rFonts w:hint="eastAsia" w:ascii="宋体" w:hAnsi="宋体"/>
          <w:szCs w:val="21"/>
        </w:rPr>
      </w:pPr>
      <w:r>
        <w:rPr>
          <w:rFonts w:hint="eastAsia" w:ascii="宋体" w:hAnsi="宋体"/>
          <w:szCs w:val="21"/>
        </w:rPr>
        <w:tab/>
      </w:r>
      <w:r>
        <w:rPr>
          <w:rFonts w:hint="eastAsia" w:ascii="宋体" w:hAnsi="宋体"/>
          <w:szCs w:val="21"/>
        </w:rPr>
        <w:t>除第27条规定外，确定实质上响应招标文件且满足</w:t>
      </w:r>
      <w:r>
        <w:rPr>
          <w:rFonts w:hint="eastAsia" w:ascii="宋体" w:hAnsi="宋体"/>
          <w:szCs w:val="21"/>
          <w:u w:val="single"/>
        </w:rPr>
        <w:t>投标人须知资料表</w:t>
      </w:r>
      <w:r>
        <w:rPr>
          <w:rFonts w:hint="eastAsia" w:ascii="宋体" w:hAnsi="宋体"/>
          <w:szCs w:val="21"/>
        </w:rPr>
        <w:t>中规定的下列条件之一者为中标候选投标人。</w:t>
      </w:r>
    </w:p>
    <w:p>
      <w:pPr>
        <w:spacing w:line="360" w:lineRule="auto"/>
        <w:ind w:left="901"/>
        <w:rPr>
          <w:rFonts w:hint="eastAsia" w:ascii="宋体" w:hAnsi="宋体"/>
          <w:szCs w:val="21"/>
        </w:rPr>
      </w:pPr>
      <w:r>
        <w:rPr>
          <w:rFonts w:hint="eastAsia" w:ascii="宋体" w:hAnsi="宋体"/>
          <w:szCs w:val="21"/>
        </w:rPr>
        <w:t>（1）如果采用最低评标价法，</w:t>
      </w:r>
      <w:r>
        <w:rPr>
          <w:rFonts w:hint="eastAsia" w:ascii="宋体" w:hAnsi="宋体"/>
          <w:szCs w:val="21"/>
          <w:lang w:val="en-US" w:eastAsia="zh-CN"/>
        </w:rPr>
        <w:t>满足技术需求的前提下，</w:t>
      </w:r>
      <w:r>
        <w:rPr>
          <w:rFonts w:hint="eastAsia" w:ascii="宋体" w:hAnsi="宋体"/>
          <w:szCs w:val="21"/>
        </w:rPr>
        <w:t>按评审后投标报价经</w:t>
      </w:r>
      <w:r>
        <w:rPr>
          <w:rFonts w:ascii="宋体" w:hAnsi="宋体"/>
          <w:szCs w:val="21"/>
        </w:rPr>
        <w:t>政策功能扣除后</w:t>
      </w:r>
      <w:r>
        <w:rPr>
          <w:rFonts w:hint="eastAsia" w:ascii="宋体" w:hAnsi="宋体"/>
          <w:szCs w:val="21"/>
        </w:rPr>
        <w:t>由低到高顺序排列。</w:t>
      </w:r>
    </w:p>
    <w:p>
      <w:pPr>
        <w:spacing w:line="360" w:lineRule="auto"/>
        <w:ind w:left="901"/>
        <w:rPr>
          <w:rFonts w:hint="eastAsia" w:ascii="宋体" w:hAnsi="宋体"/>
          <w:szCs w:val="21"/>
        </w:rPr>
      </w:pPr>
      <w:r>
        <w:rPr>
          <w:rFonts w:hint="eastAsia" w:ascii="宋体" w:hAnsi="宋体"/>
          <w:szCs w:val="21"/>
        </w:rPr>
        <w:t>（2）如果采用综合评分法，按评审后得分由高到低顺序排列。得分相同的，按投标报价由低到高顺序排列，得分与投标报价均相同的，按技术指标优劣排列。</w:t>
      </w:r>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148" w:name="_Toc520356171"/>
      <w:bookmarkStart w:id="149" w:name="_Toc109736057"/>
      <w:r>
        <w:rPr>
          <w:rFonts w:hint="eastAsia" w:ascii="宋体" w:hAnsi="宋体" w:eastAsia="宋体" w:cs="Times New Roman"/>
          <w:b/>
          <w:bCs/>
          <w:sz w:val="21"/>
          <w:szCs w:val="21"/>
        </w:rPr>
        <w:t>2</w:t>
      </w:r>
      <w:r>
        <w:rPr>
          <w:rFonts w:hint="eastAsia" w:ascii="宋体" w:hAnsi="宋体" w:eastAsia="宋体" w:cs="Times New Roman"/>
          <w:b/>
          <w:bCs/>
          <w:sz w:val="21"/>
          <w:szCs w:val="21"/>
          <w:lang w:val="en-US" w:eastAsia="zh-CN"/>
        </w:rPr>
        <w:t>5</w:t>
      </w:r>
      <w:r>
        <w:rPr>
          <w:rFonts w:hint="eastAsia" w:ascii="宋体" w:hAnsi="宋体" w:eastAsia="宋体" w:cs="Times New Roman"/>
          <w:b/>
          <w:bCs/>
          <w:sz w:val="21"/>
          <w:szCs w:val="21"/>
        </w:rPr>
        <w:t>．</w:t>
      </w:r>
      <w:r>
        <w:rPr>
          <w:rFonts w:hint="eastAsia" w:ascii="宋体" w:hAnsi="宋体" w:eastAsia="宋体" w:cs="Times New Roman"/>
          <w:b/>
          <w:bCs/>
          <w:sz w:val="21"/>
          <w:szCs w:val="21"/>
        </w:rPr>
        <w:tab/>
      </w:r>
      <w:bookmarkEnd w:id="148"/>
      <w:r>
        <w:rPr>
          <w:rFonts w:hint="eastAsia" w:ascii="宋体" w:hAnsi="宋体" w:eastAsia="宋体" w:cs="Times New Roman"/>
          <w:b/>
          <w:bCs/>
          <w:sz w:val="21"/>
          <w:szCs w:val="21"/>
        </w:rPr>
        <w:t>确定中标候选投标人和中标投标人</w:t>
      </w:r>
      <w:bookmarkEnd w:id="149"/>
    </w:p>
    <w:p>
      <w:pPr>
        <w:spacing w:line="360" w:lineRule="auto"/>
        <w:ind w:left="788" w:hanging="787" w:hangingChars="375"/>
        <w:rPr>
          <w:rFonts w:hint="default" w:ascii="宋体" w:hAnsi="宋体" w:eastAsia="宋体"/>
          <w:szCs w:val="21"/>
          <w:lang w:val="en-US" w:eastAsia="zh-CN"/>
        </w:rPr>
      </w:pPr>
      <w:r>
        <w:rPr>
          <w:rFonts w:hint="eastAsia" w:ascii="宋体" w:hAnsi="宋体"/>
          <w:szCs w:val="21"/>
        </w:rPr>
        <w:tab/>
      </w:r>
      <w:r>
        <w:rPr>
          <w:rFonts w:hint="eastAsia" w:ascii="宋体" w:hAnsi="宋体"/>
          <w:szCs w:val="21"/>
        </w:rPr>
        <w:t>评标委员会将根据评标标准，推荐已排序中标候选投标人</w:t>
      </w:r>
      <w:r>
        <w:rPr>
          <w:rFonts w:hint="eastAsia" w:ascii="宋体" w:hAnsi="宋体"/>
          <w:szCs w:val="21"/>
          <w:lang w:val="en-US" w:eastAsia="zh-CN"/>
        </w:rPr>
        <w:t>.提交扬州威克招议标领导小组及总经理办公会审议后定标。</w:t>
      </w:r>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150" w:name="_Ref467306874"/>
      <w:bookmarkStart w:id="151" w:name="_Toc520356173"/>
      <w:bookmarkStart w:id="152" w:name="_Toc109736058"/>
      <w:r>
        <w:rPr>
          <w:rFonts w:hint="eastAsia" w:ascii="宋体" w:hAnsi="宋体" w:eastAsia="宋体" w:cs="Times New Roman"/>
          <w:b/>
          <w:bCs/>
          <w:sz w:val="21"/>
          <w:szCs w:val="21"/>
        </w:rPr>
        <w:t>2</w:t>
      </w:r>
      <w:r>
        <w:rPr>
          <w:rFonts w:hint="eastAsia" w:ascii="宋体" w:hAnsi="宋体" w:eastAsia="宋体" w:cs="Times New Roman"/>
          <w:b/>
          <w:bCs/>
          <w:sz w:val="21"/>
          <w:szCs w:val="21"/>
          <w:lang w:val="en-US" w:eastAsia="zh-CN"/>
        </w:rPr>
        <w:t>6</w:t>
      </w:r>
      <w:r>
        <w:rPr>
          <w:rFonts w:hint="eastAsia" w:ascii="宋体" w:hAnsi="宋体" w:eastAsia="宋体" w:cs="Times New Roman"/>
          <w:b/>
          <w:bCs/>
          <w:sz w:val="21"/>
          <w:szCs w:val="21"/>
        </w:rPr>
        <w:t>.</w:t>
      </w:r>
      <w:r>
        <w:rPr>
          <w:rFonts w:hint="eastAsia" w:ascii="宋体" w:hAnsi="宋体" w:eastAsia="宋体" w:cs="Times New Roman"/>
          <w:b/>
          <w:bCs/>
          <w:sz w:val="21"/>
          <w:szCs w:val="21"/>
        </w:rPr>
        <w:tab/>
      </w:r>
      <w:bookmarkEnd w:id="150"/>
      <w:bookmarkEnd w:id="151"/>
      <w:r>
        <w:rPr>
          <w:rFonts w:hint="eastAsia" w:ascii="宋体" w:hAnsi="宋体" w:eastAsia="宋体" w:cs="Times New Roman"/>
          <w:b/>
          <w:bCs/>
          <w:sz w:val="21"/>
          <w:szCs w:val="21"/>
        </w:rPr>
        <w:t>采购任务取消</w:t>
      </w:r>
      <w:bookmarkEnd w:id="152"/>
    </w:p>
    <w:p>
      <w:pPr>
        <w:spacing w:line="360" w:lineRule="auto"/>
        <w:ind w:left="788" w:hanging="787" w:hangingChars="375"/>
        <w:rPr>
          <w:rFonts w:hint="eastAsia" w:ascii="宋体" w:hAnsi="宋体"/>
          <w:szCs w:val="21"/>
        </w:rPr>
      </w:pPr>
      <w:r>
        <w:rPr>
          <w:rFonts w:hint="eastAsia" w:ascii="宋体" w:hAnsi="宋体"/>
          <w:szCs w:val="21"/>
        </w:rPr>
        <w:tab/>
      </w:r>
      <w:r>
        <w:rPr>
          <w:rFonts w:hint="eastAsia" w:ascii="宋体" w:hAnsi="宋体"/>
          <w:szCs w:val="21"/>
        </w:rPr>
        <w:t>当采购任务取消时，为维护国家和社会公共利益，招标人有权拒绝任何投标人中标，且对受影响的投标人不承担任何责任。</w:t>
      </w:r>
      <w:bookmarkStart w:id="153" w:name="_Toc520356174"/>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154" w:name="_Toc109736059"/>
      <w:r>
        <w:rPr>
          <w:rFonts w:hint="eastAsia" w:ascii="宋体" w:hAnsi="宋体" w:eastAsia="宋体" w:cs="Times New Roman"/>
          <w:b/>
          <w:bCs/>
          <w:sz w:val="21"/>
          <w:szCs w:val="21"/>
        </w:rPr>
        <w:t>2</w:t>
      </w:r>
      <w:r>
        <w:rPr>
          <w:rFonts w:hint="eastAsia" w:ascii="宋体" w:hAnsi="宋体" w:eastAsia="宋体" w:cs="Times New Roman"/>
          <w:b/>
          <w:bCs/>
          <w:sz w:val="21"/>
          <w:szCs w:val="21"/>
          <w:lang w:val="en-US" w:eastAsia="zh-CN"/>
        </w:rPr>
        <w:t>7</w:t>
      </w:r>
      <w:r>
        <w:rPr>
          <w:rFonts w:hint="eastAsia" w:ascii="宋体" w:hAnsi="宋体" w:eastAsia="宋体" w:cs="Times New Roman"/>
          <w:b/>
          <w:bCs/>
          <w:sz w:val="21"/>
          <w:szCs w:val="21"/>
        </w:rPr>
        <w:t>．</w:t>
      </w:r>
      <w:r>
        <w:rPr>
          <w:rFonts w:hint="eastAsia" w:ascii="宋体" w:hAnsi="宋体" w:eastAsia="宋体" w:cs="Times New Roman"/>
          <w:b/>
          <w:bCs/>
          <w:sz w:val="21"/>
          <w:szCs w:val="21"/>
        </w:rPr>
        <w:tab/>
      </w:r>
      <w:r>
        <w:rPr>
          <w:rFonts w:hint="eastAsia" w:ascii="宋体" w:hAnsi="宋体" w:eastAsia="宋体" w:cs="Times New Roman"/>
          <w:b/>
          <w:bCs/>
          <w:sz w:val="21"/>
          <w:szCs w:val="21"/>
        </w:rPr>
        <w:t>中标通知书</w:t>
      </w:r>
      <w:bookmarkEnd w:id="153"/>
      <w:bookmarkEnd w:id="154"/>
    </w:p>
    <w:p>
      <w:pPr>
        <w:spacing w:line="360" w:lineRule="auto"/>
        <w:ind w:left="788" w:hanging="787" w:hangingChars="375"/>
        <w:rPr>
          <w:rFonts w:ascii="宋体" w:hAnsi="宋体"/>
          <w:szCs w:val="21"/>
        </w:rPr>
      </w:pPr>
      <w:r>
        <w:rPr>
          <w:rFonts w:hint="eastAsia" w:ascii="宋体" w:hAnsi="宋体"/>
          <w:szCs w:val="21"/>
          <w:lang w:val="en-US" w:eastAsia="zh-CN"/>
        </w:rPr>
        <w:t>27</w:t>
      </w:r>
      <w:r>
        <w:rPr>
          <w:rFonts w:hint="eastAsia" w:ascii="宋体" w:hAnsi="宋体"/>
          <w:szCs w:val="21"/>
        </w:rPr>
        <w:t>.1</w:t>
      </w:r>
      <w:r>
        <w:rPr>
          <w:rFonts w:hint="eastAsia" w:ascii="宋体" w:hAnsi="宋体"/>
          <w:szCs w:val="21"/>
        </w:rPr>
        <w:tab/>
      </w:r>
      <w:r>
        <w:rPr>
          <w:rFonts w:hint="eastAsia" w:ascii="宋体" w:hAnsi="宋体"/>
          <w:szCs w:val="21"/>
        </w:rPr>
        <w:t>在投标有效期内，中标投标人确定后，招标采购单位以书面形式向中标投标人发出中标通知书。</w:t>
      </w:r>
    </w:p>
    <w:p>
      <w:pPr>
        <w:spacing w:line="360" w:lineRule="auto"/>
        <w:ind w:left="788" w:hanging="787" w:hangingChars="375"/>
        <w:rPr>
          <w:rFonts w:ascii="宋体" w:hAnsi="宋体"/>
          <w:szCs w:val="21"/>
        </w:rPr>
      </w:pPr>
      <w:r>
        <w:rPr>
          <w:rFonts w:hint="eastAsia" w:ascii="宋体" w:hAnsi="宋体"/>
          <w:szCs w:val="21"/>
          <w:lang w:val="en-US" w:eastAsia="zh-CN"/>
        </w:rPr>
        <w:t>27</w:t>
      </w:r>
      <w:r>
        <w:rPr>
          <w:rFonts w:hint="eastAsia" w:ascii="宋体" w:hAnsi="宋体"/>
          <w:szCs w:val="21"/>
        </w:rPr>
        <w:t>.2</w:t>
      </w:r>
      <w:r>
        <w:rPr>
          <w:rFonts w:hint="eastAsia" w:ascii="宋体" w:hAnsi="宋体"/>
          <w:szCs w:val="21"/>
        </w:rPr>
        <w:tab/>
      </w:r>
      <w:r>
        <w:rPr>
          <w:rFonts w:hint="eastAsia" w:ascii="宋体" w:hAnsi="宋体"/>
          <w:szCs w:val="21"/>
        </w:rPr>
        <w:t>中标通知书是合同的组成部分。</w:t>
      </w:r>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155" w:name="_Ref467306377"/>
      <w:bookmarkStart w:id="156" w:name="_Ref467307062"/>
      <w:bookmarkStart w:id="157" w:name="_Toc520356175"/>
      <w:bookmarkStart w:id="158" w:name="_Ref467306978"/>
      <w:bookmarkStart w:id="159" w:name="_Toc109736060"/>
      <w:bookmarkStart w:id="160" w:name="_Ref467307204"/>
      <w:r>
        <w:rPr>
          <w:rFonts w:hint="eastAsia" w:ascii="宋体" w:hAnsi="宋体" w:eastAsia="宋体" w:cs="Times New Roman"/>
          <w:b/>
          <w:bCs/>
          <w:sz w:val="21"/>
          <w:szCs w:val="21"/>
        </w:rPr>
        <w:t>2</w:t>
      </w:r>
      <w:r>
        <w:rPr>
          <w:rFonts w:hint="eastAsia" w:ascii="宋体" w:hAnsi="宋体" w:eastAsia="宋体" w:cs="Times New Roman"/>
          <w:b/>
          <w:bCs/>
          <w:sz w:val="21"/>
          <w:szCs w:val="21"/>
          <w:lang w:val="en-US" w:eastAsia="zh-CN"/>
        </w:rPr>
        <w:t>8</w:t>
      </w:r>
      <w:r>
        <w:rPr>
          <w:rFonts w:hint="eastAsia" w:ascii="宋体" w:hAnsi="宋体" w:eastAsia="宋体" w:cs="Times New Roman"/>
          <w:b/>
          <w:bCs/>
          <w:sz w:val="21"/>
          <w:szCs w:val="21"/>
        </w:rPr>
        <w:t>.</w:t>
      </w:r>
      <w:r>
        <w:rPr>
          <w:rFonts w:hint="eastAsia" w:ascii="宋体" w:hAnsi="宋体" w:eastAsia="宋体" w:cs="Times New Roman"/>
          <w:b/>
          <w:bCs/>
          <w:sz w:val="21"/>
          <w:szCs w:val="21"/>
        </w:rPr>
        <w:tab/>
      </w:r>
      <w:r>
        <w:rPr>
          <w:rFonts w:hint="eastAsia" w:ascii="宋体" w:hAnsi="宋体" w:eastAsia="宋体" w:cs="Times New Roman"/>
          <w:b/>
          <w:bCs/>
          <w:sz w:val="21"/>
          <w:szCs w:val="21"/>
        </w:rPr>
        <w:t xml:space="preserve">    签订合同</w:t>
      </w:r>
      <w:bookmarkEnd w:id="155"/>
      <w:bookmarkEnd w:id="156"/>
      <w:bookmarkEnd w:id="157"/>
      <w:bookmarkEnd w:id="158"/>
      <w:bookmarkEnd w:id="159"/>
      <w:bookmarkEnd w:id="160"/>
    </w:p>
    <w:p>
      <w:pPr>
        <w:spacing w:line="360" w:lineRule="auto"/>
        <w:ind w:left="788" w:hanging="787" w:hangingChars="375"/>
        <w:rPr>
          <w:rFonts w:hint="eastAsia" w:ascii="宋体" w:hAnsi="宋体"/>
          <w:szCs w:val="21"/>
        </w:rPr>
      </w:pPr>
      <w:r>
        <w:rPr>
          <w:rFonts w:hint="eastAsia" w:ascii="宋体" w:hAnsi="宋体"/>
          <w:szCs w:val="21"/>
        </w:rPr>
        <w:t>2</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1</w:t>
      </w:r>
      <w:r>
        <w:rPr>
          <w:rFonts w:hint="eastAsia" w:ascii="宋体" w:hAnsi="宋体"/>
          <w:szCs w:val="21"/>
        </w:rPr>
        <w:tab/>
      </w:r>
      <w:bookmarkStart w:id="161" w:name="_Ref467306425"/>
      <w:bookmarkStart w:id="162" w:name="_Toc520356176"/>
      <w:bookmarkStart w:id="163" w:name="_Ref467307090"/>
      <w:r>
        <w:rPr>
          <w:rFonts w:hint="eastAsia" w:ascii="宋体" w:hAnsi="宋体"/>
          <w:szCs w:val="21"/>
        </w:rPr>
        <w:t>招标文件、中标投标人的投标文件及其澄清文件等，均为签订合同的依据。</w:t>
      </w:r>
    </w:p>
    <w:p>
      <w:pPr>
        <w:spacing w:line="360" w:lineRule="auto"/>
        <w:ind w:left="788" w:hanging="787" w:hangingChars="375"/>
        <w:rPr>
          <w:rFonts w:hint="eastAsia" w:ascii="宋体" w:hAnsi="宋体"/>
          <w:szCs w:val="21"/>
        </w:rPr>
      </w:pPr>
      <w:r>
        <w:rPr>
          <w:rFonts w:hint="eastAsia" w:ascii="宋体" w:hAnsi="宋体"/>
          <w:szCs w:val="21"/>
        </w:rPr>
        <w:t>2</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2</w:t>
      </w:r>
      <w:r>
        <w:rPr>
          <w:rFonts w:hint="eastAsia" w:ascii="宋体" w:hAnsi="宋体"/>
          <w:szCs w:val="21"/>
        </w:rPr>
        <w:t xml:space="preserve">   中</w:t>
      </w:r>
      <w:r>
        <w:rPr>
          <w:rFonts w:ascii="宋体" w:hAnsi="宋体"/>
          <w:szCs w:val="21"/>
        </w:rPr>
        <w:t>标投标人拒绝与招标人签订合同的，招标人可以按照评审报告推荐的中标候选人</w:t>
      </w:r>
      <w:r>
        <w:rPr>
          <w:rFonts w:hint="eastAsia" w:ascii="宋体" w:hAnsi="宋体"/>
          <w:szCs w:val="21"/>
        </w:rPr>
        <w:t>名单</w:t>
      </w:r>
      <w:r>
        <w:rPr>
          <w:rFonts w:ascii="宋体" w:hAnsi="宋体"/>
          <w:szCs w:val="21"/>
        </w:rPr>
        <w:t>排序</w:t>
      </w:r>
      <w:r>
        <w:rPr>
          <w:rFonts w:hint="eastAsia" w:ascii="宋体" w:hAnsi="宋体"/>
          <w:szCs w:val="21"/>
        </w:rPr>
        <w:t>，</w:t>
      </w:r>
      <w:r>
        <w:rPr>
          <w:rFonts w:ascii="宋体" w:hAnsi="宋体"/>
          <w:szCs w:val="21"/>
        </w:rPr>
        <w:t>确定下一</w:t>
      </w:r>
      <w:r>
        <w:rPr>
          <w:rFonts w:hint="eastAsia" w:ascii="宋体" w:hAnsi="宋体"/>
          <w:szCs w:val="21"/>
        </w:rPr>
        <w:t>候选</w:t>
      </w:r>
      <w:r>
        <w:rPr>
          <w:rFonts w:ascii="宋体" w:hAnsi="宋体"/>
          <w:szCs w:val="21"/>
        </w:rPr>
        <w:t>人为中标投标人，也可以重新开展</w:t>
      </w:r>
      <w:r>
        <w:rPr>
          <w:rFonts w:hint="eastAsia" w:ascii="宋体" w:hAnsi="宋体"/>
          <w:szCs w:val="21"/>
        </w:rPr>
        <w:t>招标</w:t>
      </w:r>
      <w:r>
        <w:rPr>
          <w:rFonts w:ascii="宋体" w:hAnsi="宋体"/>
          <w:szCs w:val="21"/>
        </w:rPr>
        <w:t>活动。</w:t>
      </w:r>
    </w:p>
    <w:p>
      <w:pPr>
        <w:spacing w:line="360" w:lineRule="auto"/>
        <w:ind w:left="788" w:hanging="787" w:hangingChars="375"/>
        <w:rPr>
          <w:rFonts w:hint="eastAsia" w:ascii="宋体" w:hAnsi="宋体"/>
          <w:szCs w:val="21"/>
        </w:rPr>
      </w:pPr>
      <w:r>
        <w:rPr>
          <w:rFonts w:hint="eastAsia" w:ascii="宋体" w:hAnsi="宋体"/>
          <w:szCs w:val="21"/>
        </w:rPr>
        <w:t>2</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3</w:t>
      </w:r>
      <w:r>
        <w:rPr>
          <w:rFonts w:hint="eastAsia" w:ascii="宋体" w:hAnsi="宋体"/>
          <w:szCs w:val="21"/>
        </w:rPr>
        <w:t xml:space="preserve">   当出现法规规定的中标无效情形时，招标人可与其他中标投标人或中标候选投标人签订合同，或依法重新招标。</w:t>
      </w:r>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rPr>
      </w:pPr>
      <w:bookmarkStart w:id="164" w:name="_Toc109736061"/>
      <w:r>
        <w:rPr>
          <w:rFonts w:hint="eastAsia" w:ascii="宋体" w:hAnsi="宋体" w:eastAsia="宋体" w:cs="Times New Roman"/>
          <w:b/>
          <w:bCs/>
          <w:sz w:val="21"/>
          <w:szCs w:val="21"/>
          <w:lang w:val="en-US" w:eastAsia="zh-CN"/>
        </w:rPr>
        <w:t>29</w:t>
      </w:r>
      <w:r>
        <w:rPr>
          <w:rFonts w:hint="eastAsia" w:ascii="宋体" w:hAnsi="宋体" w:eastAsia="宋体" w:cs="Times New Roman"/>
          <w:b/>
          <w:bCs/>
          <w:sz w:val="21"/>
          <w:szCs w:val="21"/>
        </w:rPr>
        <w:t xml:space="preserve">． </w:t>
      </w:r>
      <w:r>
        <w:rPr>
          <w:rFonts w:hint="eastAsia" w:ascii="宋体" w:hAnsi="宋体" w:eastAsia="宋体" w:cs="Times New Roman"/>
          <w:b/>
          <w:bCs/>
          <w:sz w:val="21"/>
          <w:szCs w:val="21"/>
        </w:rPr>
        <w:tab/>
      </w:r>
      <w:r>
        <w:rPr>
          <w:rFonts w:hint="eastAsia" w:ascii="宋体" w:hAnsi="宋体" w:eastAsia="宋体" w:cs="Times New Roman"/>
          <w:b/>
          <w:bCs/>
          <w:sz w:val="21"/>
          <w:szCs w:val="21"/>
        </w:rPr>
        <w:t>履约保证金</w:t>
      </w:r>
      <w:bookmarkEnd w:id="161"/>
      <w:bookmarkEnd w:id="162"/>
      <w:bookmarkEnd w:id="163"/>
      <w:bookmarkEnd w:id="164"/>
    </w:p>
    <w:p>
      <w:pPr>
        <w:spacing w:line="360" w:lineRule="auto"/>
        <w:ind w:left="788" w:hanging="787" w:hangingChars="375"/>
        <w:rPr>
          <w:rFonts w:hint="eastAsia" w:ascii="宋体" w:hAnsi="宋体"/>
          <w:szCs w:val="21"/>
        </w:rPr>
      </w:pPr>
      <w:r>
        <w:rPr>
          <w:rFonts w:hint="eastAsia" w:ascii="宋体" w:hAnsi="宋体"/>
          <w:szCs w:val="21"/>
          <w:lang w:val="en-US" w:eastAsia="zh-CN"/>
        </w:rPr>
        <w:t>29</w:t>
      </w:r>
      <w:r>
        <w:rPr>
          <w:rFonts w:hint="eastAsia" w:ascii="宋体" w:hAnsi="宋体"/>
          <w:szCs w:val="21"/>
        </w:rPr>
        <w:t>.1</w:t>
      </w:r>
      <w:r>
        <w:rPr>
          <w:rFonts w:hint="eastAsia" w:ascii="宋体" w:hAnsi="宋体"/>
          <w:szCs w:val="21"/>
        </w:rPr>
        <w:tab/>
      </w:r>
      <w:r>
        <w:rPr>
          <w:rFonts w:hint="eastAsia" w:ascii="宋体" w:hAnsi="宋体"/>
          <w:szCs w:val="21"/>
        </w:rPr>
        <w:t>中标投标人应按照</w:t>
      </w:r>
      <w:r>
        <w:rPr>
          <w:rFonts w:hint="eastAsia" w:ascii="宋体" w:hAnsi="宋体"/>
          <w:szCs w:val="21"/>
          <w:u w:val="single"/>
        </w:rPr>
        <w:t>投标人须知资料表</w:t>
      </w:r>
      <w:r>
        <w:rPr>
          <w:rFonts w:hint="eastAsia" w:ascii="宋体" w:hAnsi="宋体"/>
          <w:szCs w:val="21"/>
        </w:rPr>
        <w:t>规定的金额、形式和时间向招标人缴纳履约保证金（如采用保函形式，格式见本章附件</w:t>
      </w:r>
      <w:r>
        <w:rPr>
          <w:rFonts w:ascii="宋体" w:hAnsi="宋体"/>
          <w:szCs w:val="21"/>
        </w:rPr>
        <w:t>1</w:t>
      </w:r>
      <w:r>
        <w:rPr>
          <w:rFonts w:hint="eastAsia" w:ascii="宋体" w:hAnsi="宋体"/>
          <w:szCs w:val="21"/>
        </w:rPr>
        <w:t>）。</w:t>
      </w:r>
    </w:p>
    <w:p>
      <w:pPr>
        <w:spacing w:line="360" w:lineRule="auto"/>
        <w:ind w:left="788" w:hanging="787" w:hangingChars="375"/>
        <w:rPr>
          <w:rFonts w:hint="eastAsia" w:ascii="宋体" w:hAnsi="宋体"/>
          <w:szCs w:val="21"/>
        </w:rPr>
      </w:pPr>
      <w:r>
        <w:rPr>
          <w:rFonts w:hint="eastAsia" w:ascii="宋体" w:hAnsi="宋体"/>
          <w:szCs w:val="21"/>
          <w:lang w:val="en-US" w:eastAsia="zh-CN"/>
        </w:rPr>
        <w:t>29</w:t>
      </w:r>
      <w:r>
        <w:rPr>
          <w:rFonts w:hint="eastAsia" w:ascii="宋体" w:hAnsi="宋体"/>
          <w:szCs w:val="21"/>
        </w:rPr>
        <w:t>.2</w:t>
      </w:r>
      <w:r>
        <w:rPr>
          <w:rFonts w:hint="eastAsia" w:ascii="宋体" w:hAnsi="宋体"/>
          <w:szCs w:val="21"/>
        </w:rPr>
        <w:tab/>
      </w:r>
      <w:r>
        <w:rPr>
          <w:rFonts w:hint="eastAsia" w:ascii="宋体" w:hAnsi="宋体"/>
          <w:szCs w:val="21"/>
        </w:rPr>
        <w:t>如果中标投标人没有按照</w:t>
      </w:r>
      <w:r>
        <w:rPr>
          <w:rFonts w:hint="eastAsia" w:ascii="宋体" w:hAnsi="宋体"/>
          <w:szCs w:val="21"/>
          <w:lang w:val="en-US" w:eastAsia="zh-CN"/>
        </w:rPr>
        <w:t>招标文件</w:t>
      </w:r>
      <w:r>
        <w:rPr>
          <w:rFonts w:hint="eastAsia" w:ascii="宋体" w:hAnsi="宋体"/>
          <w:szCs w:val="21"/>
        </w:rPr>
        <w:t>规定执行，将视为放弃中标资格，中标投标人的投标保证金将被没收。在此情况下，招标采购单位可选下一个中标候选投标人。</w:t>
      </w:r>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lang w:val="en-US" w:eastAsia="zh-CN"/>
        </w:rPr>
      </w:pPr>
      <w:bookmarkStart w:id="165" w:name="_Toc109736062"/>
      <w:r>
        <w:rPr>
          <w:rFonts w:hint="eastAsia" w:ascii="宋体" w:hAnsi="宋体" w:eastAsia="宋体" w:cs="Times New Roman"/>
          <w:b/>
          <w:bCs/>
          <w:sz w:val="21"/>
          <w:szCs w:val="21"/>
          <w:lang w:val="en-US" w:eastAsia="zh-CN"/>
        </w:rPr>
        <w:t>30.    廉洁自律规定</w:t>
      </w:r>
      <w:bookmarkEnd w:id="165"/>
    </w:p>
    <w:p>
      <w:pPr>
        <w:spacing w:line="360" w:lineRule="auto"/>
        <w:ind w:left="788" w:hanging="787" w:hangingChars="375"/>
        <w:rPr>
          <w:rFonts w:hint="eastAsia" w:ascii="宋体" w:hAnsi="宋体"/>
          <w:szCs w:val="21"/>
        </w:rPr>
      </w:pPr>
      <w:r>
        <w:rPr>
          <w:rFonts w:hint="eastAsia" w:ascii="宋体" w:hAnsi="宋体"/>
          <w:szCs w:val="21"/>
        </w:rPr>
        <w:t>3</w:t>
      </w:r>
      <w:r>
        <w:rPr>
          <w:rFonts w:hint="eastAsia" w:ascii="宋体" w:hAnsi="宋体"/>
          <w:szCs w:val="21"/>
          <w:lang w:val="en-US" w:eastAsia="zh-CN"/>
        </w:rPr>
        <w:t>0</w:t>
      </w:r>
      <w:r>
        <w:rPr>
          <w:rFonts w:hint="eastAsia" w:ascii="宋体" w:hAnsi="宋体"/>
          <w:szCs w:val="21"/>
        </w:rPr>
        <w:t xml:space="preserve">.1 </w:t>
      </w:r>
      <w:r>
        <w:rPr>
          <w:rFonts w:ascii="宋体" w:hAnsi="宋体"/>
          <w:szCs w:val="21"/>
        </w:rPr>
        <w:t xml:space="preserve">  </w:t>
      </w:r>
      <w:r>
        <w:rPr>
          <w:rFonts w:hint="eastAsia" w:ascii="宋体" w:hAnsi="宋体"/>
          <w:szCs w:val="21"/>
        </w:rPr>
        <w:t>招标机构</w:t>
      </w:r>
      <w:r>
        <w:rPr>
          <w:rFonts w:ascii="宋体" w:hAnsi="宋体"/>
          <w:szCs w:val="21"/>
        </w:rPr>
        <w:t>工作人员</w:t>
      </w:r>
      <w:r>
        <w:rPr>
          <w:rFonts w:hint="eastAsia" w:ascii="宋体" w:hAnsi="宋体"/>
          <w:szCs w:val="21"/>
        </w:rPr>
        <w:t>不得以不正当手段获取业务，不得与招标人、投标人恶意串通操纵采购活动。</w:t>
      </w:r>
    </w:p>
    <w:p>
      <w:pPr>
        <w:spacing w:line="360" w:lineRule="auto"/>
        <w:ind w:left="788" w:hanging="787" w:hangingChars="375"/>
        <w:rPr>
          <w:rFonts w:hint="eastAsia" w:ascii="宋体" w:hAnsi="宋体"/>
          <w:szCs w:val="21"/>
        </w:rPr>
      </w:pPr>
      <w:r>
        <w:rPr>
          <w:rFonts w:ascii="宋体" w:hAnsi="宋体"/>
          <w:szCs w:val="21"/>
        </w:rPr>
        <w:t>3</w:t>
      </w:r>
      <w:r>
        <w:rPr>
          <w:rFonts w:hint="eastAsia" w:ascii="宋体" w:hAnsi="宋体"/>
          <w:szCs w:val="21"/>
          <w:lang w:val="en-US" w:eastAsia="zh-CN"/>
        </w:rPr>
        <w:t>0</w:t>
      </w:r>
      <w:r>
        <w:rPr>
          <w:rFonts w:ascii="宋体" w:hAnsi="宋体"/>
          <w:szCs w:val="21"/>
        </w:rPr>
        <w:t xml:space="preserve">.2   </w:t>
      </w:r>
      <w:r>
        <w:rPr>
          <w:rFonts w:hint="eastAsia" w:ascii="宋体" w:hAnsi="宋体"/>
          <w:szCs w:val="21"/>
        </w:rPr>
        <w:t>招标机构工作人员不得接受招标人或者投标人组织的宴请、旅游、娱乐，不得收受礼品、现金、有价证券等，不得向招标人或者投标人报销应当由个人承担的费用。</w:t>
      </w:r>
    </w:p>
    <w:p>
      <w:pPr>
        <w:keepNext/>
        <w:keepLines/>
        <w:widowControl/>
        <w:wordWrap/>
        <w:adjustRightInd/>
        <w:snapToGrid/>
        <w:spacing w:before="0" w:after="0" w:line="360" w:lineRule="auto"/>
        <w:textAlignment w:val="auto"/>
        <w:outlineLvl w:val="9"/>
        <w:rPr>
          <w:rFonts w:hint="eastAsia" w:ascii="宋体" w:hAnsi="宋体" w:eastAsia="宋体" w:cs="Times New Roman"/>
          <w:b/>
          <w:bCs/>
          <w:sz w:val="21"/>
          <w:szCs w:val="21"/>
          <w:lang w:val="en-US" w:eastAsia="zh-CN"/>
        </w:rPr>
      </w:pPr>
      <w:bookmarkStart w:id="166" w:name="_Toc109736063"/>
      <w:r>
        <w:rPr>
          <w:rFonts w:hint="eastAsia" w:ascii="宋体" w:hAnsi="宋体" w:eastAsia="宋体" w:cs="Times New Roman"/>
          <w:b/>
          <w:bCs/>
          <w:sz w:val="21"/>
          <w:szCs w:val="21"/>
          <w:lang w:val="en-US" w:eastAsia="zh-CN"/>
        </w:rPr>
        <w:t>31.    人员回避</w:t>
      </w:r>
      <w:bookmarkEnd w:id="166"/>
    </w:p>
    <w:p>
      <w:pPr>
        <w:spacing w:line="360" w:lineRule="auto"/>
        <w:ind w:left="788" w:hanging="787" w:hangingChars="375"/>
        <w:jc w:val="left"/>
        <w:rPr>
          <w:rFonts w:ascii="宋体" w:hAnsi="宋体"/>
          <w:szCs w:val="21"/>
        </w:rPr>
      </w:pPr>
      <w:r>
        <w:rPr>
          <w:rFonts w:ascii="宋体" w:hAnsi="宋体"/>
          <w:szCs w:val="21"/>
        </w:rPr>
        <w:t xml:space="preserve">       </w:t>
      </w:r>
      <w:r>
        <w:rPr>
          <w:rFonts w:hint="eastAsia" w:ascii="宋体" w:hAnsi="宋体"/>
          <w:szCs w:val="21"/>
        </w:rPr>
        <w:t>投标人</w:t>
      </w:r>
      <w:r>
        <w:rPr>
          <w:rFonts w:ascii="宋体" w:hAnsi="宋体"/>
          <w:szCs w:val="21"/>
        </w:rPr>
        <w:t>认为招标人员</w:t>
      </w:r>
      <w:r>
        <w:rPr>
          <w:rFonts w:hint="eastAsia" w:ascii="宋体" w:hAnsi="宋体"/>
          <w:szCs w:val="21"/>
        </w:rPr>
        <w:t>及其</w:t>
      </w:r>
      <w:r>
        <w:rPr>
          <w:rFonts w:ascii="宋体" w:hAnsi="宋体"/>
          <w:szCs w:val="21"/>
        </w:rPr>
        <w:t>相关人员有</w:t>
      </w:r>
      <w:r>
        <w:rPr>
          <w:rFonts w:hint="eastAsia" w:ascii="宋体" w:hAnsi="宋体"/>
          <w:szCs w:val="21"/>
        </w:rPr>
        <w:t>法律</w:t>
      </w:r>
      <w:r>
        <w:rPr>
          <w:rFonts w:ascii="宋体" w:hAnsi="宋体"/>
          <w:szCs w:val="21"/>
        </w:rPr>
        <w:t>法规所列与其他投标人</w:t>
      </w:r>
      <w:r>
        <w:rPr>
          <w:rFonts w:hint="eastAsia" w:ascii="宋体" w:hAnsi="宋体"/>
          <w:szCs w:val="21"/>
        </w:rPr>
        <w:t>有</w:t>
      </w:r>
      <w:r>
        <w:rPr>
          <w:rFonts w:ascii="宋体" w:hAnsi="宋体"/>
          <w:szCs w:val="21"/>
        </w:rPr>
        <w:t>利害关系的，可以向招标</w:t>
      </w:r>
      <w:r>
        <w:rPr>
          <w:rFonts w:hint="eastAsia" w:ascii="宋体" w:hAnsi="宋体"/>
          <w:szCs w:val="21"/>
        </w:rPr>
        <w:t>采购单位</w:t>
      </w:r>
      <w:r>
        <w:rPr>
          <w:rFonts w:ascii="宋体" w:hAnsi="宋体"/>
          <w:szCs w:val="21"/>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rPr>
      </w:pPr>
      <w:r>
        <w:rPr>
          <w:rFonts w:hint="eastAsia" w:ascii="宋体" w:hAnsi="宋体"/>
          <w:bCs/>
          <w:sz w:val="28"/>
          <w:szCs w:val="28"/>
        </w:rPr>
        <w:br w:type="page"/>
      </w:r>
    </w:p>
    <w:p>
      <w:pPr>
        <w:widowControl w:val="0"/>
        <w:wordWrap/>
        <w:adjustRightInd/>
        <w:snapToGrid/>
        <w:spacing w:line="360" w:lineRule="auto"/>
        <w:ind w:left="0" w:hanging="1054" w:hangingChars="375"/>
        <w:jc w:val="center"/>
        <w:textAlignment w:val="auto"/>
        <w:outlineLvl w:val="0"/>
        <w:rPr>
          <w:rFonts w:hint="eastAsia" w:ascii="宋体" w:hAnsi="宋体"/>
          <w:b/>
          <w:bCs w:val="0"/>
          <w:sz w:val="28"/>
          <w:szCs w:val="28"/>
        </w:rPr>
      </w:pPr>
      <w:bookmarkStart w:id="168" w:name="_Toc11624"/>
      <w:r>
        <w:rPr>
          <w:rFonts w:hint="eastAsia" w:ascii="宋体" w:hAnsi="宋体"/>
          <w:b/>
          <w:bCs w:val="0"/>
          <w:sz w:val="28"/>
          <w:szCs w:val="28"/>
        </w:rPr>
        <w:t>第三章 合同条款</w:t>
      </w:r>
      <w:bookmarkEnd w:id="167"/>
      <w:bookmarkEnd w:id="168"/>
    </w:p>
    <w:p>
      <w:pPr>
        <w:pStyle w:val="3"/>
        <w:rPr>
          <w:rFonts w:hint="eastAsia" w:ascii="宋体" w:hAnsi="宋体" w:eastAsia="宋体"/>
          <w:sz w:val="21"/>
          <w:szCs w:val="21"/>
        </w:rPr>
      </w:pPr>
      <w:bookmarkStart w:id="169" w:name="_Toc11185"/>
      <w:bookmarkStart w:id="170" w:name="_Toc109736065"/>
      <w:r>
        <w:rPr>
          <w:rFonts w:hint="eastAsia" w:ascii="宋体" w:hAnsi="宋体" w:eastAsia="宋体"/>
          <w:sz w:val="21"/>
          <w:szCs w:val="21"/>
        </w:rPr>
        <w:t>一、合同通用条款</w:t>
      </w:r>
      <w:bookmarkEnd w:id="169"/>
      <w:bookmarkEnd w:id="170"/>
    </w:p>
    <w:p>
      <w:pPr>
        <w:outlineLvl w:val="2"/>
        <w:rPr>
          <w:rFonts w:ascii="宋体" w:hAnsi="宋体"/>
          <w:szCs w:val="21"/>
        </w:rPr>
      </w:pPr>
      <w:bookmarkStart w:id="171" w:name="_Toc487900349"/>
      <w:bookmarkStart w:id="172" w:name="_Toc415222497"/>
      <w:bookmarkStart w:id="173" w:name="_Ref467379094"/>
      <w:bookmarkStart w:id="174" w:name="_Ref467378404"/>
      <w:bookmarkStart w:id="175" w:name="_Ref467379101"/>
      <w:bookmarkStart w:id="176" w:name="_Ref467379195"/>
      <w:bookmarkStart w:id="177" w:name="_Ref467379205"/>
      <w:bookmarkStart w:id="178" w:name="_Ref467378499"/>
      <w:bookmarkStart w:id="179" w:name="_Ref467378463"/>
      <w:bookmarkStart w:id="180" w:name="_Ref467379214"/>
      <w:bookmarkStart w:id="181" w:name="_Ref467379225"/>
      <w:bookmarkStart w:id="182" w:name="_Ref467379109"/>
      <w:bookmarkStart w:id="183" w:name="_Toc11182"/>
      <w:bookmarkStart w:id="184" w:name="_Toc31576"/>
      <w:r>
        <w:rPr>
          <w:rFonts w:hint="eastAsia" w:ascii="宋体" w:hAnsi="宋体"/>
          <w:szCs w:val="21"/>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lang w:eastAsia="zh-CN"/>
        </w:rPr>
        <w:t>：</w:t>
      </w:r>
      <w:r>
        <w:rPr>
          <w:rFonts w:hint="eastAsia" w:ascii="宋体" w:hAnsi="宋体"/>
          <w:szCs w:val="21"/>
        </w:rPr>
        <w:t>本合同中的下列术语应解释为：</w:t>
      </w:r>
      <w:bookmarkEnd w:id="183"/>
      <w:bookmarkEnd w:id="184"/>
    </w:p>
    <w:p>
      <w:pPr>
        <w:spacing w:line="360" w:lineRule="auto"/>
        <w:ind w:left="788" w:hanging="787" w:hangingChars="375"/>
        <w:rPr>
          <w:rFonts w:hint="eastAsia" w:ascii="宋体" w:hAnsi="宋体"/>
          <w:szCs w:val="21"/>
        </w:rPr>
      </w:pPr>
      <w:r>
        <w:rPr>
          <w:rFonts w:hint="eastAsia" w:ascii="宋体" w:hAnsi="宋体"/>
          <w:szCs w:val="21"/>
        </w:rPr>
        <w:t xml:space="preserve">1.1   </w:t>
      </w:r>
      <w:r>
        <w:rPr>
          <w:rFonts w:ascii="宋体" w:hAnsi="宋体"/>
          <w:szCs w:val="21"/>
        </w:rPr>
        <w:t>“</w:t>
      </w:r>
      <w:r>
        <w:rPr>
          <w:rFonts w:hint="eastAsia" w:ascii="宋体" w:hAnsi="宋体"/>
          <w:szCs w:val="21"/>
        </w:rPr>
        <w:t>合同”系指买卖双方签署的、合同格式中载明的买卖双方所达成的协议，</w:t>
      </w:r>
      <w:r>
        <w:rPr>
          <w:rFonts w:ascii="宋体" w:hAnsi="宋体"/>
          <w:szCs w:val="21"/>
        </w:rPr>
        <w:t xml:space="preserve"> </w:t>
      </w:r>
      <w:r>
        <w:rPr>
          <w:rFonts w:hint="eastAsia" w:ascii="宋体" w:hAnsi="宋体"/>
          <w:szCs w:val="21"/>
        </w:rPr>
        <w:t>包括所有的附件、附录和构成合同的其它文件。</w:t>
      </w:r>
    </w:p>
    <w:p>
      <w:pPr>
        <w:spacing w:line="360" w:lineRule="auto"/>
        <w:ind w:left="788" w:hanging="787" w:hangingChars="375"/>
        <w:rPr>
          <w:rFonts w:ascii="宋体" w:hAnsi="宋体"/>
          <w:szCs w:val="21"/>
        </w:rPr>
      </w:pPr>
      <w:r>
        <w:rPr>
          <w:rFonts w:hint="eastAsia" w:ascii="宋体" w:hAnsi="宋体"/>
          <w:szCs w:val="21"/>
        </w:rPr>
        <w:t xml:space="preserve">1.2   </w:t>
      </w:r>
      <w:r>
        <w:rPr>
          <w:rFonts w:ascii="宋体" w:hAnsi="宋体"/>
          <w:szCs w:val="21"/>
        </w:rPr>
        <w:t>“</w:t>
      </w:r>
      <w:r>
        <w:rPr>
          <w:rFonts w:hint="eastAsia" w:ascii="宋体" w:hAnsi="宋体"/>
          <w:szCs w:val="21"/>
        </w:rPr>
        <w:t>合同价”系指根据合同约定，卖方在完全履行合同义务后买方应付给卖方的价格。</w:t>
      </w:r>
    </w:p>
    <w:p>
      <w:pPr>
        <w:spacing w:line="360" w:lineRule="auto"/>
        <w:ind w:left="788" w:hanging="787" w:hangingChars="375"/>
        <w:rPr>
          <w:rFonts w:ascii="宋体" w:hAnsi="宋体"/>
          <w:szCs w:val="21"/>
        </w:rPr>
      </w:pPr>
      <w:r>
        <w:rPr>
          <w:rFonts w:hint="eastAsia" w:ascii="宋体" w:hAnsi="宋体"/>
          <w:szCs w:val="21"/>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rPr>
      </w:pPr>
      <w:r>
        <w:rPr>
          <w:rFonts w:hint="eastAsia" w:ascii="宋体" w:hAnsi="宋体"/>
          <w:szCs w:val="21"/>
        </w:rPr>
        <w:t xml:space="preserve">1.4   </w:t>
      </w:r>
      <w:r>
        <w:rPr>
          <w:rFonts w:ascii="宋体" w:hAnsi="宋体"/>
          <w:szCs w:val="21"/>
        </w:rPr>
        <w:t>“</w:t>
      </w:r>
      <w:r>
        <w:rPr>
          <w:rFonts w:hint="eastAsia" w:ascii="宋体" w:hAnsi="宋体"/>
          <w:szCs w:val="21"/>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rPr>
      </w:pPr>
      <w:bookmarkStart w:id="185" w:name="_Ref467378840"/>
      <w:r>
        <w:rPr>
          <w:rFonts w:hint="eastAsia" w:ascii="宋体" w:hAnsi="宋体"/>
          <w:szCs w:val="21"/>
        </w:rPr>
        <w:t xml:space="preserve">1.5   </w:t>
      </w:r>
      <w:r>
        <w:rPr>
          <w:rFonts w:ascii="宋体" w:hAnsi="宋体"/>
          <w:szCs w:val="21"/>
        </w:rPr>
        <w:t>“</w:t>
      </w:r>
      <w:r>
        <w:rPr>
          <w:rFonts w:hint="eastAsia" w:ascii="宋体" w:hAnsi="宋体"/>
          <w:szCs w:val="21"/>
        </w:rPr>
        <w:t>买方”系指与中标投标人签署供货合同的单位（含最终用户）。</w:t>
      </w:r>
      <w:bookmarkEnd w:id="185"/>
    </w:p>
    <w:p>
      <w:pPr>
        <w:spacing w:line="360" w:lineRule="auto"/>
        <w:ind w:left="788" w:hanging="787" w:hangingChars="375"/>
        <w:rPr>
          <w:rFonts w:ascii="宋体" w:hAnsi="宋体"/>
          <w:szCs w:val="21"/>
        </w:rPr>
      </w:pPr>
      <w:bookmarkStart w:id="186" w:name="_Ref467379400"/>
      <w:r>
        <w:rPr>
          <w:rFonts w:hint="eastAsia" w:ascii="宋体" w:hAnsi="宋体"/>
          <w:szCs w:val="21"/>
        </w:rPr>
        <w:t xml:space="preserve">1.6   </w:t>
      </w:r>
      <w:r>
        <w:rPr>
          <w:rFonts w:ascii="宋体" w:hAnsi="宋体"/>
          <w:szCs w:val="21"/>
        </w:rPr>
        <w:t>“</w:t>
      </w:r>
      <w:r>
        <w:rPr>
          <w:rFonts w:hint="eastAsia" w:ascii="宋体" w:hAnsi="宋体"/>
          <w:szCs w:val="21"/>
        </w:rPr>
        <w:t>卖方”系指根据合同约定提供货物及相关服务的中标投标人。</w:t>
      </w:r>
      <w:bookmarkEnd w:id="186"/>
    </w:p>
    <w:p>
      <w:pPr>
        <w:spacing w:line="360" w:lineRule="auto"/>
        <w:ind w:left="788" w:hanging="787" w:hangingChars="375"/>
        <w:rPr>
          <w:rFonts w:ascii="宋体" w:hAnsi="宋体"/>
          <w:szCs w:val="21"/>
        </w:rPr>
      </w:pPr>
      <w:bookmarkStart w:id="187" w:name="_Ref467379436"/>
      <w:r>
        <w:rPr>
          <w:rFonts w:hint="eastAsia" w:ascii="宋体" w:hAnsi="宋体"/>
          <w:szCs w:val="21"/>
        </w:rPr>
        <w:t xml:space="preserve">1.7   </w:t>
      </w:r>
      <w:r>
        <w:rPr>
          <w:rFonts w:ascii="宋体" w:hAnsi="宋体"/>
          <w:szCs w:val="21"/>
        </w:rPr>
        <w:t>“</w:t>
      </w:r>
      <w:r>
        <w:rPr>
          <w:rFonts w:hint="eastAsia" w:ascii="宋体" w:hAnsi="宋体"/>
          <w:szCs w:val="21"/>
        </w:rPr>
        <w:t>现场”系指合同约定货物将要运至和安装的地点。</w:t>
      </w:r>
      <w:bookmarkEnd w:id="187"/>
    </w:p>
    <w:p>
      <w:pPr>
        <w:spacing w:line="360" w:lineRule="auto"/>
        <w:ind w:left="788" w:hanging="787" w:hangingChars="375"/>
        <w:rPr>
          <w:rFonts w:ascii="宋体" w:hAnsi="宋体"/>
          <w:szCs w:val="21"/>
        </w:rPr>
      </w:pPr>
      <w:r>
        <w:rPr>
          <w:rFonts w:hint="eastAsia" w:ascii="宋体" w:hAnsi="宋体"/>
          <w:szCs w:val="21"/>
        </w:rPr>
        <w:t xml:space="preserve">1.8   </w:t>
      </w:r>
      <w:r>
        <w:rPr>
          <w:rFonts w:ascii="宋体" w:hAnsi="宋体"/>
          <w:szCs w:val="21"/>
        </w:rPr>
        <w:t>“</w:t>
      </w:r>
      <w:r>
        <w:rPr>
          <w:rFonts w:hint="eastAsia" w:ascii="宋体" w:hAnsi="宋体"/>
          <w:szCs w:val="21"/>
        </w:rPr>
        <w:t>验收”系指合同双方依据强制性的国家技术质量规范和合同约定，确认合同项下的货物符合合同规定的活动。</w:t>
      </w:r>
    </w:p>
    <w:p>
      <w:pPr>
        <w:outlineLvl w:val="2"/>
        <w:rPr>
          <w:rFonts w:ascii="宋体" w:hAnsi="宋体"/>
          <w:szCs w:val="21"/>
        </w:rPr>
      </w:pPr>
      <w:bookmarkStart w:id="188" w:name="_Toc415222498"/>
      <w:bookmarkStart w:id="189" w:name="_Toc10889"/>
      <w:bookmarkStart w:id="190" w:name="_Toc487900350"/>
      <w:bookmarkStart w:id="191" w:name="_Toc31740"/>
      <w:r>
        <w:rPr>
          <w:rFonts w:hint="eastAsia" w:ascii="宋体" w:hAnsi="宋体"/>
          <w:szCs w:val="21"/>
        </w:rPr>
        <w:t>2     技术规范</w:t>
      </w:r>
      <w:bookmarkEnd w:id="188"/>
      <w:bookmarkEnd w:id="189"/>
      <w:bookmarkEnd w:id="190"/>
      <w:bookmarkEnd w:id="191"/>
    </w:p>
    <w:p>
      <w:pPr>
        <w:spacing w:line="360" w:lineRule="auto"/>
        <w:ind w:left="630" w:hanging="630" w:hangingChars="300"/>
        <w:rPr>
          <w:rFonts w:ascii="宋体" w:hAnsi="宋体"/>
          <w:szCs w:val="21"/>
        </w:rPr>
      </w:pPr>
      <w:r>
        <w:rPr>
          <w:rFonts w:hint="eastAsia" w:ascii="宋体" w:hAnsi="宋体"/>
          <w:szCs w:val="21"/>
        </w:rPr>
        <w:t>2.1   提交货物的技术规范应与招标文件规定的技术规范和技术规范附件</w:t>
      </w:r>
      <w:r>
        <w:rPr>
          <w:rFonts w:ascii="宋体" w:hAnsi="宋体"/>
          <w:szCs w:val="21"/>
        </w:rPr>
        <w:t>(</w:t>
      </w:r>
      <w:r>
        <w:rPr>
          <w:rFonts w:hint="eastAsia" w:ascii="宋体" w:hAnsi="宋体"/>
          <w:szCs w:val="21"/>
        </w:rPr>
        <w:t>如果有的话</w:t>
      </w:r>
      <w:r>
        <w:rPr>
          <w:rFonts w:ascii="宋体" w:hAnsi="宋体"/>
          <w:szCs w:val="21"/>
        </w:rPr>
        <w:t>)</w:t>
      </w:r>
      <w:r>
        <w:rPr>
          <w:rFonts w:hint="eastAsia" w:ascii="宋体" w:hAnsi="宋体"/>
          <w:szCs w:val="21"/>
        </w:rPr>
        <w:t>及其投标文件的技术规范偏差表</w:t>
      </w:r>
      <w:r>
        <w:rPr>
          <w:rFonts w:ascii="宋体" w:hAnsi="宋体"/>
          <w:szCs w:val="21"/>
        </w:rPr>
        <w:t>(</w:t>
      </w:r>
      <w:r>
        <w:rPr>
          <w:rFonts w:hint="eastAsia" w:ascii="宋体" w:hAnsi="宋体"/>
          <w:szCs w:val="21"/>
        </w:rPr>
        <w:t>如果被买方接受的话</w:t>
      </w:r>
      <w:r>
        <w:rPr>
          <w:rFonts w:ascii="宋体" w:hAnsi="宋体"/>
          <w:szCs w:val="21"/>
        </w:rPr>
        <w:t>)</w:t>
      </w:r>
      <w:r>
        <w:rPr>
          <w:rFonts w:hint="eastAsia" w:ascii="宋体" w:hAnsi="宋体"/>
          <w:szCs w:val="21"/>
        </w:rPr>
        <w:t>相一致。若技术规范中无相应说明，则以国家有关部门最新颁布的相应标准及规范为准。</w:t>
      </w:r>
    </w:p>
    <w:p>
      <w:pPr>
        <w:outlineLvl w:val="2"/>
        <w:rPr>
          <w:rFonts w:ascii="宋体" w:hAnsi="宋体"/>
          <w:szCs w:val="21"/>
        </w:rPr>
      </w:pPr>
      <w:bookmarkStart w:id="192" w:name="_Toc2425"/>
      <w:bookmarkStart w:id="193" w:name="_Toc487900351"/>
      <w:bookmarkStart w:id="194" w:name="_Toc10492"/>
      <w:bookmarkStart w:id="195" w:name="_Toc415222499"/>
      <w:r>
        <w:rPr>
          <w:rFonts w:hint="eastAsia" w:ascii="宋体" w:hAnsi="宋体"/>
          <w:szCs w:val="21"/>
        </w:rPr>
        <w:t>3．   知识产权</w:t>
      </w:r>
      <w:bookmarkEnd w:id="192"/>
      <w:bookmarkEnd w:id="193"/>
      <w:bookmarkEnd w:id="194"/>
      <w:bookmarkEnd w:id="195"/>
    </w:p>
    <w:p>
      <w:pPr>
        <w:spacing w:line="360" w:lineRule="auto"/>
        <w:ind w:left="630" w:hanging="630" w:hangingChars="300"/>
        <w:rPr>
          <w:rFonts w:ascii="宋体" w:hAnsi="宋体"/>
          <w:szCs w:val="21"/>
        </w:rPr>
      </w:pPr>
      <w:r>
        <w:rPr>
          <w:rFonts w:hint="eastAsia" w:ascii="宋体" w:hAnsi="宋体"/>
          <w:szCs w:val="21"/>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rPr>
      </w:pPr>
      <w:bookmarkStart w:id="196" w:name="_Toc18031"/>
      <w:bookmarkStart w:id="197" w:name="_Toc4693"/>
      <w:bookmarkStart w:id="198" w:name="_Toc487900352"/>
      <w:bookmarkStart w:id="199" w:name="_Toc415222500"/>
      <w:r>
        <w:rPr>
          <w:rFonts w:hint="eastAsia" w:ascii="宋体" w:hAnsi="宋体"/>
          <w:szCs w:val="21"/>
        </w:rPr>
        <w:t>4．   包装要求</w:t>
      </w:r>
      <w:bookmarkEnd w:id="196"/>
      <w:bookmarkEnd w:id="197"/>
      <w:bookmarkEnd w:id="198"/>
      <w:bookmarkEnd w:id="199"/>
    </w:p>
    <w:p>
      <w:pPr>
        <w:spacing w:line="360" w:lineRule="auto"/>
        <w:ind w:left="630" w:hanging="630" w:hangingChars="300"/>
        <w:rPr>
          <w:rFonts w:ascii="宋体" w:hAnsi="宋体"/>
          <w:szCs w:val="21"/>
        </w:rPr>
      </w:pPr>
      <w:r>
        <w:rPr>
          <w:rFonts w:hint="eastAsia" w:ascii="宋体" w:hAnsi="宋体"/>
          <w:szCs w:val="21"/>
        </w:rPr>
        <w:t>4.1   除合同另有约定外</w:t>
      </w:r>
      <w:r>
        <w:rPr>
          <w:rFonts w:ascii="宋体" w:hAnsi="宋体"/>
          <w:szCs w:val="21"/>
        </w:rPr>
        <w:t>,</w:t>
      </w:r>
      <w:r>
        <w:rPr>
          <w:rFonts w:hint="eastAsia" w:ascii="宋体" w:hAnsi="宋体"/>
          <w:szCs w:val="21"/>
        </w:rPr>
        <w:t>卖方提供的全部货物</w:t>
      </w:r>
      <w:r>
        <w:rPr>
          <w:rFonts w:ascii="宋体" w:hAnsi="宋体"/>
          <w:szCs w:val="21"/>
        </w:rPr>
        <w:t>,</w:t>
      </w:r>
      <w:r>
        <w:rPr>
          <w:rFonts w:hint="eastAsia" w:ascii="宋体" w:hAnsi="宋体"/>
          <w:szCs w:val="21"/>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rPr>
      </w:pPr>
      <w:r>
        <w:rPr>
          <w:rFonts w:hint="eastAsia" w:ascii="宋体" w:hAnsi="宋体"/>
          <w:szCs w:val="21"/>
        </w:rPr>
        <w:t>4.2   每件包装箱内应附一份详细装箱单和质量合格证。</w:t>
      </w:r>
    </w:p>
    <w:p>
      <w:pPr>
        <w:outlineLvl w:val="2"/>
        <w:rPr>
          <w:rFonts w:ascii="宋体" w:hAnsi="宋体"/>
          <w:szCs w:val="21"/>
        </w:rPr>
      </w:pPr>
      <w:bookmarkStart w:id="200" w:name="_Toc1323"/>
      <w:bookmarkStart w:id="201" w:name="_Toc415222501"/>
      <w:bookmarkStart w:id="202" w:name="_Toc487900353"/>
      <w:bookmarkStart w:id="203" w:name="_Toc17967"/>
      <w:r>
        <w:rPr>
          <w:rFonts w:hint="eastAsia" w:ascii="宋体" w:hAnsi="宋体"/>
          <w:szCs w:val="21"/>
        </w:rPr>
        <w:t>5．  装运标志</w:t>
      </w:r>
      <w:bookmarkEnd w:id="200"/>
      <w:bookmarkEnd w:id="201"/>
      <w:bookmarkEnd w:id="202"/>
      <w:bookmarkEnd w:id="203"/>
    </w:p>
    <w:p>
      <w:pPr>
        <w:spacing w:line="360" w:lineRule="auto"/>
        <w:ind w:left="788" w:hanging="787" w:hangingChars="375"/>
        <w:rPr>
          <w:rFonts w:ascii="宋体" w:hAnsi="宋体"/>
          <w:szCs w:val="21"/>
        </w:rPr>
      </w:pPr>
      <w:r>
        <w:rPr>
          <w:rFonts w:hint="eastAsia" w:ascii="宋体" w:hAnsi="宋体"/>
          <w:szCs w:val="21"/>
        </w:rPr>
        <w:t>5.1  卖方应在每一包装箱的四侧用不褪色的油漆以醒目的中文字样做出下列标记：</w:t>
      </w:r>
    </w:p>
    <w:p>
      <w:pPr>
        <w:spacing w:line="360" w:lineRule="auto"/>
        <w:ind w:left="1026" w:leftChars="314" w:hanging="367" w:hangingChars="175"/>
        <w:rPr>
          <w:rFonts w:ascii="宋体" w:hAnsi="宋体"/>
          <w:szCs w:val="21"/>
        </w:rPr>
      </w:pPr>
      <w:r>
        <w:rPr>
          <w:rFonts w:hint="eastAsia" w:ascii="宋体" w:hAnsi="宋体"/>
          <w:szCs w:val="21"/>
        </w:rPr>
        <w:t>收货人：</w:t>
      </w:r>
      <w:r>
        <w:rPr>
          <w:rFonts w:ascii="宋体" w:hAnsi="宋体"/>
          <w:szCs w:val="21"/>
          <w:u w:val="single"/>
        </w:rPr>
        <w:t xml:space="preserve">                                   </w:t>
      </w:r>
    </w:p>
    <w:p>
      <w:pPr>
        <w:spacing w:line="360" w:lineRule="auto"/>
        <w:ind w:left="1026" w:leftChars="314" w:hanging="367" w:hangingChars="175"/>
        <w:rPr>
          <w:rFonts w:ascii="宋体" w:hAnsi="宋体"/>
          <w:szCs w:val="21"/>
        </w:rPr>
      </w:pPr>
      <w:r>
        <w:rPr>
          <w:rFonts w:hint="eastAsia" w:ascii="宋体" w:hAnsi="宋体"/>
          <w:szCs w:val="21"/>
        </w:rPr>
        <w:t>合同号：</w:t>
      </w:r>
      <w:r>
        <w:rPr>
          <w:rFonts w:ascii="宋体" w:hAnsi="宋体"/>
          <w:szCs w:val="21"/>
          <w:u w:val="single"/>
        </w:rPr>
        <w:t xml:space="preserve">                                   </w:t>
      </w:r>
    </w:p>
    <w:p>
      <w:pPr>
        <w:spacing w:line="360" w:lineRule="auto"/>
        <w:ind w:left="1026" w:leftChars="314" w:hanging="367" w:hangingChars="175"/>
        <w:rPr>
          <w:rFonts w:ascii="宋体" w:hAnsi="宋体"/>
          <w:szCs w:val="21"/>
        </w:rPr>
      </w:pPr>
      <w:r>
        <w:rPr>
          <w:rFonts w:hint="eastAsia" w:ascii="宋体" w:hAnsi="宋体"/>
          <w:szCs w:val="21"/>
        </w:rPr>
        <w:t>装运标志：</w:t>
      </w:r>
      <w:r>
        <w:rPr>
          <w:rFonts w:ascii="宋体" w:hAnsi="宋体"/>
          <w:szCs w:val="21"/>
          <w:u w:val="single"/>
        </w:rPr>
        <w:t xml:space="preserve">                                 </w:t>
      </w:r>
    </w:p>
    <w:p>
      <w:pPr>
        <w:spacing w:line="360" w:lineRule="auto"/>
        <w:ind w:left="1026" w:leftChars="314" w:hanging="367" w:hangingChars="175"/>
        <w:rPr>
          <w:rFonts w:ascii="宋体" w:hAnsi="宋体"/>
          <w:szCs w:val="21"/>
        </w:rPr>
      </w:pPr>
      <w:r>
        <w:rPr>
          <w:rFonts w:hint="eastAsia" w:ascii="宋体" w:hAnsi="宋体"/>
          <w:szCs w:val="21"/>
        </w:rPr>
        <w:t>收货人代号：</w:t>
      </w:r>
      <w:r>
        <w:rPr>
          <w:rFonts w:ascii="宋体" w:hAnsi="宋体"/>
          <w:szCs w:val="21"/>
          <w:u w:val="single"/>
        </w:rPr>
        <w:t xml:space="preserve">                               </w:t>
      </w:r>
    </w:p>
    <w:p>
      <w:pPr>
        <w:spacing w:line="360" w:lineRule="auto"/>
        <w:ind w:left="1026" w:leftChars="314" w:hanging="367" w:hangingChars="175"/>
        <w:rPr>
          <w:rFonts w:ascii="宋体" w:hAnsi="宋体"/>
          <w:szCs w:val="21"/>
        </w:rPr>
      </w:pPr>
      <w:r>
        <w:rPr>
          <w:rFonts w:hint="eastAsia" w:ascii="宋体" w:hAnsi="宋体"/>
          <w:szCs w:val="21"/>
        </w:rPr>
        <w:t>目的地：</w:t>
      </w:r>
      <w:r>
        <w:rPr>
          <w:rFonts w:ascii="宋体" w:hAnsi="宋体"/>
          <w:szCs w:val="21"/>
          <w:u w:val="single"/>
        </w:rPr>
        <w:t xml:space="preserve">                                   </w:t>
      </w:r>
    </w:p>
    <w:p>
      <w:pPr>
        <w:spacing w:line="360" w:lineRule="auto"/>
        <w:ind w:left="1026" w:leftChars="314" w:hanging="367" w:hangingChars="175"/>
        <w:rPr>
          <w:rFonts w:ascii="宋体" w:hAnsi="宋体"/>
          <w:szCs w:val="21"/>
        </w:rPr>
      </w:pPr>
      <w:r>
        <w:rPr>
          <w:rFonts w:hint="eastAsia" w:ascii="宋体" w:hAnsi="宋体"/>
          <w:szCs w:val="21"/>
        </w:rPr>
        <w:t>货物名称、品目号和箱号：</w:t>
      </w:r>
      <w:r>
        <w:rPr>
          <w:rFonts w:ascii="宋体" w:hAnsi="宋体"/>
          <w:szCs w:val="21"/>
          <w:u w:val="single"/>
        </w:rPr>
        <w:t xml:space="preserve">                   </w:t>
      </w:r>
    </w:p>
    <w:p>
      <w:pPr>
        <w:spacing w:line="360" w:lineRule="auto"/>
        <w:ind w:left="1026" w:leftChars="314" w:hanging="367" w:hangingChars="175"/>
        <w:rPr>
          <w:rFonts w:ascii="宋体" w:hAnsi="宋体"/>
          <w:szCs w:val="21"/>
        </w:rPr>
      </w:pPr>
      <w:r>
        <w:rPr>
          <w:rFonts w:hint="eastAsia" w:ascii="宋体" w:hAnsi="宋体"/>
          <w:szCs w:val="21"/>
        </w:rPr>
        <w:t>毛重／净重：</w:t>
      </w:r>
      <w:r>
        <w:rPr>
          <w:rFonts w:ascii="宋体" w:hAnsi="宋体"/>
          <w:szCs w:val="21"/>
          <w:u w:val="single"/>
        </w:rPr>
        <w:t xml:space="preserve">                               </w:t>
      </w:r>
    </w:p>
    <w:p>
      <w:pPr>
        <w:spacing w:line="360" w:lineRule="auto"/>
        <w:ind w:left="1026" w:leftChars="314" w:hanging="367" w:hangingChars="175"/>
        <w:rPr>
          <w:rFonts w:ascii="宋体" w:hAnsi="宋体"/>
          <w:szCs w:val="21"/>
        </w:rPr>
      </w:pPr>
      <w:r>
        <w:rPr>
          <w:rFonts w:hint="eastAsia" w:ascii="宋体" w:hAnsi="宋体"/>
          <w:szCs w:val="21"/>
        </w:rPr>
        <w:t>尺寸</w:t>
      </w:r>
      <w:r>
        <w:rPr>
          <w:rFonts w:ascii="宋体" w:hAnsi="宋体"/>
          <w:szCs w:val="21"/>
        </w:rPr>
        <w:t>(</w:t>
      </w:r>
      <w:r>
        <w:rPr>
          <w:rFonts w:hint="eastAsia" w:ascii="宋体" w:hAnsi="宋体"/>
          <w:szCs w:val="21"/>
        </w:rPr>
        <w:t>长×宽×高以厘米计</w:t>
      </w:r>
      <w:r>
        <w:rPr>
          <w:rFonts w:ascii="宋体" w:hAnsi="宋体"/>
          <w:szCs w:val="21"/>
        </w:rPr>
        <w:t>)</w:t>
      </w:r>
      <w:r>
        <w:rPr>
          <w:rFonts w:hint="eastAsia" w:ascii="宋体" w:hAnsi="宋体"/>
          <w:szCs w:val="21"/>
        </w:rPr>
        <w:t>：</w:t>
      </w:r>
      <w:r>
        <w:rPr>
          <w:rFonts w:ascii="宋体" w:hAnsi="宋体"/>
          <w:szCs w:val="21"/>
          <w:u w:val="single"/>
        </w:rPr>
        <w:t xml:space="preserve">                 </w:t>
      </w:r>
    </w:p>
    <w:p>
      <w:pPr>
        <w:spacing w:line="360" w:lineRule="auto"/>
        <w:ind w:left="473" w:hanging="472" w:hangingChars="225"/>
        <w:rPr>
          <w:rFonts w:ascii="宋体" w:hAnsi="宋体"/>
          <w:szCs w:val="21"/>
        </w:rPr>
      </w:pPr>
      <w:r>
        <w:rPr>
          <w:rFonts w:hint="eastAsia" w:ascii="宋体" w:hAnsi="宋体"/>
          <w:szCs w:val="21"/>
        </w:rPr>
        <w:t>5.2  如果货物单件重量在</w:t>
      </w:r>
      <w:r>
        <w:rPr>
          <w:rFonts w:ascii="宋体" w:hAnsi="宋体"/>
          <w:szCs w:val="21"/>
        </w:rPr>
        <w:t>2</w:t>
      </w:r>
      <w:r>
        <w:rPr>
          <w:rFonts w:hint="eastAsia" w:ascii="宋体" w:hAnsi="宋体"/>
          <w:szCs w:val="21"/>
        </w:rPr>
        <w:t>吨或</w:t>
      </w:r>
      <w:r>
        <w:rPr>
          <w:rFonts w:ascii="宋体" w:hAnsi="宋体"/>
          <w:szCs w:val="21"/>
        </w:rPr>
        <w:t>2</w:t>
      </w:r>
      <w:r>
        <w:rPr>
          <w:rFonts w:hint="eastAsia" w:ascii="宋体" w:hAnsi="宋体"/>
          <w:szCs w:val="21"/>
        </w:rPr>
        <w:t>吨以上，卖方应在每件包装箱的两侧用中文和适当的运输标记，标明“重心”和“吊装点”，以便装卸和搬运。根据货物的特点和运输的不同要求，</w:t>
      </w:r>
      <w:r>
        <w:rPr>
          <w:rFonts w:ascii="宋体" w:hAnsi="宋体"/>
          <w:szCs w:val="21"/>
        </w:rPr>
        <w:t xml:space="preserve"> </w:t>
      </w:r>
      <w:r>
        <w:rPr>
          <w:rFonts w:hint="eastAsia" w:ascii="宋体" w:hAnsi="宋体"/>
          <w:szCs w:val="21"/>
        </w:rPr>
        <w:t>卖方应在包装箱上清楚地标有“小心轻放”、“防潮”、</w:t>
      </w:r>
      <w:r>
        <w:rPr>
          <w:rFonts w:ascii="宋体" w:hAnsi="宋体"/>
          <w:szCs w:val="21"/>
        </w:rPr>
        <w:t xml:space="preserve"> “</w:t>
      </w:r>
      <w:r>
        <w:rPr>
          <w:rFonts w:hint="eastAsia" w:ascii="宋体" w:hAnsi="宋体"/>
          <w:szCs w:val="21"/>
        </w:rPr>
        <w:t>勿倒置”等字样和其他适当的标志。</w:t>
      </w:r>
    </w:p>
    <w:p>
      <w:pPr>
        <w:outlineLvl w:val="2"/>
        <w:rPr>
          <w:rFonts w:ascii="宋体" w:hAnsi="宋体"/>
          <w:szCs w:val="21"/>
        </w:rPr>
      </w:pPr>
      <w:bookmarkStart w:id="204" w:name="_Toc415222502"/>
      <w:bookmarkStart w:id="205" w:name="_Toc11864"/>
      <w:bookmarkStart w:id="206" w:name="_Ref467379536"/>
      <w:bookmarkStart w:id="207" w:name="_Ref467379527"/>
      <w:bookmarkStart w:id="208" w:name="_Ref467379542"/>
      <w:bookmarkStart w:id="209" w:name="_Toc18715"/>
      <w:bookmarkStart w:id="210" w:name="_Toc487900354"/>
      <w:bookmarkStart w:id="211" w:name="_Ref467378591"/>
      <w:bookmarkStart w:id="212" w:name="_Ref467378541"/>
      <w:r>
        <w:rPr>
          <w:rFonts w:hint="eastAsia" w:ascii="宋体" w:hAnsi="宋体"/>
          <w:szCs w:val="21"/>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rPr>
      </w:pPr>
      <w:bookmarkStart w:id="213" w:name="_Ref467379657"/>
      <w:r>
        <w:rPr>
          <w:rFonts w:hint="eastAsia" w:ascii="宋体" w:hAnsi="宋体"/>
          <w:szCs w:val="21"/>
        </w:rPr>
        <w:t>6.1   交货方式一般为下列其中一种，具体在合同专用条款中规定。</w:t>
      </w:r>
      <w:bookmarkEnd w:id="213"/>
    </w:p>
    <w:p>
      <w:pPr>
        <w:spacing w:line="360" w:lineRule="auto"/>
        <w:ind w:left="630" w:hanging="630" w:hangingChars="300"/>
        <w:rPr>
          <w:rFonts w:ascii="宋体" w:hAnsi="宋体"/>
          <w:szCs w:val="21"/>
        </w:rPr>
      </w:pPr>
      <w:r>
        <w:rPr>
          <w:rFonts w:hint="eastAsia" w:ascii="宋体" w:hAnsi="宋体"/>
          <w:szCs w:val="21"/>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rPr>
      </w:pPr>
      <w:r>
        <w:rPr>
          <w:rFonts w:hint="eastAsia" w:ascii="宋体" w:hAnsi="宋体"/>
          <w:szCs w:val="21"/>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rPr>
      </w:pPr>
      <w:r>
        <w:rPr>
          <w:rFonts w:hint="eastAsia" w:ascii="宋体" w:hAnsi="宋体"/>
          <w:szCs w:val="21"/>
        </w:rPr>
        <w:t>6.1.3 买方自提货物：由买方在合同规定地点自行办理提货。提单日期为交货日期。</w:t>
      </w:r>
    </w:p>
    <w:p>
      <w:pPr>
        <w:spacing w:line="360" w:lineRule="auto"/>
        <w:ind w:left="630" w:hanging="630" w:hangingChars="300"/>
        <w:rPr>
          <w:rFonts w:ascii="宋体" w:hAnsi="宋体"/>
          <w:szCs w:val="21"/>
        </w:rPr>
      </w:pPr>
      <w:r>
        <w:rPr>
          <w:rFonts w:hint="eastAsia" w:ascii="宋体" w:hAnsi="宋体"/>
          <w:szCs w:val="21"/>
        </w:rPr>
        <w:t>6.2   卖方应在合同专用条款规定时间以电报或传真形式将合同号、货物名称、数量、包装箱件数、总毛重、总体积</w:t>
      </w:r>
      <w:r>
        <w:rPr>
          <w:rFonts w:ascii="宋体" w:hAnsi="宋体"/>
          <w:szCs w:val="21"/>
        </w:rPr>
        <w:t>(</w:t>
      </w:r>
      <w:r>
        <w:rPr>
          <w:rFonts w:hint="eastAsia" w:ascii="宋体" w:hAnsi="宋体"/>
          <w:szCs w:val="21"/>
        </w:rPr>
        <w:t>立方米</w:t>
      </w:r>
      <w:r>
        <w:rPr>
          <w:rFonts w:ascii="宋体" w:hAnsi="宋体"/>
          <w:szCs w:val="21"/>
        </w:rPr>
        <w:t>)</w:t>
      </w:r>
      <w:r>
        <w:rPr>
          <w:rFonts w:hint="eastAsia" w:ascii="宋体" w:hAnsi="宋体"/>
          <w:szCs w:val="21"/>
        </w:rPr>
        <w:t>和备妥交货日期通知买方。同时卖方应用挂号信将详细交货清单一式</w:t>
      </w:r>
      <w:r>
        <w:rPr>
          <w:rFonts w:ascii="宋体" w:hAnsi="宋体"/>
          <w:szCs w:val="21"/>
        </w:rPr>
        <w:t>6</w:t>
      </w:r>
      <w:r>
        <w:rPr>
          <w:rFonts w:hint="eastAsia" w:ascii="宋体" w:hAnsi="宋体"/>
          <w:szCs w:val="21"/>
        </w:rPr>
        <w:t>份包括合同号、货物名称、规格、数量、总毛重、总体积</w:t>
      </w:r>
      <w:r>
        <w:rPr>
          <w:rFonts w:ascii="宋体" w:hAnsi="宋体"/>
          <w:szCs w:val="21"/>
        </w:rPr>
        <w:t>(</w:t>
      </w:r>
      <w:r>
        <w:rPr>
          <w:rFonts w:hint="eastAsia" w:ascii="宋体" w:hAnsi="宋体"/>
          <w:szCs w:val="21"/>
        </w:rPr>
        <w:t>立方米</w:t>
      </w:r>
      <w:r>
        <w:rPr>
          <w:rFonts w:ascii="宋体" w:hAnsi="宋体"/>
          <w:szCs w:val="21"/>
        </w:rPr>
        <w:t>)</w:t>
      </w:r>
      <w:r>
        <w:rPr>
          <w:rFonts w:hint="eastAsia" w:ascii="宋体" w:hAnsi="宋体"/>
          <w:szCs w:val="21"/>
        </w:rPr>
        <w:t>、包装箱件数和每个包装箱的尺寸</w:t>
      </w:r>
      <w:r>
        <w:rPr>
          <w:rFonts w:ascii="宋体" w:hAnsi="宋体"/>
          <w:szCs w:val="21"/>
        </w:rPr>
        <w:t>(</w:t>
      </w:r>
      <w:r>
        <w:rPr>
          <w:rFonts w:hint="eastAsia" w:ascii="宋体" w:hAnsi="宋体"/>
          <w:szCs w:val="21"/>
        </w:rPr>
        <w:t>长×宽×高</w:t>
      </w:r>
      <w:r>
        <w:rPr>
          <w:rFonts w:ascii="宋体" w:hAnsi="宋体"/>
          <w:szCs w:val="21"/>
        </w:rPr>
        <w:t>)</w:t>
      </w:r>
      <w:r>
        <w:rPr>
          <w:rFonts w:hint="eastAsia" w:ascii="宋体" w:hAnsi="宋体"/>
          <w:szCs w:val="21"/>
        </w:rPr>
        <w:t>、货物总价和备妥待交日期以及对货物在运输和仓储的特殊要求和注意事项通知买方。</w:t>
      </w:r>
    </w:p>
    <w:p>
      <w:pPr>
        <w:spacing w:line="360" w:lineRule="auto"/>
        <w:ind w:left="630" w:hanging="630" w:hangingChars="300"/>
        <w:rPr>
          <w:rFonts w:ascii="宋体" w:hAnsi="宋体"/>
          <w:szCs w:val="21"/>
        </w:rPr>
      </w:pPr>
      <w:r>
        <w:rPr>
          <w:rFonts w:hint="eastAsia" w:ascii="宋体" w:hAnsi="宋体"/>
          <w:szCs w:val="21"/>
        </w:rPr>
        <w:t>6.3   在现场交货和工厂交货条件下，卖方装运的货物不应超过合同规定的数量或重量。否则，卖方应对超运部分引起的一切后果负责。</w:t>
      </w:r>
    </w:p>
    <w:p>
      <w:pPr>
        <w:outlineLvl w:val="2"/>
        <w:rPr>
          <w:rFonts w:ascii="宋体" w:hAnsi="宋体"/>
          <w:szCs w:val="21"/>
        </w:rPr>
      </w:pPr>
      <w:bookmarkStart w:id="214" w:name="_Toc12437"/>
      <w:bookmarkStart w:id="215" w:name="_Toc415222503"/>
      <w:bookmarkStart w:id="216" w:name="_Toc6625"/>
      <w:bookmarkStart w:id="217" w:name="_Toc487900355"/>
      <w:r>
        <w:rPr>
          <w:rFonts w:hint="eastAsia" w:ascii="宋体" w:hAnsi="宋体"/>
          <w:szCs w:val="21"/>
        </w:rPr>
        <w:t>7．   装运通知</w:t>
      </w:r>
      <w:bookmarkEnd w:id="214"/>
      <w:bookmarkEnd w:id="215"/>
      <w:bookmarkEnd w:id="216"/>
      <w:bookmarkEnd w:id="217"/>
    </w:p>
    <w:p>
      <w:pPr>
        <w:spacing w:line="360" w:lineRule="auto"/>
        <w:ind w:left="630" w:hanging="630" w:hangingChars="300"/>
        <w:rPr>
          <w:rFonts w:ascii="宋体" w:hAnsi="宋体"/>
          <w:szCs w:val="21"/>
        </w:rPr>
      </w:pPr>
      <w:r>
        <w:rPr>
          <w:rFonts w:hint="eastAsia" w:ascii="宋体" w:hAnsi="宋体"/>
          <w:szCs w:val="21"/>
        </w:rPr>
        <w:t>7.1   在现场交货和工厂交货条件下的货物，卖方通知买方货物已备妥待运输后</w:t>
      </w:r>
      <w:r>
        <w:rPr>
          <w:rFonts w:ascii="宋体" w:hAnsi="宋体"/>
          <w:szCs w:val="21"/>
        </w:rPr>
        <w:t>24</w:t>
      </w:r>
      <w:r>
        <w:rPr>
          <w:rFonts w:hint="eastAsia" w:ascii="宋体" w:hAnsi="宋体"/>
          <w:szCs w:val="21"/>
        </w:rPr>
        <w:t>小时之内，应将合同号、货名、数量、毛重、总体积</w:t>
      </w:r>
      <w:r>
        <w:rPr>
          <w:rFonts w:ascii="宋体" w:hAnsi="宋体"/>
          <w:szCs w:val="21"/>
        </w:rPr>
        <w:t>(</w:t>
      </w:r>
      <w:r>
        <w:rPr>
          <w:rFonts w:hint="eastAsia" w:ascii="宋体" w:hAnsi="宋体"/>
          <w:szCs w:val="21"/>
        </w:rPr>
        <w:t>立方米</w:t>
      </w:r>
      <w:r>
        <w:rPr>
          <w:rFonts w:ascii="宋体" w:hAnsi="宋体"/>
          <w:szCs w:val="21"/>
        </w:rPr>
        <w:t>)</w:t>
      </w:r>
      <w:r>
        <w:rPr>
          <w:rFonts w:hint="eastAsia" w:ascii="宋体" w:hAnsi="宋体"/>
          <w:szCs w:val="21"/>
        </w:rPr>
        <w:t>、发票金额、运输工具名称及装运日期，以电报或传真通知买方。</w:t>
      </w:r>
    </w:p>
    <w:p>
      <w:pPr>
        <w:spacing w:line="360" w:lineRule="auto"/>
        <w:ind w:left="630" w:hanging="630" w:hangingChars="300"/>
        <w:rPr>
          <w:rFonts w:ascii="宋体" w:hAnsi="宋体"/>
          <w:szCs w:val="21"/>
        </w:rPr>
      </w:pPr>
      <w:r>
        <w:rPr>
          <w:rFonts w:hint="eastAsia" w:ascii="宋体" w:hAnsi="宋体"/>
          <w:szCs w:val="21"/>
        </w:rPr>
        <w:t>7.2   如因卖方延误将上述内容用电报或传真通知买方，由此引起的一切后果损失应由卖方负责。</w:t>
      </w:r>
    </w:p>
    <w:p>
      <w:pPr>
        <w:outlineLvl w:val="2"/>
        <w:rPr>
          <w:rFonts w:ascii="宋体" w:hAnsi="宋体"/>
          <w:szCs w:val="21"/>
        </w:rPr>
      </w:pPr>
      <w:bookmarkStart w:id="218" w:name="_Toc487900357"/>
      <w:bookmarkStart w:id="219" w:name="_Toc15361"/>
      <w:bookmarkStart w:id="220" w:name="_Ref467379793"/>
      <w:bookmarkStart w:id="221" w:name="_Toc26337"/>
      <w:bookmarkStart w:id="222" w:name="_Toc415222504"/>
      <w:bookmarkStart w:id="223" w:name="_Ref467379807"/>
      <w:r>
        <w:rPr>
          <w:rFonts w:hint="eastAsia" w:ascii="宋体" w:hAnsi="宋体"/>
          <w:szCs w:val="21"/>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rPr>
      </w:pPr>
      <w:r>
        <w:rPr>
          <w:rFonts w:hint="eastAsia" w:ascii="宋体" w:hAnsi="宋体"/>
          <w:szCs w:val="21"/>
        </w:rPr>
        <w:t xml:space="preserve">      付款条件见第二册第八章“</w:t>
      </w:r>
      <w:r>
        <w:rPr>
          <w:rFonts w:hint="eastAsia" w:ascii="宋体" w:hAnsi="宋体"/>
          <w:szCs w:val="21"/>
          <w:u w:val="single"/>
        </w:rPr>
        <w:t>合同专用条款</w:t>
      </w:r>
      <w:r>
        <w:rPr>
          <w:rFonts w:hint="eastAsia" w:ascii="宋体" w:hAnsi="宋体"/>
          <w:szCs w:val="21"/>
        </w:rPr>
        <w:t>”。</w:t>
      </w:r>
    </w:p>
    <w:p>
      <w:pPr>
        <w:outlineLvl w:val="2"/>
        <w:rPr>
          <w:rFonts w:ascii="宋体" w:hAnsi="宋体"/>
          <w:szCs w:val="21"/>
        </w:rPr>
      </w:pPr>
      <w:bookmarkStart w:id="224" w:name="_Toc487900358"/>
      <w:bookmarkStart w:id="225" w:name="_Ref467379863"/>
      <w:bookmarkStart w:id="226" w:name="_Toc415222505"/>
      <w:bookmarkStart w:id="227" w:name="_Ref467379923"/>
      <w:bookmarkStart w:id="228" w:name="_Toc6588"/>
      <w:bookmarkStart w:id="229" w:name="_Toc1380"/>
      <w:bookmarkStart w:id="230" w:name="_Ref467379852"/>
      <w:r>
        <w:rPr>
          <w:rFonts w:hint="eastAsia" w:ascii="宋体" w:hAnsi="宋体"/>
          <w:szCs w:val="21"/>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rPr>
      </w:pPr>
      <w:r>
        <w:rPr>
          <w:rFonts w:hint="eastAsia" w:ascii="宋体" w:hAnsi="宋体"/>
          <w:szCs w:val="21"/>
        </w:rPr>
        <w:t>9.1   合同项下技术资料</w:t>
      </w:r>
      <w:r>
        <w:rPr>
          <w:rFonts w:ascii="宋体" w:hAnsi="宋体"/>
          <w:szCs w:val="21"/>
        </w:rPr>
        <w:t>(</w:t>
      </w:r>
      <w:r>
        <w:rPr>
          <w:rFonts w:hint="eastAsia" w:ascii="宋体" w:hAnsi="宋体"/>
          <w:szCs w:val="21"/>
        </w:rPr>
        <w:t>除合同特殊条款规定外</w:t>
      </w:r>
      <w:r>
        <w:rPr>
          <w:rFonts w:ascii="宋体" w:hAnsi="宋体"/>
          <w:szCs w:val="21"/>
        </w:rPr>
        <w:t>)</w:t>
      </w:r>
      <w:r>
        <w:rPr>
          <w:rFonts w:hint="eastAsia" w:ascii="宋体" w:hAnsi="宋体"/>
          <w:szCs w:val="21"/>
        </w:rPr>
        <w:t>将以下列方式交付：</w:t>
      </w:r>
    </w:p>
    <w:p>
      <w:pPr>
        <w:spacing w:line="360" w:lineRule="auto"/>
        <w:ind w:left="718" w:leftChars="340" w:hanging="4" w:hangingChars="2"/>
        <w:rPr>
          <w:rFonts w:ascii="宋体" w:hAnsi="宋体"/>
          <w:szCs w:val="21"/>
        </w:rPr>
      </w:pPr>
      <w:r>
        <w:rPr>
          <w:rFonts w:hint="eastAsia" w:ascii="宋体" w:hAnsi="宋体"/>
          <w:szCs w:val="21"/>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rPr>
      </w:pPr>
      <w:r>
        <w:rPr>
          <w:rFonts w:hint="eastAsia" w:ascii="宋体" w:hAnsi="宋体"/>
          <w:szCs w:val="21"/>
        </w:rPr>
        <w:t>9.2   另外一套完整的上述资料应包装好随同每批货物一起发运。</w:t>
      </w:r>
    </w:p>
    <w:p>
      <w:pPr>
        <w:spacing w:line="360" w:lineRule="auto"/>
        <w:ind w:left="630" w:hanging="630" w:hangingChars="300"/>
        <w:rPr>
          <w:rFonts w:ascii="宋体" w:hAnsi="宋体"/>
          <w:szCs w:val="21"/>
        </w:rPr>
      </w:pPr>
      <w:r>
        <w:rPr>
          <w:rFonts w:hint="eastAsia" w:ascii="宋体" w:hAnsi="宋体"/>
          <w:szCs w:val="21"/>
        </w:rPr>
        <w:t>9.3   如果买方确认卖方提供的技术资料不完整或在运输过程中丢失，卖方将在合同专用条款规定时间内将这些资料免费寄给买方。</w:t>
      </w:r>
    </w:p>
    <w:p>
      <w:pPr>
        <w:outlineLvl w:val="2"/>
        <w:rPr>
          <w:rFonts w:ascii="宋体" w:hAnsi="宋体"/>
          <w:szCs w:val="21"/>
        </w:rPr>
      </w:pPr>
      <w:bookmarkStart w:id="231" w:name="_Ref467377798"/>
      <w:bookmarkStart w:id="232" w:name="_Ref467377962"/>
      <w:bookmarkStart w:id="233" w:name="_Toc487900359"/>
      <w:bookmarkStart w:id="234" w:name="_Toc28649"/>
      <w:bookmarkStart w:id="235" w:name="_Ref467379937"/>
      <w:bookmarkStart w:id="236" w:name="_Toc15447"/>
      <w:bookmarkStart w:id="237" w:name="_Toc415222506"/>
      <w:bookmarkStart w:id="238" w:name="_Ref467379946"/>
      <w:r>
        <w:rPr>
          <w:rFonts w:hint="eastAsia" w:ascii="宋体" w:hAnsi="宋体"/>
          <w:szCs w:val="21"/>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rPr>
      </w:pPr>
      <w:r>
        <w:rPr>
          <w:rFonts w:hint="eastAsia" w:ascii="宋体" w:hAnsi="宋体"/>
          <w:szCs w:val="21"/>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rPr>
      </w:pPr>
      <w:r>
        <w:rPr>
          <w:rFonts w:hint="eastAsia" w:ascii="宋体" w:hAnsi="宋体"/>
          <w:szCs w:val="21"/>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rPr>
      </w:pPr>
      <w:r>
        <w:rPr>
          <w:rFonts w:hint="eastAsia" w:ascii="宋体" w:hAnsi="宋体"/>
          <w:szCs w:val="21"/>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rPr>
      </w:pPr>
      <w:r>
        <w:rPr>
          <w:rFonts w:hint="eastAsia" w:ascii="宋体" w:hAnsi="宋体"/>
          <w:szCs w:val="21"/>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rPr>
      </w:pPr>
      <w:r>
        <w:rPr>
          <w:rFonts w:hint="eastAsia" w:ascii="宋体" w:hAnsi="宋体"/>
          <w:szCs w:val="21"/>
        </w:rPr>
        <w:t>10.5  除“合同专用条款”规定外，合同项下货物的质量保证期为自货物通过最终验收起</w:t>
      </w:r>
      <w:r>
        <w:rPr>
          <w:rFonts w:ascii="宋体" w:hAnsi="宋体"/>
          <w:szCs w:val="21"/>
        </w:rPr>
        <w:t>12</w:t>
      </w:r>
      <w:r>
        <w:rPr>
          <w:rFonts w:hint="eastAsia" w:ascii="宋体" w:hAnsi="宋体"/>
          <w:szCs w:val="21"/>
        </w:rPr>
        <w:t>个月。</w:t>
      </w:r>
    </w:p>
    <w:p>
      <w:pPr>
        <w:outlineLvl w:val="2"/>
        <w:rPr>
          <w:rFonts w:ascii="宋体" w:hAnsi="宋体"/>
          <w:szCs w:val="21"/>
        </w:rPr>
      </w:pPr>
      <w:bookmarkStart w:id="239" w:name="_Ref467378018"/>
      <w:bookmarkStart w:id="240" w:name="_Toc487900360"/>
      <w:bookmarkStart w:id="241" w:name="_Toc11317"/>
      <w:bookmarkStart w:id="242" w:name="_Toc7155"/>
      <w:bookmarkStart w:id="243" w:name="_Toc415222507"/>
      <w:r>
        <w:rPr>
          <w:rFonts w:hint="eastAsia" w:ascii="宋体" w:hAnsi="宋体"/>
          <w:szCs w:val="21"/>
        </w:rPr>
        <w:t>11．   检验</w:t>
      </w:r>
      <w:bookmarkEnd w:id="239"/>
      <w:bookmarkEnd w:id="240"/>
      <w:r>
        <w:rPr>
          <w:rFonts w:hint="eastAsia" w:ascii="宋体" w:hAnsi="宋体"/>
          <w:szCs w:val="21"/>
        </w:rPr>
        <w:t>和验收</w:t>
      </w:r>
      <w:bookmarkEnd w:id="241"/>
      <w:bookmarkEnd w:id="242"/>
      <w:bookmarkEnd w:id="243"/>
    </w:p>
    <w:p>
      <w:pPr>
        <w:spacing w:line="360" w:lineRule="auto"/>
        <w:ind w:left="788" w:hanging="787" w:hangingChars="375"/>
        <w:rPr>
          <w:rFonts w:hint="eastAsia" w:ascii="宋体" w:hAnsi="宋体"/>
          <w:szCs w:val="21"/>
        </w:rPr>
      </w:pPr>
      <w:r>
        <w:rPr>
          <w:rFonts w:hint="eastAsia" w:ascii="宋体" w:hAnsi="宋体"/>
          <w:szCs w:val="21"/>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rPr>
      </w:pPr>
      <w:r>
        <w:rPr>
          <w:rFonts w:hint="eastAsia" w:ascii="宋体" w:hAnsi="宋体"/>
          <w:szCs w:val="21"/>
        </w:rPr>
        <w:t>11.2   货物运抵现场后，买方在合同专用条款规定时间内组织验收，依法</w:t>
      </w:r>
      <w:r>
        <w:rPr>
          <w:rFonts w:ascii="宋体" w:hAnsi="宋体"/>
          <w:szCs w:val="21"/>
        </w:rPr>
        <w:t>邀请相关方参加</w:t>
      </w:r>
      <w:r>
        <w:rPr>
          <w:rFonts w:hint="eastAsia" w:ascii="宋体" w:hAnsi="宋体"/>
          <w:szCs w:val="21"/>
        </w:rPr>
        <w:t>。</w:t>
      </w:r>
      <w:r>
        <w:rPr>
          <w:rFonts w:ascii="宋体" w:hAnsi="宋体"/>
          <w:szCs w:val="21"/>
        </w:rPr>
        <w:t>验收</w:t>
      </w:r>
      <w:r>
        <w:rPr>
          <w:rFonts w:hint="eastAsia" w:ascii="宋体" w:hAnsi="宋体"/>
          <w:szCs w:val="21"/>
        </w:rPr>
        <w:t>将制作验收备忘录，签署验收书。</w:t>
      </w:r>
    </w:p>
    <w:p>
      <w:pPr>
        <w:spacing w:line="360" w:lineRule="auto"/>
        <w:ind w:left="788" w:hanging="787" w:hangingChars="375"/>
        <w:rPr>
          <w:rFonts w:ascii="宋体" w:hAnsi="宋体"/>
          <w:szCs w:val="21"/>
        </w:rPr>
      </w:pPr>
      <w:r>
        <w:rPr>
          <w:rFonts w:hint="eastAsia" w:ascii="宋体" w:hAnsi="宋体"/>
          <w:szCs w:val="21"/>
        </w:rPr>
        <w:t>11.3   买方有在货物制造过程中派员监造的权利</w:t>
      </w:r>
      <w:r>
        <w:rPr>
          <w:rFonts w:ascii="宋体" w:hAnsi="宋体"/>
          <w:szCs w:val="21"/>
        </w:rPr>
        <w:t xml:space="preserve">, </w:t>
      </w:r>
      <w:r>
        <w:rPr>
          <w:rFonts w:hint="eastAsia" w:ascii="宋体" w:hAnsi="宋体"/>
          <w:szCs w:val="21"/>
        </w:rPr>
        <w:t>卖方有义务为买方监造人员行使该权利提供方便。</w:t>
      </w:r>
    </w:p>
    <w:p>
      <w:pPr>
        <w:spacing w:line="360" w:lineRule="auto"/>
        <w:ind w:left="788" w:hanging="787" w:hangingChars="375"/>
        <w:rPr>
          <w:rFonts w:hint="eastAsia" w:ascii="宋体" w:hAnsi="宋体"/>
          <w:szCs w:val="21"/>
        </w:rPr>
      </w:pPr>
      <w:r>
        <w:rPr>
          <w:rFonts w:hint="eastAsia" w:ascii="宋体" w:hAnsi="宋体"/>
          <w:szCs w:val="21"/>
        </w:rPr>
        <w:t>11.4   制造厂对所供货物进行机械运转试验和性能试验时，卖方必须提前通知买方。</w:t>
      </w:r>
    </w:p>
    <w:p>
      <w:pPr>
        <w:outlineLvl w:val="2"/>
        <w:rPr>
          <w:rFonts w:ascii="宋体" w:hAnsi="宋体"/>
          <w:szCs w:val="21"/>
        </w:rPr>
      </w:pPr>
      <w:bookmarkStart w:id="244" w:name="_Toc487900361"/>
      <w:bookmarkStart w:id="245" w:name="_Toc31728"/>
      <w:bookmarkStart w:id="246" w:name="_Toc415222508"/>
      <w:bookmarkStart w:id="247" w:name="_Toc21509"/>
      <w:r>
        <w:rPr>
          <w:rFonts w:hint="eastAsia" w:ascii="宋体" w:hAnsi="宋体"/>
          <w:szCs w:val="21"/>
        </w:rPr>
        <w:t>12．   索赔</w:t>
      </w:r>
      <w:bookmarkEnd w:id="244"/>
      <w:bookmarkEnd w:id="245"/>
      <w:bookmarkEnd w:id="246"/>
      <w:bookmarkEnd w:id="247"/>
    </w:p>
    <w:p>
      <w:pPr>
        <w:spacing w:line="360" w:lineRule="auto"/>
        <w:ind w:left="788" w:hanging="787" w:hangingChars="375"/>
        <w:rPr>
          <w:rFonts w:ascii="宋体" w:hAnsi="宋体"/>
          <w:szCs w:val="21"/>
        </w:rPr>
      </w:pPr>
      <w:r>
        <w:rPr>
          <w:rFonts w:hint="eastAsia" w:ascii="宋体" w:hAnsi="宋体"/>
          <w:szCs w:val="21"/>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rPr>
      </w:pPr>
      <w:bookmarkStart w:id="248" w:name="_Ref467378076"/>
      <w:r>
        <w:rPr>
          <w:rFonts w:hint="eastAsia" w:ascii="宋体" w:hAnsi="宋体"/>
          <w:szCs w:val="21"/>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rPr>
      </w:pPr>
      <w:r>
        <w:rPr>
          <w:rFonts w:hint="eastAsia" w:ascii="宋体" w:hAnsi="宋体"/>
          <w:szCs w:val="21"/>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rPr>
      </w:pPr>
      <w:r>
        <w:rPr>
          <w:rFonts w:hint="eastAsia" w:ascii="宋体" w:hAnsi="宋体"/>
          <w:szCs w:val="21"/>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rPr>
      </w:pPr>
      <w:r>
        <w:rPr>
          <w:rFonts w:hint="eastAsia" w:ascii="宋体" w:hAnsi="宋体"/>
          <w:szCs w:val="21"/>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rPr>
        <w:t>10</w:t>
      </w:r>
      <w:r>
        <w:rPr>
          <w:rFonts w:hint="eastAsia" w:ascii="宋体" w:hAnsi="宋体"/>
          <w:szCs w:val="21"/>
        </w:rPr>
        <w:t>条规定，相应延长修补或更换件的质量保证期。</w:t>
      </w:r>
    </w:p>
    <w:p>
      <w:pPr>
        <w:spacing w:line="360" w:lineRule="auto"/>
        <w:ind w:left="788" w:hanging="787" w:hangingChars="375"/>
        <w:rPr>
          <w:rFonts w:ascii="宋体" w:hAnsi="宋体"/>
          <w:szCs w:val="21"/>
        </w:rPr>
      </w:pPr>
      <w:r>
        <w:rPr>
          <w:rFonts w:hint="eastAsia" w:ascii="宋体" w:hAnsi="宋体"/>
          <w:szCs w:val="21"/>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rPr>
      </w:pPr>
      <w:bookmarkStart w:id="249" w:name="_Toc487900362"/>
      <w:bookmarkStart w:id="250" w:name="_Toc415222509"/>
      <w:bookmarkStart w:id="251" w:name="_Toc15086"/>
      <w:bookmarkStart w:id="252" w:name="_Toc31482"/>
      <w:r>
        <w:rPr>
          <w:rFonts w:hint="eastAsia" w:ascii="宋体" w:hAnsi="宋体"/>
          <w:szCs w:val="21"/>
        </w:rPr>
        <w:t>13．    延迟交货</w:t>
      </w:r>
      <w:bookmarkEnd w:id="249"/>
      <w:bookmarkEnd w:id="250"/>
      <w:bookmarkEnd w:id="251"/>
      <w:bookmarkEnd w:id="252"/>
    </w:p>
    <w:p>
      <w:pPr>
        <w:spacing w:line="360" w:lineRule="auto"/>
        <w:ind w:left="840" w:hanging="840" w:hangingChars="400"/>
        <w:rPr>
          <w:rFonts w:ascii="宋体" w:hAnsi="宋体"/>
          <w:szCs w:val="21"/>
        </w:rPr>
      </w:pPr>
      <w:r>
        <w:rPr>
          <w:rFonts w:hint="eastAsia" w:ascii="宋体" w:hAnsi="宋体"/>
          <w:szCs w:val="21"/>
        </w:rPr>
        <w:t>13.1    卖方应按照“货物需求一览表及技术规格”中买方规定的时间表交货和提供服务。</w:t>
      </w:r>
    </w:p>
    <w:p>
      <w:pPr>
        <w:spacing w:line="360" w:lineRule="auto"/>
        <w:ind w:left="788" w:hanging="787" w:hangingChars="375"/>
        <w:rPr>
          <w:rFonts w:ascii="宋体" w:hAnsi="宋体"/>
          <w:szCs w:val="21"/>
        </w:rPr>
      </w:pPr>
      <w:r>
        <w:rPr>
          <w:rFonts w:hint="eastAsia" w:ascii="宋体" w:hAnsi="宋体"/>
          <w:szCs w:val="21"/>
        </w:rPr>
        <w:t>13.2    如果卖方无正当理由迟延交货，买方有权提出违约损失赔偿或解除合同。</w:t>
      </w:r>
    </w:p>
    <w:p>
      <w:pPr>
        <w:spacing w:line="360" w:lineRule="auto"/>
        <w:ind w:left="840" w:hanging="840" w:hangingChars="400"/>
        <w:rPr>
          <w:rFonts w:ascii="宋体" w:hAnsi="宋体"/>
          <w:szCs w:val="21"/>
        </w:rPr>
      </w:pPr>
      <w:r>
        <w:rPr>
          <w:rFonts w:hint="eastAsia" w:ascii="宋体" w:hAnsi="宋体"/>
          <w:szCs w:val="21"/>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rPr>
      </w:pPr>
      <w:bookmarkStart w:id="253" w:name="_Toc487900363"/>
      <w:bookmarkStart w:id="254" w:name="_Toc19929"/>
      <w:bookmarkStart w:id="255" w:name="_Toc3725"/>
      <w:bookmarkStart w:id="256" w:name="_Toc415222510"/>
      <w:r>
        <w:rPr>
          <w:rFonts w:hint="eastAsia" w:ascii="宋体" w:hAnsi="宋体"/>
          <w:szCs w:val="21"/>
        </w:rPr>
        <w:t>14．   违约赔偿</w:t>
      </w:r>
      <w:bookmarkEnd w:id="253"/>
      <w:bookmarkEnd w:id="254"/>
      <w:bookmarkEnd w:id="255"/>
      <w:bookmarkEnd w:id="256"/>
    </w:p>
    <w:p>
      <w:pPr>
        <w:spacing w:line="360" w:lineRule="auto"/>
        <w:ind w:left="628" w:hanging="630" w:hangingChars="300"/>
        <w:rPr>
          <w:rFonts w:ascii="宋体" w:hAnsi="宋体"/>
          <w:szCs w:val="21"/>
        </w:rPr>
      </w:pPr>
      <w:r>
        <w:rPr>
          <w:rFonts w:hint="eastAsia" w:ascii="宋体" w:hAnsi="宋体"/>
          <w:szCs w:val="21"/>
        </w:rPr>
        <w:t>14.1   除合同第15条规定外，如果卖方没有按照合同规定的时间交货和提供服务，买方可要求卖方支付违约金。违约金按每周迟交货物或未提供服务交货价的</w:t>
      </w:r>
      <w:r>
        <w:rPr>
          <w:rFonts w:ascii="宋体" w:hAnsi="宋体"/>
          <w:szCs w:val="21"/>
        </w:rPr>
        <w:t>0.5%</w:t>
      </w:r>
      <w:r>
        <w:rPr>
          <w:rFonts w:hint="eastAsia" w:ascii="宋体" w:hAnsi="宋体"/>
          <w:szCs w:val="21"/>
        </w:rPr>
        <w:t>计收。一周按７天计算，不足７天按一周计算。如果达到最高限额，买方有权解除合同。违约金的最高限额为迟交货物或没有提供服务的合同价的</w:t>
      </w:r>
      <w:r>
        <w:rPr>
          <w:rFonts w:ascii="宋体" w:hAnsi="宋体"/>
          <w:szCs w:val="21"/>
        </w:rPr>
        <w:t>5%</w:t>
      </w:r>
      <w:r>
        <w:rPr>
          <w:rFonts w:hint="eastAsia" w:ascii="宋体" w:hAnsi="宋体"/>
          <w:szCs w:val="21"/>
        </w:rPr>
        <w:t>。</w:t>
      </w:r>
    </w:p>
    <w:p>
      <w:pPr>
        <w:outlineLvl w:val="2"/>
        <w:rPr>
          <w:rFonts w:ascii="宋体" w:hAnsi="宋体"/>
          <w:szCs w:val="21"/>
        </w:rPr>
      </w:pPr>
      <w:bookmarkStart w:id="257" w:name="_Toc415222511"/>
      <w:bookmarkStart w:id="258" w:name="_Toc6322"/>
      <w:bookmarkStart w:id="259" w:name="_Toc487900364"/>
      <w:bookmarkStart w:id="260" w:name="_Ref467378121"/>
      <w:bookmarkStart w:id="261" w:name="_Toc22040"/>
      <w:r>
        <w:rPr>
          <w:rFonts w:hint="eastAsia" w:ascii="宋体" w:hAnsi="宋体"/>
          <w:szCs w:val="21"/>
        </w:rPr>
        <w:t>15．   不可抗力</w:t>
      </w:r>
      <w:bookmarkEnd w:id="257"/>
      <w:bookmarkEnd w:id="258"/>
      <w:bookmarkEnd w:id="259"/>
      <w:bookmarkEnd w:id="260"/>
      <w:bookmarkEnd w:id="261"/>
    </w:p>
    <w:p>
      <w:pPr>
        <w:spacing w:line="360" w:lineRule="auto"/>
        <w:ind w:left="735" w:hanging="735" w:hangingChars="350"/>
        <w:rPr>
          <w:rFonts w:ascii="宋体" w:hAnsi="宋体"/>
          <w:szCs w:val="21"/>
        </w:rPr>
      </w:pPr>
      <w:r>
        <w:rPr>
          <w:rFonts w:hint="eastAsia" w:ascii="宋体" w:hAnsi="宋体"/>
          <w:szCs w:val="21"/>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rPr>
      </w:pPr>
      <w:r>
        <w:rPr>
          <w:rFonts w:hint="eastAsia" w:ascii="宋体" w:hAnsi="宋体"/>
          <w:szCs w:val="21"/>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rPr>
      </w:pPr>
      <w:r>
        <w:rPr>
          <w:rFonts w:hint="eastAsia" w:ascii="宋体" w:hAnsi="宋体"/>
          <w:szCs w:val="21"/>
        </w:rPr>
        <w:t>15.3   不可抗力使合同的某些内容有变更必要的，</w:t>
      </w:r>
      <w:r>
        <w:rPr>
          <w:rFonts w:ascii="宋体" w:hAnsi="宋体"/>
          <w:szCs w:val="21"/>
        </w:rPr>
        <w:t xml:space="preserve"> </w:t>
      </w:r>
      <w:r>
        <w:rPr>
          <w:rFonts w:hint="eastAsia" w:ascii="宋体" w:hAnsi="宋体"/>
          <w:szCs w:val="21"/>
        </w:rPr>
        <w:t>双方应在合同专用条款规定时间内达成进一步履行合同的协议。因不可抗力致使合同不能履行的，合同终止。</w:t>
      </w:r>
    </w:p>
    <w:p>
      <w:pPr>
        <w:outlineLvl w:val="2"/>
        <w:rPr>
          <w:rFonts w:ascii="宋体" w:hAnsi="宋体"/>
          <w:szCs w:val="21"/>
        </w:rPr>
      </w:pPr>
      <w:bookmarkStart w:id="262" w:name="_Toc1755"/>
      <w:bookmarkStart w:id="263" w:name="_Toc487900365"/>
      <w:bookmarkStart w:id="264" w:name="_Toc415222512"/>
      <w:bookmarkStart w:id="265" w:name="_Toc29320"/>
      <w:r>
        <w:rPr>
          <w:rFonts w:hint="eastAsia" w:ascii="宋体" w:hAnsi="宋体"/>
          <w:szCs w:val="21"/>
        </w:rPr>
        <w:t>16．   税费</w:t>
      </w:r>
      <w:bookmarkEnd w:id="262"/>
      <w:bookmarkEnd w:id="263"/>
      <w:bookmarkEnd w:id="264"/>
      <w:bookmarkEnd w:id="265"/>
    </w:p>
    <w:p>
      <w:pPr>
        <w:spacing w:line="360" w:lineRule="auto"/>
        <w:ind w:left="788" w:hanging="787" w:hangingChars="375"/>
        <w:rPr>
          <w:rFonts w:ascii="宋体" w:hAnsi="宋体"/>
          <w:szCs w:val="21"/>
        </w:rPr>
      </w:pPr>
      <w:r>
        <w:rPr>
          <w:rFonts w:hint="eastAsia" w:ascii="宋体" w:hAnsi="宋体"/>
          <w:szCs w:val="21"/>
        </w:rPr>
        <w:t>16.1   与本合同有关的一切税费均适用中华人民共和国法律的相关规定。</w:t>
      </w:r>
    </w:p>
    <w:p>
      <w:pPr>
        <w:outlineLvl w:val="2"/>
        <w:rPr>
          <w:rFonts w:ascii="宋体" w:hAnsi="宋体"/>
          <w:szCs w:val="21"/>
        </w:rPr>
      </w:pPr>
      <w:bookmarkStart w:id="266" w:name="_Hlt487900425"/>
      <w:bookmarkEnd w:id="266"/>
      <w:bookmarkStart w:id="267" w:name="_Toc487900366"/>
      <w:bookmarkStart w:id="268" w:name="_Toc17669"/>
      <w:bookmarkStart w:id="269" w:name="_Toc21788"/>
      <w:bookmarkStart w:id="270" w:name="_Toc415222513"/>
      <w:r>
        <w:rPr>
          <w:rFonts w:hint="eastAsia" w:ascii="宋体" w:hAnsi="宋体"/>
          <w:szCs w:val="21"/>
        </w:rPr>
        <w:t xml:space="preserve">17．   </w:t>
      </w:r>
      <w:bookmarkEnd w:id="267"/>
      <w:r>
        <w:rPr>
          <w:rFonts w:hint="eastAsia" w:ascii="宋体" w:hAnsi="宋体"/>
          <w:szCs w:val="21"/>
        </w:rPr>
        <w:t>合同争议的解决</w:t>
      </w:r>
      <w:bookmarkEnd w:id="268"/>
      <w:bookmarkEnd w:id="269"/>
      <w:bookmarkEnd w:id="270"/>
    </w:p>
    <w:p>
      <w:pPr>
        <w:spacing w:line="360" w:lineRule="auto"/>
        <w:ind w:left="735" w:hanging="735" w:hangingChars="350"/>
        <w:rPr>
          <w:rFonts w:ascii="宋体" w:hAnsi="宋体"/>
          <w:szCs w:val="21"/>
        </w:rPr>
      </w:pPr>
      <w:r>
        <w:rPr>
          <w:rFonts w:hint="eastAsia" w:ascii="宋体" w:hAnsi="宋体"/>
          <w:szCs w:val="21"/>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rPr>
      </w:pPr>
      <w:r>
        <w:rPr>
          <w:rFonts w:hint="eastAsia" w:ascii="宋体" w:hAnsi="宋体"/>
          <w:szCs w:val="21"/>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rPr>
      </w:pPr>
      <w:r>
        <w:rPr>
          <w:rFonts w:hint="eastAsia" w:ascii="宋体" w:hAnsi="宋体"/>
          <w:szCs w:val="21"/>
        </w:rPr>
        <w:t>17.3   仲裁费用和诉讼费用除仲裁机构另有裁决外，应由败诉方负担。</w:t>
      </w:r>
    </w:p>
    <w:p>
      <w:pPr>
        <w:outlineLvl w:val="2"/>
        <w:rPr>
          <w:rFonts w:ascii="宋体" w:hAnsi="宋体"/>
          <w:szCs w:val="21"/>
        </w:rPr>
      </w:pPr>
      <w:bookmarkStart w:id="271" w:name="_Toc415222514"/>
      <w:bookmarkStart w:id="272" w:name="_Toc16231"/>
      <w:bookmarkStart w:id="273" w:name="_Toc9543"/>
      <w:bookmarkStart w:id="274" w:name="_Toc487900367"/>
      <w:r>
        <w:rPr>
          <w:rFonts w:hint="eastAsia" w:ascii="宋体" w:hAnsi="宋体"/>
          <w:szCs w:val="21"/>
        </w:rPr>
        <w:t>18．   违约解除合同</w:t>
      </w:r>
      <w:bookmarkEnd w:id="271"/>
      <w:bookmarkEnd w:id="272"/>
      <w:bookmarkEnd w:id="273"/>
      <w:bookmarkEnd w:id="274"/>
    </w:p>
    <w:p>
      <w:pPr>
        <w:spacing w:line="360" w:lineRule="auto"/>
        <w:ind w:left="735" w:hanging="735" w:hangingChars="350"/>
        <w:rPr>
          <w:rFonts w:ascii="宋体" w:hAnsi="宋体"/>
          <w:szCs w:val="21"/>
        </w:rPr>
      </w:pPr>
      <w:bookmarkStart w:id="275" w:name="_Ref467378234"/>
      <w:r>
        <w:rPr>
          <w:rFonts w:hint="eastAsia" w:ascii="宋体" w:hAnsi="宋体"/>
          <w:szCs w:val="21"/>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rPr>
      </w:pPr>
      <w:r>
        <w:rPr>
          <w:rFonts w:hint="eastAsia" w:ascii="宋体" w:hAnsi="宋体"/>
          <w:szCs w:val="21"/>
        </w:rPr>
        <w:t>18.1.1  卖方未能在合同规定的限期或买方同意延长的限期内，提供全部或部分货物,按合同第18.1的规定可以解除合同的；</w:t>
      </w:r>
      <w:r>
        <w:rPr>
          <w:rFonts w:ascii="宋体" w:hAnsi="宋体"/>
          <w:szCs w:val="21"/>
        </w:rPr>
        <w:t xml:space="preserve"> </w:t>
      </w:r>
    </w:p>
    <w:p>
      <w:pPr>
        <w:spacing w:line="360" w:lineRule="auto"/>
        <w:ind w:left="788" w:hanging="787" w:hangingChars="375"/>
        <w:rPr>
          <w:rFonts w:ascii="宋体" w:hAnsi="宋体"/>
          <w:szCs w:val="21"/>
        </w:rPr>
      </w:pPr>
      <w:r>
        <w:rPr>
          <w:rFonts w:hint="eastAsia" w:ascii="宋体" w:hAnsi="宋体"/>
          <w:szCs w:val="21"/>
        </w:rPr>
        <w:t>18.1.2  卖方未能履行合同规定的其它主要义务的；</w:t>
      </w:r>
    </w:p>
    <w:p>
      <w:pPr>
        <w:spacing w:line="360" w:lineRule="auto"/>
        <w:ind w:left="788" w:hanging="787" w:hangingChars="375"/>
        <w:rPr>
          <w:rFonts w:ascii="宋体" w:hAnsi="宋体"/>
          <w:szCs w:val="21"/>
        </w:rPr>
      </w:pPr>
      <w:r>
        <w:rPr>
          <w:rFonts w:hint="eastAsia" w:ascii="宋体" w:hAnsi="宋体"/>
          <w:szCs w:val="21"/>
        </w:rPr>
        <w:t>18.1.3  在本合同履行过程中有腐败和欺诈行为的。</w:t>
      </w:r>
    </w:p>
    <w:p>
      <w:pPr>
        <w:spacing w:line="360" w:lineRule="auto"/>
        <w:ind w:left="788" w:hanging="787" w:hangingChars="375"/>
        <w:rPr>
          <w:rFonts w:ascii="宋体" w:hAnsi="宋体"/>
          <w:szCs w:val="21"/>
        </w:rPr>
      </w:pPr>
      <w:r>
        <w:rPr>
          <w:rFonts w:hint="eastAsia" w:ascii="宋体" w:hAnsi="宋体"/>
          <w:szCs w:val="21"/>
        </w:rPr>
        <w:t xml:space="preserve">18.1.3.1 </w:t>
      </w:r>
      <w:r>
        <w:rPr>
          <w:rFonts w:ascii="宋体" w:hAnsi="宋体"/>
          <w:szCs w:val="21"/>
        </w:rPr>
        <w:t>“</w:t>
      </w:r>
      <w:r>
        <w:rPr>
          <w:rFonts w:hint="eastAsia" w:ascii="宋体" w:hAnsi="宋体"/>
          <w:szCs w:val="21"/>
        </w:rPr>
        <w:t>腐败行为”和“欺诈行为”定义如下</w:t>
      </w:r>
      <w:r>
        <w:rPr>
          <w:rFonts w:ascii="宋体" w:hAnsi="宋体"/>
          <w:szCs w:val="21"/>
        </w:rPr>
        <w:t>:</w:t>
      </w:r>
    </w:p>
    <w:p>
      <w:pPr>
        <w:spacing w:line="360" w:lineRule="auto"/>
        <w:ind w:left="1208" w:hanging="1207" w:hangingChars="575"/>
        <w:rPr>
          <w:rFonts w:ascii="宋体" w:hAnsi="宋体"/>
          <w:szCs w:val="21"/>
        </w:rPr>
      </w:pPr>
      <w:r>
        <w:rPr>
          <w:rFonts w:hint="eastAsia" w:ascii="宋体" w:hAnsi="宋体"/>
          <w:szCs w:val="21"/>
        </w:rPr>
        <w:t>18.1.3.1.1</w:t>
      </w:r>
      <w:r>
        <w:rPr>
          <w:rFonts w:ascii="宋体" w:hAnsi="宋体"/>
          <w:szCs w:val="21"/>
        </w:rPr>
        <w:t>“</w:t>
      </w:r>
      <w:r>
        <w:rPr>
          <w:rFonts w:hint="eastAsia" w:ascii="宋体" w:hAnsi="宋体"/>
          <w:szCs w:val="21"/>
        </w:rPr>
        <w:t>腐败行为”是指提供</w:t>
      </w:r>
      <w:r>
        <w:rPr>
          <w:rFonts w:ascii="宋体" w:hAnsi="宋体"/>
          <w:szCs w:val="21"/>
        </w:rPr>
        <w:t>/</w:t>
      </w:r>
      <w:r>
        <w:rPr>
          <w:rFonts w:hint="eastAsia" w:ascii="宋体" w:hAnsi="宋体"/>
          <w:szCs w:val="21"/>
        </w:rPr>
        <w:t>给予</w:t>
      </w:r>
      <w:r>
        <w:rPr>
          <w:rFonts w:ascii="宋体" w:hAnsi="宋体"/>
          <w:szCs w:val="21"/>
        </w:rPr>
        <w:t>/</w:t>
      </w:r>
      <w:r>
        <w:rPr>
          <w:rFonts w:hint="eastAsia" w:ascii="宋体" w:hAnsi="宋体"/>
          <w:szCs w:val="21"/>
        </w:rPr>
        <w:t>接受或索取任何有价值的东西来影响买方在合同签订、履行过程中的行为。</w:t>
      </w:r>
    </w:p>
    <w:p>
      <w:pPr>
        <w:spacing w:line="360" w:lineRule="auto"/>
        <w:ind w:left="1208" w:hanging="1207" w:hangingChars="575"/>
        <w:rPr>
          <w:rFonts w:ascii="宋体" w:hAnsi="宋体"/>
          <w:szCs w:val="21"/>
        </w:rPr>
      </w:pPr>
      <w:r>
        <w:rPr>
          <w:rFonts w:hint="eastAsia" w:ascii="宋体" w:hAnsi="宋体"/>
          <w:szCs w:val="21"/>
        </w:rPr>
        <w:t>18.1.3.1.2</w:t>
      </w:r>
      <w:r>
        <w:rPr>
          <w:rFonts w:ascii="宋体" w:hAnsi="宋体"/>
          <w:szCs w:val="21"/>
        </w:rPr>
        <w:t>“</w:t>
      </w:r>
      <w:r>
        <w:rPr>
          <w:rFonts w:hint="eastAsia" w:ascii="宋体" w:hAnsi="宋体"/>
          <w:szCs w:val="21"/>
        </w:rPr>
        <w:t>欺诈行为”是指为了影响合同签订、履行过程，以谎报事实的方法，损害买方的利益的行为。</w:t>
      </w:r>
    </w:p>
    <w:p>
      <w:pPr>
        <w:spacing w:line="360" w:lineRule="auto"/>
        <w:ind w:left="788" w:hanging="787" w:hangingChars="375"/>
        <w:rPr>
          <w:rFonts w:ascii="宋体" w:hAnsi="宋体"/>
          <w:szCs w:val="21"/>
        </w:rPr>
      </w:pPr>
      <w:r>
        <w:rPr>
          <w:rFonts w:hint="eastAsia" w:ascii="宋体" w:hAnsi="宋体"/>
          <w:szCs w:val="21"/>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rPr>
      </w:pPr>
      <w:bookmarkStart w:id="276" w:name="_Toc487900368"/>
      <w:bookmarkStart w:id="277" w:name="_Toc22065"/>
      <w:bookmarkStart w:id="278" w:name="_Toc415222515"/>
      <w:bookmarkStart w:id="279" w:name="_Toc23904"/>
      <w:r>
        <w:rPr>
          <w:rFonts w:hint="eastAsia" w:ascii="宋体" w:hAnsi="宋体"/>
          <w:szCs w:val="21"/>
        </w:rPr>
        <w:t>19．   破产终止合同</w:t>
      </w:r>
      <w:bookmarkEnd w:id="276"/>
      <w:bookmarkEnd w:id="277"/>
      <w:bookmarkEnd w:id="278"/>
      <w:bookmarkEnd w:id="279"/>
    </w:p>
    <w:p>
      <w:pPr>
        <w:spacing w:line="360" w:lineRule="auto"/>
        <w:ind w:left="788" w:hanging="787" w:hangingChars="375"/>
        <w:rPr>
          <w:rFonts w:ascii="宋体" w:hAnsi="宋体"/>
          <w:szCs w:val="21"/>
        </w:rPr>
      </w:pPr>
      <w:r>
        <w:rPr>
          <w:rFonts w:hint="eastAsia" w:ascii="宋体" w:hAnsi="宋体"/>
          <w:szCs w:val="21"/>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rPr>
      </w:pPr>
      <w:bookmarkStart w:id="280" w:name="_Toc415222516"/>
      <w:bookmarkStart w:id="281" w:name="_Toc487900369"/>
      <w:bookmarkStart w:id="282" w:name="_Toc10385"/>
      <w:bookmarkStart w:id="283" w:name="_Toc29725"/>
      <w:r>
        <w:rPr>
          <w:rFonts w:hint="eastAsia" w:ascii="宋体" w:hAnsi="宋体"/>
          <w:bCs/>
          <w:szCs w:val="21"/>
        </w:rPr>
        <w:t>20</w:t>
      </w:r>
      <w:r>
        <w:rPr>
          <w:rFonts w:hint="eastAsia" w:ascii="宋体" w:hAnsi="宋体"/>
          <w:szCs w:val="21"/>
        </w:rPr>
        <w:t>．</w:t>
      </w:r>
      <w:r>
        <w:rPr>
          <w:rFonts w:hint="eastAsia" w:ascii="宋体" w:hAnsi="宋体"/>
          <w:bCs/>
          <w:szCs w:val="21"/>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rPr>
      </w:pPr>
      <w:r>
        <w:rPr>
          <w:rFonts w:hint="eastAsia" w:ascii="宋体" w:hAnsi="宋体"/>
          <w:szCs w:val="21"/>
        </w:rPr>
        <w:t>20.1   采购合同不能整体转让。</w:t>
      </w:r>
    </w:p>
    <w:p>
      <w:pPr>
        <w:spacing w:line="360" w:lineRule="auto"/>
        <w:ind w:left="735" w:hanging="735" w:hangingChars="350"/>
        <w:rPr>
          <w:rFonts w:ascii="宋体" w:hAnsi="宋体"/>
          <w:szCs w:val="21"/>
        </w:rPr>
      </w:pPr>
      <w:r>
        <w:rPr>
          <w:rFonts w:hint="eastAsia" w:ascii="宋体" w:hAnsi="宋体"/>
          <w:szCs w:val="21"/>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rPr>
      </w:pPr>
      <w:bookmarkStart w:id="284" w:name="_Toc13194"/>
      <w:bookmarkStart w:id="285" w:name="_Toc487900370"/>
      <w:bookmarkStart w:id="286" w:name="_Toc415222517"/>
      <w:bookmarkStart w:id="287" w:name="_Toc2142"/>
      <w:r>
        <w:rPr>
          <w:rFonts w:hint="eastAsia" w:ascii="宋体" w:hAnsi="宋体"/>
          <w:szCs w:val="21"/>
        </w:rPr>
        <w:t>21．   合同修改</w:t>
      </w:r>
      <w:bookmarkEnd w:id="284"/>
      <w:bookmarkEnd w:id="285"/>
      <w:bookmarkEnd w:id="286"/>
      <w:bookmarkEnd w:id="287"/>
    </w:p>
    <w:p>
      <w:pPr>
        <w:spacing w:line="360" w:lineRule="auto"/>
        <w:ind w:left="788" w:hanging="787" w:hangingChars="375"/>
        <w:rPr>
          <w:rFonts w:hint="eastAsia" w:ascii="宋体" w:hAnsi="宋体"/>
          <w:szCs w:val="21"/>
        </w:rPr>
      </w:pPr>
      <w:r>
        <w:rPr>
          <w:rFonts w:hint="eastAsia" w:ascii="宋体" w:hAnsi="宋体"/>
          <w:szCs w:val="21"/>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rPr>
      </w:pPr>
      <w:bookmarkStart w:id="288" w:name="_Toc487900371"/>
      <w:bookmarkStart w:id="289" w:name="_Toc415222518"/>
      <w:bookmarkStart w:id="290" w:name="_Toc14345"/>
      <w:bookmarkStart w:id="291" w:name="_Toc737"/>
      <w:r>
        <w:rPr>
          <w:rFonts w:hint="eastAsia" w:ascii="宋体" w:hAnsi="宋体"/>
          <w:szCs w:val="21"/>
        </w:rPr>
        <w:t>22．   通知</w:t>
      </w:r>
      <w:bookmarkEnd w:id="288"/>
      <w:bookmarkEnd w:id="289"/>
      <w:bookmarkEnd w:id="290"/>
      <w:bookmarkEnd w:id="291"/>
    </w:p>
    <w:p>
      <w:pPr>
        <w:spacing w:line="360" w:lineRule="auto"/>
        <w:ind w:left="788" w:hanging="787" w:hangingChars="375"/>
        <w:rPr>
          <w:rFonts w:ascii="宋体" w:hAnsi="宋体"/>
          <w:szCs w:val="21"/>
        </w:rPr>
      </w:pPr>
      <w:r>
        <w:rPr>
          <w:rFonts w:hint="eastAsia" w:ascii="宋体" w:hAnsi="宋体"/>
          <w:szCs w:val="21"/>
        </w:rPr>
        <w:t>22.1   本合同任何一方给另一方的通知，都应以书面形式发送，而另一方也应以书面形式确认并发送到对方明确的地址。</w:t>
      </w:r>
    </w:p>
    <w:p>
      <w:pPr>
        <w:outlineLvl w:val="2"/>
        <w:rPr>
          <w:rFonts w:ascii="宋体" w:hAnsi="宋体"/>
          <w:szCs w:val="21"/>
        </w:rPr>
      </w:pPr>
      <w:bookmarkStart w:id="292" w:name="_Toc415222519"/>
      <w:bookmarkStart w:id="293" w:name="_Toc30523"/>
      <w:bookmarkStart w:id="294" w:name="_Toc27508"/>
      <w:bookmarkStart w:id="295" w:name="_Toc487900372"/>
      <w:r>
        <w:rPr>
          <w:rFonts w:hint="eastAsia" w:ascii="宋体" w:hAnsi="宋体"/>
          <w:szCs w:val="21"/>
        </w:rPr>
        <w:t>23．   计量单位</w:t>
      </w:r>
      <w:bookmarkEnd w:id="292"/>
      <w:bookmarkEnd w:id="293"/>
      <w:bookmarkEnd w:id="294"/>
      <w:bookmarkEnd w:id="295"/>
    </w:p>
    <w:p>
      <w:pPr>
        <w:spacing w:line="360" w:lineRule="auto"/>
        <w:ind w:left="788" w:hanging="787" w:hangingChars="375"/>
        <w:rPr>
          <w:rFonts w:ascii="宋体" w:hAnsi="宋体"/>
          <w:szCs w:val="21"/>
        </w:rPr>
      </w:pPr>
      <w:r>
        <w:rPr>
          <w:rFonts w:hint="eastAsia" w:ascii="宋体" w:hAnsi="宋体"/>
          <w:szCs w:val="21"/>
        </w:rPr>
        <w:t>23.1   除技术规范中另有规定外</w:t>
      </w:r>
      <w:r>
        <w:rPr>
          <w:rFonts w:ascii="宋体" w:hAnsi="宋体"/>
          <w:szCs w:val="21"/>
        </w:rPr>
        <w:t>,</w:t>
      </w:r>
      <w:r>
        <w:rPr>
          <w:rFonts w:hint="eastAsia" w:ascii="宋体" w:hAnsi="宋体"/>
          <w:szCs w:val="21"/>
        </w:rPr>
        <w:t>计量单位均使用国家法定计量单位。</w:t>
      </w:r>
    </w:p>
    <w:p>
      <w:pPr>
        <w:outlineLvl w:val="2"/>
        <w:rPr>
          <w:rFonts w:ascii="宋体" w:hAnsi="宋体"/>
          <w:szCs w:val="21"/>
        </w:rPr>
      </w:pPr>
      <w:bookmarkStart w:id="296" w:name="_Toc28567"/>
      <w:bookmarkStart w:id="297" w:name="_Toc23747"/>
      <w:bookmarkStart w:id="298" w:name="_Toc415222520"/>
      <w:bookmarkStart w:id="299" w:name="_Toc487900373"/>
      <w:r>
        <w:rPr>
          <w:rFonts w:hint="eastAsia" w:ascii="宋体" w:hAnsi="宋体"/>
          <w:szCs w:val="21"/>
        </w:rPr>
        <w:t>24．   适用法律</w:t>
      </w:r>
      <w:bookmarkEnd w:id="296"/>
      <w:bookmarkEnd w:id="297"/>
      <w:bookmarkEnd w:id="298"/>
      <w:bookmarkEnd w:id="299"/>
    </w:p>
    <w:p>
      <w:pPr>
        <w:spacing w:line="360" w:lineRule="auto"/>
        <w:ind w:left="788" w:hanging="787" w:hangingChars="375"/>
        <w:rPr>
          <w:rFonts w:ascii="宋体" w:hAnsi="宋体"/>
          <w:szCs w:val="21"/>
        </w:rPr>
      </w:pPr>
      <w:r>
        <w:rPr>
          <w:rFonts w:hint="eastAsia" w:ascii="宋体" w:hAnsi="宋体"/>
          <w:szCs w:val="21"/>
        </w:rPr>
        <w:t>24.1   本合同应按照中华人民共和国的法律进行解释。</w:t>
      </w:r>
    </w:p>
    <w:p>
      <w:pPr>
        <w:outlineLvl w:val="2"/>
        <w:rPr>
          <w:rFonts w:ascii="宋体" w:hAnsi="宋体"/>
          <w:szCs w:val="21"/>
        </w:rPr>
      </w:pPr>
      <w:bookmarkStart w:id="300" w:name="_Toc26432"/>
      <w:bookmarkStart w:id="301" w:name="_Toc415222521"/>
      <w:bookmarkStart w:id="302" w:name="_Toc5896"/>
      <w:bookmarkStart w:id="303" w:name="_Toc487900374"/>
      <w:r>
        <w:rPr>
          <w:rFonts w:ascii="宋体" w:hAnsi="宋体"/>
          <w:szCs w:val="21"/>
        </w:rPr>
        <w:t>2</w:t>
      </w:r>
      <w:r>
        <w:rPr>
          <w:rFonts w:hint="eastAsia" w:ascii="宋体" w:hAnsi="宋体"/>
          <w:szCs w:val="21"/>
        </w:rPr>
        <w:t>5．   履约保证金</w:t>
      </w:r>
      <w:bookmarkEnd w:id="300"/>
      <w:bookmarkEnd w:id="301"/>
      <w:bookmarkEnd w:id="302"/>
    </w:p>
    <w:p>
      <w:pPr>
        <w:spacing w:line="360" w:lineRule="auto"/>
        <w:ind w:left="788" w:hanging="787" w:hangingChars="375"/>
        <w:rPr>
          <w:rFonts w:hint="eastAsia" w:ascii="宋体" w:hAnsi="宋体"/>
          <w:szCs w:val="21"/>
        </w:rPr>
      </w:pPr>
      <w:r>
        <w:rPr>
          <w:rFonts w:ascii="宋体" w:hAnsi="宋体"/>
          <w:szCs w:val="21"/>
        </w:rPr>
        <w:t>2</w:t>
      </w:r>
      <w:r>
        <w:rPr>
          <w:rFonts w:hint="eastAsia" w:ascii="宋体" w:hAnsi="宋体"/>
          <w:szCs w:val="21"/>
        </w:rPr>
        <w:t>5</w:t>
      </w:r>
      <w:r>
        <w:rPr>
          <w:rFonts w:ascii="宋体" w:hAnsi="宋体"/>
          <w:szCs w:val="21"/>
        </w:rPr>
        <w:t xml:space="preserve">.1 </w:t>
      </w:r>
      <w:r>
        <w:rPr>
          <w:rFonts w:hint="eastAsia" w:ascii="宋体" w:hAnsi="宋体"/>
          <w:szCs w:val="21"/>
        </w:rPr>
        <w:t xml:space="preserve">  卖方应按合同专用条款规定缴纳履约保证金。</w:t>
      </w:r>
    </w:p>
    <w:p>
      <w:pPr>
        <w:spacing w:line="360" w:lineRule="auto"/>
        <w:ind w:left="788" w:hanging="787" w:hangingChars="375"/>
        <w:rPr>
          <w:rFonts w:hint="eastAsia" w:ascii="宋体" w:hAnsi="宋体"/>
          <w:szCs w:val="21"/>
        </w:rPr>
      </w:pPr>
      <w:r>
        <w:rPr>
          <w:rFonts w:hint="eastAsia" w:ascii="宋体" w:hAnsi="宋体"/>
          <w:szCs w:val="21"/>
        </w:rPr>
        <w:t>25.2   履约保证金用于补偿买方因卖方不能履行其合同义务而蒙受的损失。</w:t>
      </w:r>
    </w:p>
    <w:p>
      <w:pPr>
        <w:spacing w:line="360" w:lineRule="auto"/>
        <w:ind w:left="788" w:hanging="787" w:hangingChars="375"/>
        <w:rPr>
          <w:rFonts w:hint="eastAsia" w:ascii="宋体" w:hAnsi="宋体"/>
          <w:szCs w:val="21"/>
        </w:rPr>
      </w:pPr>
      <w:r>
        <w:rPr>
          <w:rFonts w:hint="eastAsia" w:ascii="宋体" w:hAnsi="宋体"/>
          <w:szCs w:val="21"/>
        </w:rPr>
        <w:t>25.3   履约保证金应使用本合同货币，按下述方式之一提交：</w:t>
      </w:r>
    </w:p>
    <w:p>
      <w:pPr>
        <w:spacing w:line="360" w:lineRule="auto"/>
        <w:ind w:left="899" w:leftChars="428"/>
        <w:rPr>
          <w:rFonts w:ascii="宋体" w:hAnsi="宋体"/>
          <w:szCs w:val="21"/>
        </w:rPr>
      </w:pPr>
      <w:r>
        <w:rPr>
          <w:rFonts w:hint="eastAsia" w:ascii="宋体" w:hAnsi="宋体"/>
          <w:szCs w:val="21"/>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rPr>
      </w:pPr>
      <w:r>
        <w:rPr>
          <w:rFonts w:hint="eastAsia" w:ascii="宋体" w:hAnsi="宋体"/>
          <w:szCs w:val="21"/>
        </w:rPr>
        <w:t>B. 支票、汇票。</w:t>
      </w:r>
    </w:p>
    <w:p>
      <w:pPr>
        <w:spacing w:line="360" w:lineRule="auto"/>
        <w:ind w:left="890" w:leftChars="399" w:hanging="52" w:hangingChars="25"/>
        <w:rPr>
          <w:rFonts w:ascii="宋体" w:hAnsi="宋体"/>
          <w:szCs w:val="21"/>
        </w:rPr>
      </w:pPr>
      <w:r>
        <w:rPr>
          <w:rFonts w:hint="eastAsia" w:ascii="宋体" w:hAnsi="宋体"/>
          <w:szCs w:val="21"/>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rPr>
      </w:pPr>
      <w:r>
        <w:rPr>
          <w:rFonts w:hint="eastAsia" w:ascii="宋体" w:hAnsi="宋体"/>
          <w:szCs w:val="21"/>
        </w:rPr>
        <w:t>25.4</w:t>
      </w:r>
      <w:r>
        <w:rPr>
          <w:rFonts w:hint="eastAsia" w:ascii="宋体" w:hAnsi="宋体"/>
          <w:szCs w:val="21"/>
        </w:rPr>
        <w:tab/>
      </w:r>
      <w:r>
        <w:rPr>
          <w:rFonts w:hint="eastAsia" w:ascii="宋体" w:hAnsi="宋体"/>
          <w:szCs w:val="21"/>
        </w:rPr>
        <w:t>履约保证金在法定的货物质量保证期期满前应完全有效。</w:t>
      </w:r>
    </w:p>
    <w:p>
      <w:pPr>
        <w:spacing w:line="360" w:lineRule="auto"/>
        <w:ind w:left="788" w:hanging="787" w:hangingChars="375"/>
        <w:rPr>
          <w:rFonts w:hint="eastAsia" w:ascii="宋体" w:hAnsi="宋体"/>
          <w:szCs w:val="21"/>
        </w:rPr>
      </w:pPr>
      <w:r>
        <w:rPr>
          <w:rFonts w:hint="eastAsia" w:ascii="宋体" w:hAnsi="宋体"/>
          <w:szCs w:val="21"/>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rPr>
      </w:pPr>
      <w:bookmarkStart w:id="304" w:name="_Toc415222522"/>
      <w:bookmarkStart w:id="305" w:name="_Toc26939"/>
      <w:bookmarkStart w:id="306" w:name="_Toc31958"/>
      <w:r>
        <w:rPr>
          <w:rFonts w:hint="eastAsia" w:ascii="宋体" w:hAnsi="宋体"/>
          <w:szCs w:val="21"/>
        </w:rPr>
        <w:t>26．   合同生效</w:t>
      </w:r>
      <w:bookmarkEnd w:id="303"/>
      <w:r>
        <w:rPr>
          <w:rFonts w:hint="eastAsia" w:ascii="宋体" w:hAnsi="宋体"/>
          <w:szCs w:val="21"/>
        </w:rPr>
        <w:t>和其它</w:t>
      </w:r>
      <w:bookmarkEnd w:id="304"/>
      <w:bookmarkEnd w:id="305"/>
      <w:bookmarkEnd w:id="306"/>
    </w:p>
    <w:p>
      <w:pPr>
        <w:spacing w:line="360" w:lineRule="auto"/>
        <w:ind w:left="735" w:hanging="735" w:hangingChars="350"/>
        <w:rPr>
          <w:rFonts w:hint="eastAsia" w:ascii="宋体" w:hAnsi="宋体"/>
          <w:szCs w:val="21"/>
        </w:rPr>
      </w:pPr>
      <w:bookmarkStart w:id="307" w:name="_Toc216513786"/>
      <w:bookmarkStart w:id="308" w:name="_Toc218935339"/>
      <w:bookmarkStart w:id="309" w:name="_Toc219175623"/>
      <w:r>
        <w:rPr>
          <w:rFonts w:hint="eastAsia" w:ascii="宋体" w:hAnsi="宋体"/>
          <w:szCs w:val="21"/>
        </w:rPr>
        <w:t>26.1   采购项目的采购合同内容的确定应以招标文件和投标文件为基础，不得违背其实质性内容。采购项目的采购合同自签订之日起七个工作日内，买方应当将合同副本报同级采购监督管理部门和有关部门备案。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rPr>
      </w:pPr>
      <w:r>
        <w:rPr>
          <w:rFonts w:hint="eastAsia" w:ascii="宋体" w:hAnsi="宋体"/>
          <w:szCs w:val="21"/>
        </w:rPr>
        <w:t>26.2   本合同份数按合同专用条款规定。</w:t>
      </w:r>
    </w:p>
    <w:p>
      <w:pPr>
        <w:pStyle w:val="3"/>
        <w:spacing w:line="360" w:lineRule="auto"/>
        <w:ind w:left="540" w:leftChars="257"/>
        <w:rPr>
          <w:rFonts w:hint="eastAsia" w:ascii="宋体" w:hAnsi="宋体" w:cs="宋体"/>
          <w:szCs w:val="21"/>
          <w:highlight w:val="green"/>
        </w:rPr>
      </w:pPr>
      <w:r>
        <w:rPr>
          <w:rFonts w:ascii="宋体" w:hAnsi="宋体" w:eastAsia="宋体"/>
          <w:sz w:val="21"/>
          <w:szCs w:val="21"/>
        </w:rPr>
        <w:br w:type="page"/>
      </w:r>
      <w:bookmarkStart w:id="310" w:name="_Toc109736066"/>
      <w:bookmarkStart w:id="311" w:name="_Toc4088"/>
      <w:bookmarkStart w:id="312" w:name="_Toc29842"/>
      <w:bookmarkStart w:id="313" w:name="_Toc109736068"/>
      <w:bookmarkStart w:id="314" w:name="_Toc415222523"/>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w:t>
      </w:r>
      <w:r>
        <w:rPr>
          <w:rFonts w:hint="eastAsia" w:ascii="宋体" w:hAnsi="宋体" w:eastAsia="宋体" w:cs="宋体"/>
          <w:kern w:val="44"/>
          <w:sz w:val="21"/>
          <w:szCs w:val="21"/>
          <w:highlight w:val="none"/>
          <w:lang w:val="en-US" w:eastAsia="zh-CN"/>
        </w:rPr>
        <w:t>服务</w:t>
      </w:r>
      <w:r>
        <w:rPr>
          <w:rFonts w:hint="eastAsia" w:ascii="宋体" w:hAnsi="宋体" w:eastAsia="宋体" w:cs="宋体"/>
          <w:kern w:val="44"/>
          <w:sz w:val="21"/>
          <w:szCs w:val="21"/>
          <w:highlight w:val="none"/>
        </w:rPr>
        <w:t>类）</w:t>
      </w:r>
      <w:bookmarkEnd w:id="310"/>
      <w:bookmarkEnd w:id="311"/>
    </w:p>
    <w:p>
      <w:pPr>
        <w:jc w:val="center"/>
        <w:rPr>
          <w:rFonts w:hint="eastAsia" w:ascii="仿宋" w:hAnsi="仿宋" w:eastAsia="仿宋" w:cs="仿宋"/>
          <w:sz w:val="32"/>
          <w:szCs w:val="32"/>
          <w:lang w:val="en-US" w:eastAsia="zh-CN"/>
        </w:rPr>
      </w:pPr>
      <w:r>
        <w:rPr>
          <w:rFonts w:hint="eastAsia" w:ascii="仿宋" w:hAnsi="仿宋" w:eastAsia="仿宋" w:cs="仿宋"/>
          <w:b/>
          <w:sz w:val="32"/>
          <w:szCs w:val="32"/>
        </w:rPr>
        <w:t xml:space="preserve"> 合</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同</w:t>
      </w:r>
      <w:r>
        <w:rPr>
          <w:rFonts w:hint="eastAsia" w:ascii="仿宋" w:hAnsi="仿宋" w:eastAsia="仿宋" w:cs="仿宋"/>
          <w:b/>
          <w:sz w:val="32"/>
          <w:szCs w:val="32"/>
          <w:lang w:val="en-US" w:eastAsia="zh-CN"/>
        </w:rPr>
        <w:t xml:space="preserve"> 模 板</w:t>
      </w:r>
    </w:p>
    <w:p>
      <w:pPr>
        <w:jc w:val="left"/>
        <w:rPr>
          <w:rFonts w:ascii="Times New Roman" w:hAnsi="Times New Roman" w:eastAsia="宋体"/>
          <w:sz w:val="24"/>
          <w:szCs w:val="24"/>
          <w:u w:val="single"/>
        </w:rPr>
      </w:pPr>
      <w:r>
        <w:rPr>
          <w:rFonts w:hint="eastAsia" w:ascii="Times New Roman" w:hAnsi="Times New Roman" w:eastAsia="宋体"/>
          <w:sz w:val="24"/>
          <w:szCs w:val="24"/>
        </w:rPr>
        <w:t>项目名称：</w:t>
      </w:r>
      <w:r>
        <w:rPr>
          <w:rFonts w:hint="eastAsia" w:ascii="Times New Roman" w:hAnsi="Times New Roman" w:eastAsia="宋体"/>
          <w:sz w:val="24"/>
          <w:szCs w:val="24"/>
          <w:u w:val="single"/>
        </w:rPr>
        <w:t xml:space="preserve">                      </w:t>
      </w:r>
      <w:r>
        <w:rPr>
          <w:rFonts w:hint="eastAsia" w:ascii="Times New Roman" w:hAnsi="Times New Roman" w:eastAsia="宋体"/>
          <w:sz w:val="24"/>
          <w:szCs w:val="24"/>
          <w:u w:val="single"/>
          <w:lang w:val="en-US" w:eastAsia="zh-CN"/>
        </w:rPr>
        <w:t>委托检测</w:t>
      </w:r>
      <w:r>
        <w:rPr>
          <w:rFonts w:hint="eastAsia" w:ascii="Times New Roman" w:hAnsi="Times New Roman" w:eastAsia="宋体"/>
          <w:sz w:val="24"/>
          <w:szCs w:val="24"/>
          <w:u w:val="single"/>
        </w:rPr>
        <w:t xml:space="preserve">                                        </w:t>
      </w:r>
    </w:p>
    <w:p>
      <w:pPr>
        <w:jc w:val="left"/>
        <w:rPr>
          <w:rFonts w:ascii="Times New Roman" w:hAnsi="Times New Roman" w:eastAsia="宋体"/>
          <w:sz w:val="24"/>
          <w:szCs w:val="24"/>
          <w:u w:val="single"/>
        </w:rPr>
      </w:pPr>
    </w:p>
    <w:p>
      <w:pPr>
        <w:jc w:val="left"/>
        <w:rPr>
          <w:rFonts w:ascii="Times New Roman" w:hAnsi="Times New Roman" w:eastAsia="宋体"/>
          <w:sz w:val="24"/>
          <w:szCs w:val="24"/>
          <w:u w:val="single"/>
        </w:rPr>
      </w:pPr>
    </w:p>
    <w:p>
      <w:pPr>
        <w:spacing w:line="360" w:lineRule="auto"/>
        <w:jc w:val="left"/>
        <w:rPr>
          <w:rFonts w:ascii="Times New Roman" w:hAnsi="Times New Roman" w:eastAsia="宋体"/>
          <w:sz w:val="24"/>
          <w:szCs w:val="24"/>
        </w:rPr>
      </w:pPr>
      <w:r>
        <w:rPr>
          <w:rFonts w:hint="eastAsia" w:ascii="Times New Roman" w:hAnsi="Times New Roman" w:eastAsia="宋体"/>
          <w:sz w:val="24"/>
          <w:szCs w:val="24"/>
        </w:rPr>
        <w:t>委 托 人：</w:t>
      </w:r>
      <w:r>
        <w:rPr>
          <w:rFonts w:hint="eastAsia" w:ascii="Times New Roman" w:hAnsi="Times New Roman" w:eastAsia="宋体"/>
          <w:sz w:val="24"/>
          <w:szCs w:val="24"/>
          <w:u w:val="single"/>
        </w:rPr>
        <w:t xml:space="preserve">            </w:t>
      </w:r>
      <w:r>
        <w:rPr>
          <w:rFonts w:hint="eastAsia" w:ascii="Times New Roman" w:hAnsi="Times New Roman" w:eastAsia="宋体"/>
          <w:sz w:val="24"/>
          <w:szCs w:val="24"/>
          <w:u w:val="single"/>
          <w:lang w:val="en-US" w:eastAsia="zh-CN"/>
        </w:rPr>
        <w:t xml:space="preserve">国药集团扬州威克生物工程有限公司 </w:t>
      </w:r>
      <w:r>
        <w:rPr>
          <w:rFonts w:hint="eastAsia" w:ascii="宋体" w:hAnsi="宋体" w:eastAsia="宋体" w:cs="宋体"/>
          <w:sz w:val="24"/>
          <w:szCs w:val="24"/>
          <w:u w:val="single"/>
        </w:rPr>
        <w:t xml:space="preserve">         </w:t>
      </w:r>
      <w:r>
        <w:rPr>
          <w:rFonts w:hint="eastAsia" w:ascii="Times New Roman" w:hAnsi="Times New Roman" w:eastAsia="宋体"/>
          <w:sz w:val="24"/>
          <w:szCs w:val="24"/>
          <w:u w:val="single"/>
        </w:rPr>
        <w:t xml:space="preserve">                        </w:t>
      </w:r>
      <w:r>
        <w:rPr>
          <w:rFonts w:hint="eastAsia" w:ascii="Times New Roman" w:hAnsi="Times New Roman" w:eastAsia="宋体"/>
          <w:sz w:val="24"/>
          <w:szCs w:val="24"/>
        </w:rPr>
        <w:t>(甲  方)</w:t>
      </w:r>
    </w:p>
    <w:p>
      <w:pPr>
        <w:jc w:val="left"/>
        <w:rPr>
          <w:rFonts w:ascii="Times New Roman" w:hAnsi="Times New Roman" w:eastAsia="宋体"/>
          <w:sz w:val="24"/>
          <w:szCs w:val="24"/>
        </w:rPr>
      </w:pPr>
    </w:p>
    <w:p>
      <w:pPr>
        <w:spacing w:line="360" w:lineRule="auto"/>
        <w:jc w:val="left"/>
        <w:rPr>
          <w:rFonts w:ascii="Times New Roman" w:hAnsi="Times New Roman" w:eastAsia="宋体"/>
          <w:sz w:val="24"/>
          <w:szCs w:val="24"/>
        </w:rPr>
      </w:pPr>
      <w:r>
        <w:rPr>
          <w:rFonts w:hint="eastAsia" w:ascii="Times New Roman" w:hAnsi="Times New Roman" w:eastAsia="宋体"/>
          <w:sz w:val="24"/>
          <w:szCs w:val="24"/>
        </w:rPr>
        <w:t>受 托 人：</w:t>
      </w:r>
      <w:r>
        <w:rPr>
          <w:rFonts w:hint="eastAsia" w:ascii="Times New Roman" w:hAnsi="Times New Roman" w:eastAsia="宋体"/>
          <w:sz w:val="24"/>
          <w:szCs w:val="24"/>
          <w:u w:val="single"/>
        </w:rPr>
        <w:t xml:space="preserve">                                   </w:t>
      </w:r>
      <w:r>
        <w:rPr>
          <w:rFonts w:hint="eastAsia" w:ascii="Times New Roman" w:hAnsi="Times New Roman" w:eastAsia="宋体"/>
          <w:sz w:val="24"/>
          <w:szCs w:val="24"/>
        </w:rPr>
        <w:t xml:space="preserve">      </w:t>
      </w:r>
    </w:p>
    <w:p>
      <w:pPr>
        <w:spacing w:line="360" w:lineRule="auto"/>
        <w:jc w:val="left"/>
        <w:rPr>
          <w:rFonts w:ascii="Times New Roman" w:hAnsi="Times New Roman" w:eastAsia="宋体"/>
          <w:sz w:val="24"/>
          <w:szCs w:val="24"/>
        </w:rPr>
      </w:pPr>
      <w:r>
        <w:rPr>
          <w:rFonts w:hint="eastAsia" w:ascii="Times New Roman" w:hAnsi="Times New Roman" w:eastAsia="宋体"/>
          <w:sz w:val="24"/>
          <w:szCs w:val="24"/>
        </w:rPr>
        <w:t xml:space="preserve">(乙   方)                                                             </w:t>
      </w:r>
      <w:r>
        <w:rPr>
          <w:rFonts w:hint="eastAsia" w:ascii="Times New Roman" w:hAnsi="Times New Roman" w:eastAsia="宋体"/>
          <w:sz w:val="24"/>
          <w:szCs w:val="24"/>
          <w:u w:val="single"/>
        </w:rPr>
        <w:t xml:space="preserve">  </w:t>
      </w:r>
      <w:r>
        <w:rPr>
          <w:rFonts w:hint="eastAsia" w:ascii="Times New Roman" w:hAnsi="Times New Roman" w:eastAsia="宋体"/>
          <w:sz w:val="24"/>
          <w:szCs w:val="24"/>
        </w:rPr>
        <w:t xml:space="preserve">      </w:t>
      </w:r>
    </w:p>
    <w:p>
      <w:pPr>
        <w:jc w:val="left"/>
        <w:rPr>
          <w:rFonts w:ascii="Times New Roman" w:hAnsi="Times New Roman" w:eastAsia="宋体"/>
          <w:sz w:val="24"/>
          <w:szCs w:val="24"/>
        </w:rPr>
      </w:pPr>
      <w:r>
        <w:rPr>
          <w:rFonts w:hint="eastAsia" w:ascii="Times New Roman" w:hAnsi="Times New Roman" w:eastAsia="宋体"/>
          <w:sz w:val="24"/>
          <w:szCs w:val="24"/>
        </w:rPr>
        <w:t>签订地点：</w:t>
      </w:r>
      <w:r>
        <w:rPr>
          <w:rFonts w:hint="eastAsia" w:ascii="Times New Roman" w:hAnsi="Times New Roman" w:eastAsia="宋体"/>
          <w:sz w:val="24"/>
          <w:szCs w:val="24"/>
          <w:u w:val="single"/>
        </w:rPr>
        <w:t xml:space="preserve"> 江苏 </w:t>
      </w:r>
      <w:r>
        <w:rPr>
          <w:rFonts w:hint="eastAsia" w:ascii="Times New Roman" w:hAnsi="Times New Roman" w:eastAsia="宋体"/>
          <w:sz w:val="24"/>
          <w:szCs w:val="24"/>
        </w:rPr>
        <w:t>省</w:t>
      </w:r>
      <w:r>
        <w:rPr>
          <w:rFonts w:hint="eastAsia" w:ascii="Times New Roman" w:hAnsi="Times New Roman" w:eastAsia="宋体"/>
          <w:sz w:val="24"/>
          <w:szCs w:val="24"/>
          <w:u w:val="single"/>
        </w:rPr>
        <w:t xml:space="preserve"> 扬州 </w:t>
      </w:r>
      <w:r>
        <w:rPr>
          <w:rFonts w:hint="eastAsia" w:ascii="Times New Roman" w:hAnsi="Times New Roman" w:eastAsia="宋体"/>
          <w:sz w:val="24"/>
          <w:szCs w:val="24"/>
        </w:rPr>
        <w:t>市</w:t>
      </w:r>
    </w:p>
    <w:p>
      <w:pPr>
        <w:tabs>
          <w:tab w:val="left" w:pos="5866"/>
        </w:tabs>
        <w:jc w:val="left"/>
        <w:rPr>
          <w:rFonts w:ascii="Times New Roman" w:hAnsi="Times New Roman" w:eastAsia="宋体"/>
          <w:sz w:val="24"/>
          <w:szCs w:val="24"/>
        </w:rPr>
      </w:pPr>
      <w:r>
        <w:rPr>
          <w:rFonts w:hint="eastAsia" w:ascii="Times New Roman" w:hAnsi="Times New Roman" w:eastAsia="宋体"/>
          <w:sz w:val="24"/>
          <w:szCs w:val="24"/>
        </w:rPr>
        <w:t>签订日期：</w:t>
      </w:r>
      <w:r>
        <w:rPr>
          <w:rFonts w:hint="eastAsia" w:ascii="Times New Roman" w:hAnsi="Times New Roman" w:eastAsia="宋体"/>
          <w:sz w:val="24"/>
          <w:szCs w:val="24"/>
          <w:u w:val="single"/>
        </w:rPr>
        <w:t xml:space="preserve"> </w:t>
      </w:r>
      <w:r>
        <w:rPr>
          <w:rFonts w:hint="eastAsia"/>
          <w:sz w:val="24"/>
          <w:szCs w:val="24"/>
          <w:u w:val="single"/>
          <w:lang w:val="en-US" w:eastAsia="zh-CN"/>
        </w:rPr>
        <w:t xml:space="preserve">   </w:t>
      </w:r>
      <w:r>
        <w:rPr>
          <w:rFonts w:hint="eastAsia" w:ascii="Times New Roman" w:hAnsi="Times New Roman" w:eastAsia="宋体"/>
          <w:sz w:val="24"/>
          <w:szCs w:val="24"/>
          <w:u w:val="single"/>
        </w:rPr>
        <w:t xml:space="preserve"> </w:t>
      </w:r>
      <w:r>
        <w:rPr>
          <w:rFonts w:hint="eastAsia" w:ascii="Times New Roman" w:hAnsi="Times New Roman" w:eastAsia="宋体"/>
          <w:sz w:val="24"/>
          <w:szCs w:val="24"/>
        </w:rPr>
        <w:t>年</w:t>
      </w:r>
      <w:r>
        <w:rPr>
          <w:rFonts w:hint="eastAsia"/>
          <w:sz w:val="24"/>
          <w:szCs w:val="24"/>
          <w:lang w:val="en-US" w:eastAsia="zh-CN"/>
        </w:rPr>
        <w:t xml:space="preserve">   </w:t>
      </w:r>
      <w:r>
        <w:rPr>
          <w:rFonts w:hint="eastAsia" w:ascii="Times New Roman" w:hAnsi="Times New Roman" w:eastAsia="宋体"/>
          <w:sz w:val="24"/>
          <w:szCs w:val="24"/>
        </w:rPr>
        <w:t>月</w:t>
      </w:r>
      <w:r>
        <w:rPr>
          <w:rFonts w:hint="eastAsia" w:ascii="Times New Roman" w:hAnsi="Times New Roman" w:eastAsia="宋体"/>
          <w:sz w:val="24"/>
          <w:szCs w:val="24"/>
          <w:u w:val="single"/>
        </w:rPr>
        <w:t xml:space="preserve">  </w:t>
      </w:r>
      <w:r>
        <w:rPr>
          <w:rFonts w:hint="eastAsia"/>
          <w:sz w:val="24"/>
          <w:szCs w:val="24"/>
          <w:u w:val="single"/>
          <w:lang w:val="en-US" w:eastAsia="zh-CN"/>
        </w:rPr>
        <w:t xml:space="preserve">  </w:t>
      </w:r>
      <w:r>
        <w:rPr>
          <w:rFonts w:hint="eastAsia" w:ascii="Times New Roman" w:hAnsi="Times New Roman" w:eastAsia="宋体"/>
          <w:sz w:val="24"/>
          <w:szCs w:val="24"/>
        </w:rPr>
        <w:t>日</w:t>
      </w:r>
      <w:r>
        <w:rPr>
          <w:rFonts w:hint="eastAsia" w:ascii="Times New Roman" w:hAnsi="Times New Roman" w:eastAsia="宋体"/>
          <w:sz w:val="24"/>
          <w:szCs w:val="24"/>
        </w:rPr>
        <w:tab/>
      </w:r>
    </w:p>
    <w:p>
      <w:pPr>
        <w:jc w:val="left"/>
        <w:rPr>
          <w:rFonts w:ascii="Times New Roman" w:hAnsi="Times New Roman" w:eastAsia="宋体"/>
          <w:color w:val="auto"/>
          <w:sz w:val="24"/>
          <w:szCs w:val="24"/>
        </w:rPr>
      </w:pPr>
      <w:r>
        <w:rPr>
          <w:rFonts w:hint="eastAsia" w:ascii="Times New Roman" w:hAnsi="Times New Roman" w:eastAsia="宋体"/>
          <w:sz w:val="24"/>
          <w:szCs w:val="24"/>
        </w:rPr>
        <w:t>依据《中华人民共和国合同法》的规定，合同双方就</w:t>
      </w:r>
      <w:r>
        <w:rPr>
          <w:rFonts w:hint="eastAsia" w:ascii="Times New Roman" w:hAnsi="Times New Roman" w:eastAsia="宋体"/>
          <w:color w:val="FF0000"/>
          <w:sz w:val="24"/>
          <w:szCs w:val="24"/>
          <w:u w:val="single"/>
        </w:rPr>
        <w:t xml:space="preserve"> </w:t>
      </w:r>
      <w:r>
        <w:rPr>
          <w:rFonts w:hint="eastAsia" w:ascii="Times New Roman" w:hAnsi="Times New Roman" w:eastAsia="宋体"/>
          <w:color w:val="auto"/>
          <w:sz w:val="24"/>
          <w:szCs w:val="24"/>
          <w:u w:val="single"/>
          <w:lang w:val="en-US" w:eastAsia="zh-CN"/>
        </w:rPr>
        <w:t>委托</w:t>
      </w:r>
      <w:r>
        <w:rPr>
          <w:rFonts w:hint="eastAsia" w:ascii="Times New Roman" w:hAnsi="Times New Roman" w:eastAsia="宋体"/>
          <w:color w:val="auto"/>
          <w:sz w:val="24"/>
          <w:szCs w:val="24"/>
          <w:u w:val="single"/>
        </w:rPr>
        <w:t xml:space="preserve">检测  </w:t>
      </w:r>
      <w:r>
        <w:rPr>
          <w:rFonts w:hint="eastAsia" w:ascii="Times New Roman" w:hAnsi="Times New Roman" w:eastAsia="宋体"/>
          <w:color w:val="auto"/>
          <w:sz w:val="24"/>
          <w:szCs w:val="24"/>
        </w:rPr>
        <w:t>项目的环境检测服务费用，经协商一致 ，签订本合同。</w:t>
      </w:r>
    </w:p>
    <w:p>
      <w:pPr>
        <w:jc w:val="left"/>
        <w:rPr>
          <w:rFonts w:ascii="Times New Roman" w:hAnsi="Times New Roman" w:eastAsia="宋体"/>
          <w:color w:val="auto"/>
          <w:sz w:val="24"/>
          <w:szCs w:val="24"/>
        </w:rPr>
      </w:pPr>
    </w:p>
    <w:p>
      <w:pPr>
        <w:spacing w:line="360" w:lineRule="auto"/>
        <w:jc w:val="left"/>
        <w:rPr>
          <w:rFonts w:ascii="Times New Roman" w:hAnsi="Times New Roman" w:eastAsia="宋体"/>
          <w:color w:val="auto"/>
          <w:sz w:val="24"/>
          <w:szCs w:val="24"/>
        </w:rPr>
      </w:pPr>
      <w:r>
        <w:rPr>
          <w:rFonts w:hint="eastAsia" w:ascii="Times New Roman" w:hAnsi="Times New Roman" w:eastAsia="宋体"/>
          <w:color w:val="auto"/>
          <w:sz w:val="24"/>
          <w:szCs w:val="24"/>
        </w:rPr>
        <w:t>一、测试信息确认</w:t>
      </w:r>
    </w:p>
    <w:tbl>
      <w:tblPr>
        <w:tblpPr w:leftFromText="180" w:rightFromText="180" w:vertAnchor="text" w:horzAnchor="page" w:tblpX="1838" w:tblpY="121"/>
        <w:tblOverlap w:val="never"/>
        <w:tblW w:w="83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12"/>
        <w:gridCol w:w="7050"/>
      </w:tblGrid>
      <w:tr>
        <w:trPr>
          <w:trHeight w:val="745" w:hRule="atLeast"/>
        </w:trPr>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服务类型</w:t>
            </w:r>
          </w:p>
        </w:tc>
        <w:tc>
          <w:tcPr>
            <w:tcW w:w="7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标准（7个工作日）    □加急（5个工作日）     □ 特急（3个工作日）            □其他：</w:t>
            </w:r>
          </w:p>
        </w:tc>
      </w:tr>
      <w:tr>
        <w:trPr>
          <w:trHeight w:val="745" w:hRule="atLeast"/>
        </w:trPr>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报告要求</w:t>
            </w:r>
          </w:p>
        </w:tc>
        <w:tc>
          <w:tcPr>
            <w:tcW w:w="7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 xml:space="preserve">□需要分报告：□检测项目    □检测类型    □样品   □与分包项目分开□其他：     </w:t>
            </w:r>
          </w:p>
        </w:tc>
      </w:tr>
      <w:tr>
        <w:trPr>
          <w:trHeight w:val="716" w:hRule="atLeast"/>
        </w:trPr>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测试方法</w:t>
            </w:r>
          </w:p>
        </w:tc>
        <w:tc>
          <w:tcPr>
            <w:tcW w:w="7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授权选定国家标准检测方法    □非标方法或ISO检测方法</w:t>
            </w:r>
          </w:p>
        </w:tc>
      </w:tr>
      <w:tr>
        <w:trPr>
          <w:trHeight w:val="745" w:hRule="atLeast"/>
        </w:trPr>
        <w:tc>
          <w:tcPr>
            <w:tcW w:w="13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检测分包</w:t>
            </w:r>
          </w:p>
        </w:tc>
        <w:tc>
          <w:tcPr>
            <w:tcW w:w="7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a、如需要分包：</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授权选择有能力的检测分包方</w:t>
            </w:r>
          </w:p>
        </w:tc>
      </w:tr>
      <w:tr>
        <w:trPr>
          <w:trHeight w:val="745" w:hRule="atLeast"/>
        </w:trPr>
        <w:tc>
          <w:tcPr>
            <w:tcW w:w="13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auto"/>
                <w:sz w:val="24"/>
                <w:szCs w:val="24"/>
              </w:rPr>
            </w:pPr>
          </w:p>
        </w:tc>
        <w:tc>
          <w:tcPr>
            <w:tcW w:w="7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b、默许将分包项目结果纳入到三方的检测报告中，如分包项目结果需要单独出具报告，请备注：</w:t>
            </w:r>
          </w:p>
        </w:tc>
      </w:tr>
      <w:tr>
        <w:trPr>
          <w:trHeight w:val="756" w:hRule="atLeast"/>
        </w:trPr>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余样处理</w:t>
            </w:r>
          </w:p>
        </w:tc>
        <w:tc>
          <w:tcPr>
            <w:tcW w:w="7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对于测试完之后的样品，不论是采样或送样，实验室依照内部管理要求进行处理，包括销毁等，除非有如下特别说明：□自行取回   □其他</w:t>
            </w:r>
          </w:p>
        </w:tc>
      </w:tr>
    </w:tbl>
    <w:p>
      <w:pPr>
        <w:spacing w:line="360" w:lineRule="auto"/>
        <w:jc w:val="left"/>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rPr>
        <w:t>说明：</w:t>
      </w:r>
    </w:p>
    <w:p>
      <w:pPr>
        <w:numPr>
          <w:numId w:val="0"/>
        </w:numPr>
        <w:spacing w:line="360" w:lineRule="auto"/>
        <w:jc w:val="left"/>
        <w:rPr>
          <w:rFonts w:ascii="Times New Roman" w:hAnsi="Times New Roman" w:eastAsia="宋体"/>
          <w:color w:val="auto"/>
          <w:sz w:val="24"/>
          <w:szCs w:val="24"/>
        </w:rPr>
      </w:pPr>
      <w:r>
        <w:rPr>
          <w:rFonts w:hint="eastAsia" w:ascii="Times New Roman" w:hAnsi="Times New Roman" w:eastAsia="宋体"/>
          <w:color w:val="auto"/>
          <w:sz w:val="24"/>
          <w:szCs w:val="24"/>
          <w:lang w:val="en-US" w:eastAsia="zh-CN"/>
        </w:rPr>
        <w:t>1</w:t>
      </w:r>
      <w:r>
        <w:rPr>
          <w:rFonts w:hint="eastAsia" w:ascii="Times New Roman" w:hAnsi="Times New Roman" w:eastAsia="宋体"/>
          <w:color w:val="auto"/>
          <w:sz w:val="24"/>
          <w:szCs w:val="24"/>
        </w:rPr>
        <w:t xml:space="preserve">、如客户所委托的检测项目与上述所列不符时，检测费将以实际情况确定最后收费额。  </w:t>
      </w:r>
    </w:p>
    <w:p>
      <w:pPr>
        <w:numPr>
          <w:numId w:val="0"/>
        </w:numPr>
        <w:spacing w:line="360" w:lineRule="auto"/>
        <w:jc w:val="left"/>
        <w:rPr>
          <w:rFonts w:ascii="Times New Roman" w:hAnsi="Times New Roman" w:eastAsia="宋体"/>
          <w:color w:val="auto"/>
          <w:sz w:val="24"/>
          <w:szCs w:val="24"/>
        </w:rPr>
      </w:pPr>
      <w:r>
        <w:rPr>
          <w:rFonts w:hint="eastAsia" w:ascii="Times New Roman" w:hAnsi="Times New Roman" w:eastAsia="宋体"/>
          <w:color w:val="auto"/>
          <w:sz w:val="24"/>
          <w:szCs w:val="24"/>
          <w:lang w:val="en-US" w:eastAsia="zh-CN"/>
        </w:rPr>
        <w:t>2</w:t>
      </w:r>
      <w:r>
        <w:rPr>
          <w:rFonts w:hint="eastAsia" w:ascii="Times New Roman" w:hAnsi="Times New Roman" w:eastAsia="宋体"/>
          <w:color w:val="auto"/>
          <w:sz w:val="24"/>
          <w:szCs w:val="24"/>
        </w:rPr>
        <w:t>、</w:t>
      </w:r>
      <w:r>
        <w:rPr>
          <w:rFonts w:ascii="Times New Roman" w:hAnsi="Times New Roman" w:eastAsia="宋体"/>
          <w:color w:val="auto"/>
          <w:sz w:val="24"/>
          <w:szCs w:val="24"/>
        </w:rPr>
        <w:t>加急测试：</w:t>
      </w:r>
      <w:r>
        <w:rPr>
          <w:rFonts w:hint="eastAsia" w:ascii="Times New Roman" w:hAnsi="Times New Roman" w:eastAsia="宋体"/>
          <w:color w:val="auto"/>
          <w:sz w:val="24"/>
          <w:szCs w:val="24"/>
        </w:rPr>
        <w:t>五</w:t>
      </w:r>
      <w:r>
        <w:rPr>
          <w:rFonts w:ascii="Times New Roman" w:hAnsi="Times New Roman" w:eastAsia="宋体"/>
          <w:color w:val="auto"/>
          <w:sz w:val="24"/>
          <w:szCs w:val="24"/>
        </w:rPr>
        <w:t>个工作日内出具报告；特急测试：</w:t>
      </w:r>
      <w:r>
        <w:rPr>
          <w:rFonts w:hint="eastAsia" w:ascii="Times New Roman" w:hAnsi="Times New Roman" w:eastAsia="宋体"/>
          <w:color w:val="auto"/>
          <w:sz w:val="24"/>
          <w:szCs w:val="24"/>
        </w:rPr>
        <w:t>三</w:t>
      </w:r>
      <w:r>
        <w:rPr>
          <w:rFonts w:ascii="Times New Roman" w:hAnsi="Times New Roman" w:eastAsia="宋体"/>
          <w:color w:val="auto"/>
          <w:sz w:val="24"/>
          <w:szCs w:val="24"/>
        </w:rPr>
        <w:t>个工作日内出具报告。复测周期不包括在内，特定项目不适合加急或特急。加急附加费：加急测试：普通检测费用加收50%；特急测试：普通检测费用加收150%。</w:t>
      </w:r>
    </w:p>
    <w:p>
      <w:pPr>
        <w:pStyle w:val="65"/>
        <w:spacing w:line="360" w:lineRule="auto"/>
        <w:ind w:firstLine="0" w:firstLineChars="0"/>
        <w:jc w:val="left"/>
        <w:rPr>
          <w:rFonts w:ascii="Times New Roman" w:hAnsi="Times New Roman" w:eastAsia="宋体"/>
          <w:color w:val="auto"/>
          <w:sz w:val="24"/>
          <w:szCs w:val="24"/>
        </w:rPr>
      </w:pPr>
      <w:r>
        <w:rPr>
          <w:rFonts w:hint="eastAsia" w:ascii="Times New Roman" w:hAnsi="Times New Roman" w:eastAsia="宋体"/>
          <w:color w:val="auto"/>
          <w:sz w:val="24"/>
          <w:szCs w:val="24"/>
        </w:rPr>
        <w:t>二、服务费用构成：</w:t>
      </w:r>
    </w:p>
    <w:p>
      <w:pPr>
        <w:spacing w:line="360" w:lineRule="auto"/>
        <w:ind w:firstLine="480" w:firstLineChars="200"/>
        <w:jc w:val="left"/>
        <w:rPr>
          <w:rFonts w:ascii="Times New Roman" w:hAnsi="Times New Roman" w:eastAsia="宋体"/>
          <w:color w:val="auto"/>
          <w:sz w:val="24"/>
          <w:szCs w:val="24"/>
        </w:rPr>
      </w:pPr>
      <w:r>
        <w:rPr>
          <w:rFonts w:hint="eastAsia" w:ascii="Times New Roman" w:hAnsi="Times New Roman" w:eastAsia="宋体"/>
          <w:color w:val="auto"/>
          <w:sz w:val="24"/>
          <w:szCs w:val="24"/>
        </w:rPr>
        <w:t>本合同约定的服务费用包括以下方面：</w:t>
      </w:r>
    </w:p>
    <w:p>
      <w:pPr>
        <w:spacing w:line="360" w:lineRule="auto"/>
        <w:ind w:firstLine="480" w:firstLineChars="200"/>
        <w:jc w:val="left"/>
        <w:rPr>
          <w:rFonts w:ascii="Times New Roman" w:hAnsi="Times New Roman" w:eastAsia="宋体"/>
          <w:color w:val="auto"/>
          <w:sz w:val="24"/>
          <w:szCs w:val="24"/>
        </w:rPr>
      </w:pPr>
      <w:r>
        <w:rPr>
          <w:rFonts w:hint="eastAsia" w:ascii="Times New Roman" w:hAnsi="Times New Roman" w:eastAsia="宋体"/>
          <w:color w:val="auto"/>
          <w:sz w:val="24"/>
          <w:szCs w:val="24"/>
        </w:rPr>
        <w:sym w:font="Wingdings" w:char="00A8"/>
      </w:r>
      <w:r>
        <w:rPr>
          <w:rFonts w:hint="eastAsia" w:ascii="Times New Roman" w:hAnsi="Times New Roman" w:eastAsia="宋体"/>
          <w:color w:val="auto"/>
          <w:sz w:val="24"/>
          <w:szCs w:val="24"/>
        </w:rPr>
        <w:t>有组织废气</w:t>
      </w:r>
      <w:r>
        <w:rPr>
          <w:rFonts w:hint="eastAsia" w:ascii="Times New Roman" w:hAnsi="Times New Roman" w:eastAsia="宋体"/>
          <w:color w:val="auto"/>
          <w:sz w:val="24"/>
          <w:szCs w:val="24"/>
        </w:rPr>
        <w:sym w:font="Wingdings" w:char="00A8"/>
      </w:r>
      <w:r>
        <w:rPr>
          <w:rFonts w:hint="eastAsia" w:ascii="Times New Roman" w:hAnsi="Times New Roman" w:eastAsia="宋体"/>
          <w:color w:val="auto"/>
          <w:sz w:val="24"/>
          <w:szCs w:val="24"/>
        </w:rPr>
        <w:t>无组织废气</w:t>
      </w:r>
      <w:r>
        <w:rPr>
          <w:rFonts w:hint="eastAsia" w:ascii="Times New Roman" w:hAnsi="Times New Roman" w:eastAsia="宋体"/>
          <w:color w:val="auto"/>
          <w:sz w:val="24"/>
          <w:szCs w:val="24"/>
        </w:rPr>
        <w:sym w:font="Wingdings" w:char="00A8"/>
      </w:r>
      <w:r>
        <w:rPr>
          <w:rFonts w:hint="eastAsia" w:ascii="Times New Roman" w:hAnsi="Times New Roman" w:eastAsia="宋体"/>
          <w:color w:val="auto"/>
          <w:sz w:val="24"/>
          <w:szCs w:val="24"/>
        </w:rPr>
        <w:t>环境空气采样、检测费</w:t>
      </w:r>
    </w:p>
    <w:p>
      <w:pPr>
        <w:spacing w:line="360" w:lineRule="auto"/>
        <w:ind w:firstLine="480" w:firstLineChars="200"/>
        <w:jc w:val="left"/>
        <w:rPr>
          <w:rFonts w:ascii="Times New Roman" w:hAnsi="Times New Roman" w:eastAsia="宋体"/>
          <w:color w:val="auto"/>
          <w:sz w:val="24"/>
          <w:szCs w:val="24"/>
        </w:rPr>
      </w:pPr>
      <w:r>
        <w:rPr>
          <w:rFonts w:hint="eastAsia" w:ascii="Times New Roman" w:hAnsi="Times New Roman" w:eastAsia="宋体"/>
          <w:color w:val="auto"/>
          <w:sz w:val="24"/>
          <w:szCs w:val="24"/>
        </w:rPr>
        <w:sym w:font="Wingdings" w:char="00FE"/>
      </w:r>
      <w:r>
        <w:rPr>
          <w:rFonts w:hint="eastAsia" w:ascii="Times New Roman" w:hAnsi="Times New Roman" w:eastAsia="宋体"/>
          <w:color w:val="auto"/>
          <w:sz w:val="24"/>
          <w:szCs w:val="24"/>
          <w:lang w:eastAsia="zh-CN"/>
        </w:rPr>
        <w:t>废水</w:t>
      </w:r>
      <w:r>
        <w:rPr>
          <w:rFonts w:hint="eastAsia" w:ascii="Times New Roman" w:hAnsi="Times New Roman" w:eastAsia="宋体"/>
          <w:color w:val="auto"/>
          <w:sz w:val="24"/>
          <w:szCs w:val="24"/>
        </w:rPr>
        <w:sym w:font="Wingdings" w:char="00A8"/>
      </w:r>
      <w:r>
        <w:rPr>
          <w:rFonts w:hint="eastAsia" w:ascii="Times New Roman" w:hAnsi="Times New Roman" w:eastAsia="宋体"/>
          <w:color w:val="auto"/>
          <w:sz w:val="24"/>
          <w:szCs w:val="24"/>
          <w:lang w:eastAsia="zh-CN"/>
        </w:rPr>
        <w:t>土壤</w:t>
      </w:r>
      <w:r>
        <w:rPr>
          <w:rFonts w:hint="eastAsia" w:ascii="Times New Roman" w:hAnsi="Times New Roman" w:eastAsia="宋体"/>
          <w:color w:val="auto"/>
          <w:sz w:val="24"/>
          <w:szCs w:val="24"/>
        </w:rPr>
        <w:sym w:font="Wingdings" w:char="00A8"/>
      </w:r>
      <w:r>
        <w:rPr>
          <w:rFonts w:hint="eastAsia" w:ascii="Times New Roman" w:hAnsi="Times New Roman" w:eastAsia="宋体"/>
          <w:color w:val="auto"/>
          <w:sz w:val="24"/>
          <w:szCs w:val="24"/>
        </w:rPr>
        <w:t>地下水采样、检测费</w:t>
      </w:r>
    </w:p>
    <w:p>
      <w:pPr>
        <w:spacing w:line="360" w:lineRule="auto"/>
        <w:ind w:firstLine="480" w:firstLineChars="200"/>
        <w:jc w:val="left"/>
        <w:rPr>
          <w:rFonts w:hint="eastAsia" w:ascii="Times New Roman" w:hAnsi="Times New Roman" w:eastAsia="宋体"/>
          <w:color w:val="auto"/>
          <w:sz w:val="24"/>
          <w:szCs w:val="24"/>
        </w:rPr>
      </w:pPr>
      <w:r>
        <w:rPr>
          <w:rFonts w:hint="eastAsia" w:ascii="Times New Roman" w:hAnsi="Times New Roman" w:eastAsia="宋体"/>
          <w:color w:val="auto"/>
          <w:sz w:val="24"/>
          <w:szCs w:val="24"/>
        </w:rPr>
        <w:sym w:font="Wingdings" w:char="00A8"/>
      </w:r>
      <w:r>
        <w:rPr>
          <w:rFonts w:hint="eastAsia" w:ascii="Times New Roman" w:hAnsi="Times New Roman" w:eastAsia="宋体"/>
          <w:color w:val="auto"/>
          <w:sz w:val="24"/>
          <w:szCs w:val="24"/>
        </w:rPr>
        <w:t>噪声采样、检测费</w:t>
      </w:r>
    </w:p>
    <w:p>
      <w:pPr>
        <w:spacing w:line="360" w:lineRule="auto"/>
        <w:ind w:firstLine="480" w:firstLineChars="200"/>
        <w:jc w:val="left"/>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rPr>
        <w:sym w:font="Wingdings" w:char="00A8"/>
      </w:r>
      <w:r>
        <w:rPr>
          <w:rFonts w:hint="eastAsia" w:ascii="Times New Roman" w:hAnsi="Times New Roman" w:eastAsia="宋体"/>
          <w:color w:val="auto"/>
          <w:sz w:val="24"/>
          <w:szCs w:val="24"/>
          <w:lang w:eastAsia="zh-CN"/>
        </w:rPr>
        <w:t>有</w:t>
      </w:r>
      <w:r>
        <w:rPr>
          <w:rFonts w:hint="eastAsia" w:ascii="Times New Roman" w:hAnsi="Times New Roman" w:eastAsia="宋体"/>
          <w:color w:val="auto"/>
          <w:sz w:val="24"/>
          <w:szCs w:val="24"/>
        </w:rPr>
        <w:t>、</w:t>
      </w:r>
      <w:r>
        <w:rPr>
          <w:rFonts w:hint="eastAsia" w:ascii="Times New Roman" w:hAnsi="Times New Roman" w:eastAsia="宋体"/>
          <w:color w:val="auto"/>
          <w:sz w:val="24"/>
          <w:szCs w:val="24"/>
          <w:lang w:eastAsia="zh-CN"/>
        </w:rPr>
        <w:t>无分包</w:t>
      </w:r>
    </w:p>
    <w:p>
      <w:pPr>
        <w:spacing w:line="360" w:lineRule="auto"/>
        <w:ind w:firstLine="361" w:firstLineChars="200"/>
        <w:jc w:val="left"/>
        <w:rPr>
          <w:rFonts w:ascii="Times New Roman" w:hAnsi="Times New Roman" w:eastAsia="宋体"/>
          <w:b/>
          <w:bCs/>
          <w:color w:val="auto"/>
          <w:sz w:val="18"/>
          <w:szCs w:val="18"/>
        </w:rPr>
      </w:pPr>
      <w:r>
        <w:rPr>
          <w:rFonts w:hint="eastAsia" w:ascii="Times New Roman" w:hAnsi="Times New Roman" w:eastAsia="宋体"/>
          <w:b/>
          <w:bCs/>
          <w:color w:val="auto"/>
          <w:sz w:val="18"/>
          <w:szCs w:val="18"/>
        </w:rPr>
        <w:t>注：1、带“*”项目未经本单位计量认证，由我单位采样后委托给有资质的第三方检测单位检测。</w:t>
      </w:r>
    </w:p>
    <w:p>
      <w:pPr>
        <w:spacing w:line="360" w:lineRule="auto"/>
        <w:ind w:firstLine="723" w:firstLineChars="400"/>
        <w:jc w:val="left"/>
        <w:rPr>
          <w:rFonts w:ascii="Times New Roman" w:hAnsi="Times New Roman" w:eastAsia="宋体"/>
          <w:b/>
          <w:bCs/>
          <w:color w:val="auto"/>
          <w:sz w:val="18"/>
          <w:szCs w:val="18"/>
        </w:rPr>
      </w:pPr>
      <w:r>
        <w:rPr>
          <w:rFonts w:hint="eastAsia" w:ascii="Times New Roman" w:hAnsi="Times New Roman" w:eastAsia="宋体"/>
          <w:b/>
          <w:bCs/>
          <w:color w:val="auto"/>
          <w:sz w:val="18"/>
          <w:szCs w:val="18"/>
        </w:rPr>
        <w:t>2、具体清单见附件。</w:t>
      </w:r>
    </w:p>
    <w:p>
      <w:pPr>
        <w:spacing w:line="360" w:lineRule="auto"/>
        <w:jc w:val="left"/>
        <w:rPr>
          <w:rFonts w:ascii="Times New Roman" w:hAnsi="Times New Roman" w:eastAsia="宋体"/>
          <w:color w:val="auto"/>
          <w:sz w:val="24"/>
          <w:szCs w:val="24"/>
        </w:rPr>
      </w:pPr>
      <w:r>
        <w:rPr>
          <w:rFonts w:hint="eastAsia" w:ascii="Times New Roman" w:hAnsi="Times New Roman" w:eastAsia="宋体"/>
          <w:color w:val="auto"/>
          <w:sz w:val="24"/>
          <w:szCs w:val="24"/>
        </w:rPr>
        <w:t>三、服务费用：</w:t>
      </w:r>
    </w:p>
    <w:p>
      <w:pPr>
        <w:spacing w:line="360" w:lineRule="auto"/>
        <w:ind w:firstLine="480" w:firstLineChars="200"/>
        <w:jc w:val="left"/>
        <w:rPr>
          <w:rFonts w:ascii="Times New Roman" w:hAnsi="Times New Roman" w:eastAsia="宋体"/>
          <w:color w:val="auto"/>
          <w:sz w:val="24"/>
          <w:szCs w:val="24"/>
        </w:rPr>
      </w:pPr>
      <w:r>
        <w:rPr>
          <w:rFonts w:hint="eastAsia" w:ascii="Times New Roman" w:hAnsi="Times New Roman" w:eastAsia="宋体"/>
          <w:color w:val="auto"/>
          <w:sz w:val="24"/>
          <w:szCs w:val="24"/>
        </w:rPr>
        <w:t>合同双方经协商一致，</w:t>
      </w:r>
      <w:r>
        <w:rPr>
          <w:rFonts w:hint="eastAsia" w:ascii="Times New Roman" w:hAnsi="Times New Roman" w:eastAsia="宋体"/>
          <w:color w:val="auto"/>
          <w:sz w:val="24"/>
          <w:szCs w:val="24"/>
          <w:lang w:val="en-US" w:eastAsia="zh-CN"/>
        </w:rPr>
        <w:t>委托检</w:t>
      </w:r>
      <w:r>
        <w:rPr>
          <w:rFonts w:hint="eastAsia" w:ascii="Times New Roman" w:hAnsi="Times New Roman" w:eastAsia="宋体"/>
          <w:color w:val="auto"/>
          <w:sz w:val="24"/>
          <w:szCs w:val="24"/>
        </w:rPr>
        <w:t>测服务费用合计</w:t>
      </w:r>
      <w:r>
        <w:rPr>
          <w:rFonts w:hint="eastAsia" w:ascii="Times New Roman" w:hAnsi="Times New Roman" w:eastAsia="宋体"/>
          <w:color w:val="auto"/>
          <w:sz w:val="24"/>
          <w:szCs w:val="24"/>
          <w:u w:val="single"/>
        </w:rPr>
        <w:t xml:space="preserve"> </w:t>
      </w:r>
      <w:r>
        <w:rPr>
          <w:rFonts w:hint="eastAsia"/>
          <w:color w:val="auto"/>
          <w:sz w:val="24"/>
          <w:szCs w:val="24"/>
          <w:u w:val="single"/>
          <w:lang w:val="en-US" w:eastAsia="zh-CN"/>
        </w:rPr>
        <w:t xml:space="preserve">    </w:t>
      </w:r>
      <w:r>
        <w:rPr>
          <w:rFonts w:hint="eastAsia" w:ascii="Times New Roman" w:hAnsi="Times New Roman" w:eastAsia="宋体"/>
          <w:color w:val="auto"/>
          <w:sz w:val="24"/>
          <w:szCs w:val="24"/>
          <w:u w:val="single"/>
        </w:rPr>
        <w:t xml:space="preserve">  </w:t>
      </w:r>
      <w:r>
        <w:rPr>
          <w:rFonts w:hint="eastAsia" w:ascii="Times New Roman" w:hAnsi="Times New Roman" w:eastAsia="宋体"/>
          <w:color w:val="auto"/>
          <w:sz w:val="24"/>
          <w:szCs w:val="24"/>
        </w:rPr>
        <w:t>元整（大写），￥</w:t>
      </w:r>
      <w:r>
        <w:rPr>
          <w:rFonts w:hint="eastAsia" w:ascii="Times New Roman" w:hAnsi="Times New Roman" w:eastAsia="宋体"/>
          <w:color w:val="auto"/>
          <w:sz w:val="24"/>
          <w:szCs w:val="24"/>
          <w:u w:val="single"/>
        </w:rPr>
        <w:t xml:space="preserve">  </w:t>
      </w:r>
      <w:r>
        <w:rPr>
          <w:rFonts w:hint="eastAsia"/>
          <w:color w:val="auto"/>
          <w:sz w:val="24"/>
          <w:szCs w:val="24"/>
          <w:u w:val="single"/>
          <w:lang w:val="en-US" w:eastAsia="zh-CN"/>
        </w:rPr>
        <w:t xml:space="preserve">    </w:t>
      </w:r>
      <w:r>
        <w:rPr>
          <w:rFonts w:hint="eastAsia" w:ascii="Times New Roman" w:hAnsi="Times New Roman" w:eastAsia="宋体"/>
          <w:color w:val="auto"/>
          <w:sz w:val="24"/>
          <w:szCs w:val="24"/>
          <w:u w:val="single"/>
        </w:rPr>
        <w:t xml:space="preserve"> </w:t>
      </w:r>
      <w:r>
        <w:rPr>
          <w:rFonts w:hint="eastAsia" w:ascii="Times New Roman" w:hAnsi="Times New Roman" w:eastAsia="宋体"/>
          <w:color w:val="auto"/>
          <w:sz w:val="24"/>
          <w:szCs w:val="24"/>
        </w:rPr>
        <w:t>元整。</w:t>
      </w:r>
    </w:p>
    <w:p>
      <w:pPr>
        <w:pStyle w:val="65"/>
        <w:spacing w:line="360" w:lineRule="auto"/>
        <w:ind w:firstLine="0" w:firstLineChars="0"/>
        <w:jc w:val="left"/>
        <w:rPr>
          <w:rFonts w:ascii="Times New Roman" w:hAnsi="Times New Roman" w:eastAsia="宋体"/>
          <w:color w:val="auto"/>
          <w:sz w:val="24"/>
          <w:szCs w:val="24"/>
        </w:rPr>
      </w:pPr>
      <w:r>
        <w:rPr>
          <w:rFonts w:hint="eastAsia" w:ascii="Times New Roman" w:hAnsi="Times New Roman" w:eastAsia="宋体"/>
          <w:color w:val="auto"/>
          <w:sz w:val="24"/>
          <w:szCs w:val="24"/>
        </w:rPr>
        <w:t>四、支付方式：</w:t>
      </w:r>
    </w:p>
    <w:p>
      <w:pPr>
        <w:spacing w:line="360" w:lineRule="auto"/>
        <w:ind w:left="2159" w:leftChars="228" w:hanging="1680" w:hangingChars="700"/>
        <w:jc w:val="left"/>
        <w:rPr>
          <w:rFonts w:ascii="Times New Roman" w:hAnsi="Times New Roman" w:eastAsia="宋体"/>
          <w:color w:val="auto"/>
          <w:sz w:val="24"/>
          <w:szCs w:val="24"/>
        </w:rPr>
      </w:pPr>
      <w:r>
        <w:rPr>
          <w:rFonts w:hint="eastAsia" w:ascii="Times New Roman" w:hAnsi="Times New Roman" w:eastAsia="宋体"/>
          <w:color w:val="auto"/>
          <w:sz w:val="24"/>
          <w:szCs w:val="24"/>
        </w:rPr>
        <w:sym w:font="Wingdings 2" w:char="0052"/>
      </w:r>
      <w:r>
        <w:rPr>
          <w:rFonts w:hint="eastAsia"/>
          <w:color w:val="auto"/>
          <w:sz w:val="24"/>
          <w:szCs w:val="24"/>
          <w:lang w:val="en-US" w:eastAsia="zh-CN"/>
        </w:rPr>
        <w:t>分词</w:t>
      </w:r>
      <w:r>
        <w:rPr>
          <w:rFonts w:hint="eastAsia" w:ascii="Times New Roman" w:hAnsi="宋体" w:eastAsia="宋体"/>
          <w:color w:val="auto"/>
          <w:sz w:val="24"/>
          <w:szCs w:val="24"/>
        </w:rPr>
        <w:t>支付：委托方（甲方）在收取服务方（乙方）出具的</w:t>
      </w:r>
      <w:r>
        <w:rPr>
          <w:rFonts w:hint="eastAsia" w:ascii="Times New Roman" w:hAnsi="宋体" w:eastAsia="宋体"/>
          <w:color w:val="auto"/>
          <w:sz w:val="24"/>
          <w:szCs w:val="24"/>
          <w:u w:val="single"/>
        </w:rPr>
        <w:t>检测报告</w:t>
      </w:r>
      <w:r>
        <w:rPr>
          <w:rFonts w:hint="eastAsia" w:ascii="Times New Roman" w:hAnsi="宋体" w:eastAsia="宋体"/>
          <w:color w:val="auto"/>
          <w:sz w:val="24"/>
          <w:szCs w:val="24"/>
          <w:u w:val="single"/>
          <w:lang w:val="en-US" w:eastAsia="zh-CN"/>
        </w:rPr>
        <w:t>前</w:t>
      </w:r>
      <w:r>
        <w:rPr>
          <w:rFonts w:hint="eastAsia" w:ascii="Times New Roman" w:hAnsi="宋体" w:eastAsia="宋体"/>
          <w:color w:val="auto"/>
          <w:sz w:val="24"/>
          <w:szCs w:val="24"/>
        </w:rPr>
        <w:t>支付</w:t>
      </w:r>
      <w:r>
        <w:rPr>
          <w:rFonts w:hint="eastAsia" w:ascii="Times New Roman" w:hAnsi="宋体" w:eastAsia="宋体"/>
          <w:color w:val="auto"/>
          <w:sz w:val="24"/>
          <w:szCs w:val="24"/>
          <w:lang w:val="en-US" w:eastAsia="zh-CN"/>
        </w:rPr>
        <w:t>全部</w:t>
      </w:r>
      <w:r>
        <w:rPr>
          <w:rFonts w:hint="eastAsia" w:ascii="Times New Roman" w:hAnsi="宋体" w:eastAsia="宋体"/>
          <w:color w:val="auto"/>
          <w:sz w:val="24"/>
          <w:szCs w:val="24"/>
        </w:rPr>
        <w:t>同金额，即￥</w:t>
      </w:r>
      <w:r>
        <w:rPr>
          <w:rFonts w:hint="eastAsia" w:hAnsi="宋体"/>
          <w:color w:val="auto"/>
          <w:sz w:val="24"/>
          <w:szCs w:val="24"/>
          <w:lang w:val="en-US" w:eastAsia="zh-CN"/>
        </w:rPr>
        <w:t xml:space="preserve">    </w:t>
      </w:r>
      <w:r>
        <w:rPr>
          <w:rFonts w:hint="eastAsia" w:ascii="Times New Roman" w:hAnsi="宋体" w:eastAsia="宋体"/>
          <w:color w:val="auto"/>
          <w:sz w:val="24"/>
          <w:szCs w:val="24"/>
        </w:rPr>
        <w:t>元整。</w:t>
      </w:r>
    </w:p>
    <w:p>
      <w:pPr>
        <w:pStyle w:val="65"/>
        <w:spacing w:line="360" w:lineRule="auto"/>
        <w:ind w:firstLine="0" w:firstLineChars="0"/>
        <w:jc w:val="left"/>
        <w:rPr>
          <w:rFonts w:ascii="Times New Roman" w:hAnsi="Times New Roman" w:eastAsia="宋体"/>
          <w:color w:val="auto"/>
          <w:sz w:val="24"/>
          <w:szCs w:val="24"/>
        </w:rPr>
      </w:pPr>
      <w:r>
        <w:rPr>
          <w:rFonts w:hint="eastAsia" w:ascii="Times New Roman" w:hAnsi="Times New Roman" w:eastAsia="宋体"/>
          <w:color w:val="auto"/>
          <w:sz w:val="24"/>
          <w:szCs w:val="24"/>
        </w:rPr>
        <w:t>五、违约责任</w:t>
      </w:r>
    </w:p>
    <w:p>
      <w:pPr>
        <w:spacing w:line="360" w:lineRule="auto"/>
        <w:ind w:firstLine="480" w:firstLineChars="200"/>
        <w:rPr>
          <w:rFonts w:ascii="Times New Roman" w:hAnsi="Times New Roman" w:eastAsia="宋体"/>
          <w:color w:val="auto"/>
          <w:sz w:val="24"/>
        </w:rPr>
      </w:pPr>
      <w:r>
        <w:rPr>
          <w:rFonts w:hint="eastAsia" w:ascii="Times New Roman" w:hAnsi="Times New Roman" w:eastAsia="宋体"/>
          <w:color w:val="auto"/>
          <w:sz w:val="24"/>
        </w:rPr>
        <w:t>1、如果不是由于乙方原因而甲方未能按本合同约定付款，甲方应按下列比例向乙方支付滞纳金：每迟付一周（不超过3天的不予计算，超过3天但不满一周按一周计算），甲方向乙方支付违约金为该笔延付金额的0.5%，付款日期以甲方银行承付日期为准。迟付款违约金总额不超过合同总价的10%。</w:t>
      </w:r>
    </w:p>
    <w:p>
      <w:pPr>
        <w:spacing w:line="360" w:lineRule="auto"/>
        <w:ind w:firstLine="480" w:firstLineChars="200"/>
        <w:jc w:val="left"/>
        <w:rPr>
          <w:rFonts w:ascii="Times New Roman" w:hAnsi="Times New Roman" w:eastAsia="宋体"/>
          <w:color w:val="auto"/>
          <w:sz w:val="24"/>
          <w:szCs w:val="24"/>
        </w:rPr>
      </w:pPr>
      <w:r>
        <w:rPr>
          <w:rFonts w:hint="eastAsia" w:ascii="Times New Roman" w:hAnsi="Times New Roman" w:eastAsia="宋体"/>
          <w:color w:val="auto"/>
          <w:sz w:val="24"/>
        </w:rPr>
        <w:t>2、如果不是由于甲方原因而乙方未能按照本合同约定出具检测报告，乙方应按下列比例向甲方支付违约金：每迟付一周（不超过3天的不予计算，超过3天但不满一周按一周计算），乙方向甲方支付违约金为合同金额的0.5%，此种违约金总额不超过合同总价的10%。</w:t>
      </w:r>
    </w:p>
    <w:p>
      <w:pPr>
        <w:spacing w:line="360" w:lineRule="auto"/>
        <w:rPr>
          <w:rFonts w:ascii="Times New Roman" w:hAnsi="Times New Roman" w:eastAsia="宋体"/>
          <w:color w:val="auto"/>
          <w:sz w:val="24"/>
        </w:rPr>
      </w:pPr>
      <w:r>
        <w:rPr>
          <w:rFonts w:hint="eastAsia" w:ascii="Times New Roman" w:hAnsi="Times New Roman" w:eastAsia="宋体"/>
          <w:color w:val="auto"/>
          <w:sz w:val="24"/>
        </w:rPr>
        <w:t>六、甲乙双方约定的其它事项：</w:t>
      </w:r>
    </w:p>
    <w:p>
      <w:pPr>
        <w:spacing w:line="360" w:lineRule="auto"/>
        <w:ind w:firstLine="480" w:firstLineChars="200"/>
        <w:rPr>
          <w:rFonts w:ascii="Times New Roman" w:hAnsi="Times New Roman" w:eastAsia="宋体"/>
          <w:color w:val="auto"/>
          <w:sz w:val="24"/>
        </w:rPr>
      </w:pPr>
      <w:r>
        <w:rPr>
          <w:rFonts w:hint="eastAsia" w:ascii="Times New Roman" w:hAnsi="Times New Roman" w:eastAsia="宋体"/>
          <w:color w:val="auto"/>
          <w:sz w:val="24"/>
        </w:rPr>
        <w:t>1、安全措施：甲方应提供乙方现场检测人员的检测条件，对涉及有毒、高温、腐蚀、放射性或其它潜在危险的场所提前警示，并为乙方员工提供适当的安全防护用品。</w:t>
      </w:r>
    </w:p>
    <w:p>
      <w:pPr>
        <w:spacing w:line="360" w:lineRule="auto"/>
        <w:ind w:firstLine="480" w:firstLineChars="200"/>
        <w:jc w:val="left"/>
        <w:rPr>
          <w:rFonts w:ascii="Times New Roman" w:hAnsi="Times New Roman" w:eastAsia="宋体"/>
          <w:color w:val="auto"/>
          <w:sz w:val="24"/>
          <w:szCs w:val="24"/>
        </w:rPr>
      </w:pPr>
      <w:r>
        <w:rPr>
          <w:rFonts w:hint="eastAsia" w:ascii="Times New Roman" w:hAnsi="Times New Roman" w:eastAsia="宋体"/>
          <w:color w:val="auto"/>
          <w:sz w:val="24"/>
        </w:rPr>
        <w:t>2、建设工程和在施工场地甲方人员及第三方人员生命财产的保险由甲方办理，并支付相应费用。乙方办理自己在施工场地人员生命财产和机械设备的保险，并支付相应费用。由于乙方未办理保险而导致的损失概由乙方承担。乙方承诺：乙方在施工过程中由于乙方的过错或责任对第三方造成的损害或者自身损害的，产生的相应责任与后果由乙方负责，受损第三方通过法律途径向甲方主张赔偿后，甲方可要求乙方给予等额款项的补偿。</w:t>
      </w:r>
    </w:p>
    <w:p>
      <w:pPr>
        <w:spacing w:line="360" w:lineRule="auto"/>
        <w:jc w:val="left"/>
        <w:rPr>
          <w:rFonts w:ascii="Times New Roman" w:hAnsi="Times New Roman" w:eastAsia="宋体"/>
          <w:color w:val="auto"/>
          <w:sz w:val="24"/>
          <w:szCs w:val="24"/>
        </w:rPr>
      </w:pPr>
      <w:r>
        <w:rPr>
          <w:rFonts w:hint="eastAsia" w:ascii="Times New Roman" w:hAnsi="Times New Roman" w:eastAsia="宋体"/>
          <w:color w:val="auto"/>
          <w:sz w:val="24"/>
          <w:szCs w:val="24"/>
        </w:rPr>
        <w:t>七、其他：</w:t>
      </w:r>
    </w:p>
    <w:p>
      <w:pPr>
        <w:pStyle w:val="65"/>
        <w:spacing w:line="360" w:lineRule="auto"/>
        <w:ind w:left="480" w:firstLine="0" w:firstLineChars="0"/>
        <w:jc w:val="left"/>
        <w:rPr>
          <w:rFonts w:ascii="Times New Roman" w:hAnsi="Times New Roman" w:eastAsia="宋体"/>
          <w:color w:val="auto"/>
          <w:sz w:val="24"/>
        </w:rPr>
      </w:pPr>
      <w:r>
        <w:rPr>
          <w:rFonts w:hint="eastAsia" w:ascii="Times New Roman" w:hAnsi="Times New Roman" w:eastAsia="宋体"/>
          <w:color w:val="auto"/>
          <w:sz w:val="24"/>
          <w:szCs w:val="24"/>
        </w:rPr>
        <w:t>1、本合同一式</w:t>
      </w:r>
      <w:r>
        <w:rPr>
          <w:rFonts w:hint="eastAsia" w:ascii="Times New Roman" w:hAnsi="Times New Roman" w:eastAsia="宋体"/>
          <w:color w:val="auto"/>
          <w:sz w:val="24"/>
          <w:szCs w:val="24"/>
          <w:u w:val="single"/>
        </w:rPr>
        <w:t xml:space="preserve"> 贰 </w:t>
      </w:r>
      <w:r>
        <w:rPr>
          <w:rFonts w:hint="eastAsia" w:ascii="Times New Roman" w:hAnsi="Times New Roman" w:eastAsia="宋体"/>
          <w:color w:val="auto"/>
          <w:sz w:val="24"/>
          <w:szCs w:val="24"/>
        </w:rPr>
        <w:t>份，甲方执</w:t>
      </w:r>
      <w:r>
        <w:rPr>
          <w:rFonts w:hint="eastAsia" w:ascii="Times New Roman" w:hAnsi="Times New Roman" w:eastAsia="宋体"/>
          <w:color w:val="auto"/>
          <w:sz w:val="24"/>
          <w:szCs w:val="24"/>
          <w:u w:val="single"/>
        </w:rPr>
        <w:t xml:space="preserve"> 壹 </w:t>
      </w:r>
      <w:r>
        <w:rPr>
          <w:rFonts w:hint="eastAsia" w:ascii="Times New Roman" w:hAnsi="Times New Roman" w:eastAsia="宋体"/>
          <w:color w:val="auto"/>
          <w:sz w:val="24"/>
          <w:szCs w:val="24"/>
        </w:rPr>
        <w:t>份，乙方执</w:t>
      </w:r>
      <w:r>
        <w:rPr>
          <w:rFonts w:hint="eastAsia" w:ascii="Times New Roman" w:hAnsi="Times New Roman" w:eastAsia="宋体"/>
          <w:color w:val="auto"/>
          <w:sz w:val="24"/>
          <w:szCs w:val="24"/>
          <w:u w:val="single"/>
        </w:rPr>
        <w:t xml:space="preserve"> 壹 </w:t>
      </w:r>
      <w:r>
        <w:rPr>
          <w:rFonts w:hint="eastAsia" w:ascii="Times New Roman" w:hAnsi="Times New Roman" w:eastAsia="宋体"/>
          <w:color w:val="auto"/>
          <w:sz w:val="24"/>
          <w:szCs w:val="24"/>
        </w:rPr>
        <w:t>份.</w:t>
      </w:r>
      <w:r>
        <w:rPr>
          <w:rFonts w:hint="eastAsia" w:ascii="Times New Roman" w:hAnsi="Times New Roman" w:eastAsia="宋体"/>
          <w:color w:val="auto"/>
          <w:sz w:val="24"/>
        </w:rPr>
        <w:t xml:space="preserve"> 自双方签字盖章后生效；传真件同样有效。</w:t>
      </w:r>
    </w:p>
    <w:p>
      <w:pPr>
        <w:pStyle w:val="65"/>
        <w:spacing w:line="360" w:lineRule="auto"/>
        <w:ind w:left="480" w:firstLine="0" w:firstLineChars="0"/>
        <w:jc w:val="left"/>
        <w:rPr>
          <w:rFonts w:ascii="Times New Roman" w:hAnsi="Times New Roman" w:eastAsia="宋体"/>
          <w:color w:val="auto"/>
          <w:sz w:val="24"/>
        </w:rPr>
      </w:pPr>
      <w:r>
        <w:rPr>
          <w:rFonts w:hint="eastAsia" w:ascii="Times New Roman" w:hAnsi="Times New Roman" w:eastAsia="宋体"/>
          <w:color w:val="auto"/>
          <w:sz w:val="24"/>
        </w:rPr>
        <w:t>2、合同争议解决方式：当事人协商解决；协商或调解不成的，向合同签订地人民法院起诉。</w:t>
      </w:r>
    </w:p>
    <w:p>
      <w:pPr>
        <w:pStyle w:val="65"/>
        <w:spacing w:line="360" w:lineRule="auto"/>
        <w:ind w:left="480" w:firstLine="0" w:firstLineChars="0"/>
        <w:jc w:val="left"/>
        <w:rPr>
          <w:rFonts w:ascii="Times New Roman" w:hAnsi="Times New Roman" w:eastAsia="宋体"/>
          <w:color w:val="auto"/>
          <w:sz w:val="24"/>
          <w:szCs w:val="24"/>
        </w:rPr>
      </w:pPr>
      <w:r>
        <w:rPr>
          <w:rFonts w:hint="eastAsia" w:ascii="Times New Roman" w:hAnsi="Times New Roman" w:eastAsia="宋体"/>
          <w:color w:val="auto"/>
          <w:sz w:val="24"/>
        </w:rPr>
        <w:t>3、本次合同约定的检测结果由甲乙双方共同享有使用权。</w:t>
      </w:r>
    </w:p>
    <w:tbl>
      <w:tblPr>
        <w:tblW w:w="8042"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
        <w:gridCol w:w="1134"/>
        <w:gridCol w:w="3015"/>
        <w:gridCol w:w="795"/>
        <w:gridCol w:w="120"/>
        <w:gridCol w:w="890"/>
        <w:gridCol w:w="1751"/>
      </w:tblGrid>
      <w:tr>
        <w:trPr>
          <w:trHeight w:val="397" w:hRule="atLeast"/>
        </w:trPr>
        <w:tc>
          <w:tcPr>
            <w:tcW w:w="337" w:type="dxa"/>
            <w:vMerge w:val="restart"/>
            <w:vAlign w:val="center"/>
          </w:tcPr>
          <w:p>
            <w:pPr>
              <w:pStyle w:val="65"/>
              <w:ind w:left="-105" w:leftChars="-50" w:right="-105" w:rightChars="-50"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委托人(甲方)</w:t>
            </w:r>
          </w:p>
        </w:tc>
        <w:tc>
          <w:tcPr>
            <w:tcW w:w="1134" w:type="dxa"/>
            <w:vAlign w:val="center"/>
          </w:tcPr>
          <w:p>
            <w:pPr>
              <w:pStyle w:val="65"/>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名称</w:t>
            </w:r>
          </w:p>
        </w:tc>
        <w:tc>
          <w:tcPr>
            <w:tcW w:w="3810" w:type="dxa"/>
            <w:gridSpan w:val="2"/>
            <w:tcBorders>
              <w:right w:val="nil"/>
            </w:tcBorders>
            <w:vAlign w:val="center"/>
          </w:tcPr>
          <w:p>
            <w:pPr>
              <w:pStyle w:val="65"/>
              <w:ind w:firstLine="0" w:firstLineChars="0"/>
              <w:jc w:val="center"/>
              <w:rPr>
                <w:rFonts w:hint="default" w:ascii="Times New Roman" w:hAnsi="Times New Roman" w:eastAsia="宋体"/>
                <w:color w:val="auto"/>
                <w:szCs w:val="21"/>
                <w:lang w:val="en-US" w:eastAsia="zh-CN"/>
              </w:rPr>
            </w:pPr>
          </w:p>
        </w:tc>
        <w:tc>
          <w:tcPr>
            <w:tcW w:w="1010" w:type="dxa"/>
            <w:gridSpan w:val="2"/>
            <w:tcBorders>
              <w:left w:val="nil"/>
            </w:tcBorders>
            <w:vAlign w:val="center"/>
          </w:tcPr>
          <w:p>
            <w:pPr>
              <w:pStyle w:val="65"/>
              <w:ind w:left="-105" w:leftChars="-50" w:right="-105" w:rightChars="-50" w:firstLine="0" w:firstLineChars="0"/>
              <w:jc w:val="right"/>
              <w:rPr>
                <w:rFonts w:ascii="Times New Roman" w:hAnsi="Times New Roman" w:eastAsia="宋体"/>
                <w:color w:val="auto"/>
                <w:szCs w:val="21"/>
              </w:rPr>
            </w:pPr>
            <w:r>
              <w:rPr>
                <w:rFonts w:hint="eastAsia" w:ascii="Times New Roman" w:hAnsi="Times New Roman" w:eastAsia="宋体"/>
                <w:color w:val="auto"/>
                <w:szCs w:val="21"/>
              </w:rPr>
              <w:t>（签  章）</w:t>
            </w:r>
          </w:p>
        </w:tc>
        <w:tc>
          <w:tcPr>
            <w:tcW w:w="1751" w:type="dxa"/>
            <w:vMerge w:val="restart"/>
            <w:vAlign w:val="center"/>
          </w:tcPr>
          <w:p>
            <w:pPr>
              <w:pStyle w:val="65"/>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合同专业章</w:t>
            </w:r>
          </w:p>
          <w:p>
            <w:pPr>
              <w:pStyle w:val="65"/>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或单位公章</w:t>
            </w:r>
          </w:p>
          <w:p>
            <w:pPr>
              <w:pStyle w:val="65"/>
              <w:ind w:firstLine="0" w:firstLineChars="0"/>
              <w:jc w:val="center"/>
              <w:rPr>
                <w:rFonts w:ascii="Times New Roman" w:hAnsi="Times New Roman" w:eastAsia="宋体"/>
                <w:color w:val="auto"/>
                <w:szCs w:val="21"/>
              </w:rPr>
            </w:pPr>
          </w:p>
          <w:p>
            <w:pPr>
              <w:pStyle w:val="65"/>
              <w:ind w:firstLine="0" w:firstLineChars="0"/>
              <w:jc w:val="center"/>
              <w:rPr>
                <w:rFonts w:ascii="Times New Roman" w:hAnsi="Times New Roman" w:eastAsia="宋体"/>
                <w:color w:val="auto"/>
                <w:szCs w:val="21"/>
              </w:rPr>
            </w:pPr>
          </w:p>
          <w:p>
            <w:pPr>
              <w:ind w:right="315"/>
              <w:rPr>
                <w:rFonts w:ascii="Times New Roman" w:hAnsi="Times New Roman" w:eastAsia="宋体"/>
                <w:color w:val="auto"/>
                <w:szCs w:val="21"/>
              </w:rPr>
            </w:pPr>
          </w:p>
          <w:p>
            <w:pPr>
              <w:jc w:val="right"/>
              <w:rPr>
                <w:rFonts w:ascii="Times New Roman" w:hAnsi="Times New Roman" w:eastAsia="宋体"/>
                <w:color w:val="auto"/>
                <w:szCs w:val="21"/>
              </w:rPr>
            </w:pPr>
            <w:r>
              <w:rPr>
                <w:rFonts w:hint="eastAsia" w:ascii="Times New Roman" w:hAnsi="Times New Roman" w:eastAsia="宋体"/>
                <w:color w:val="auto"/>
                <w:szCs w:val="21"/>
              </w:rPr>
              <w:t>年  月  日</w:t>
            </w:r>
          </w:p>
        </w:tc>
      </w:tr>
      <w:tr>
        <w:trPr>
          <w:trHeight w:val="397" w:hRule="atLeast"/>
        </w:trPr>
        <w:tc>
          <w:tcPr>
            <w:tcW w:w="337" w:type="dxa"/>
            <w:vMerge w:val="continue"/>
            <w:vAlign w:val="center"/>
          </w:tcPr>
          <w:p>
            <w:pPr>
              <w:pStyle w:val="65"/>
              <w:ind w:left="-105" w:leftChars="-50" w:right="-105" w:rightChars="-50" w:firstLine="0" w:firstLineChars="0"/>
              <w:jc w:val="center"/>
              <w:rPr>
                <w:rFonts w:ascii="Times New Roman" w:hAnsi="Times New Roman" w:eastAsia="宋体"/>
                <w:color w:val="auto"/>
                <w:szCs w:val="21"/>
              </w:rPr>
            </w:pPr>
          </w:p>
        </w:tc>
        <w:tc>
          <w:tcPr>
            <w:tcW w:w="1134" w:type="dxa"/>
            <w:vAlign w:val="center"/>
          </w:tcPr>
          <w:p>
            <w:pPr>
              <w:pStyle w:val="65"/>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联系人</w:t>
            </w:r>
          </w:p>
        </w:tc>
        <w:tc>
          <w:tcPr>
            <w:tcW w:w="3810" w:type="dxa"/>
            <w:gridSpan w:val="2"/>
            <w:tcBorders>
              <w:right w:val="nil"/>
            </w:tcBorders>
            <w:vAlign w:val="center"/>
          </w:tcPr>
          <w:p>
            <w:pPr>
              <w:pStyle w:val="65"/>
              <w:ind w:firstLine="0" w:firstLineChars="0"/>
              <w:jc w:val="center"/>
              <w:rPr>
                <w:rFonts w:hint="default" w:ascii="Times New Roman" w:hAnsi="Times New Roman" w:eastAsia="宋体"/>
                <w:color w:val="auto"/>
                <w:szCs w:val="21"/>
                <w:lang w:val="en-US" w:eastAsia="zh-CN"/>
              </w:rPr>
            </w:pPr>
          </w:p>
        </w:tc>
        <w:tc>
          <w:tcPr>
            <w:tcW w:w="1010" w:type="dxa"/>
            <w:gridSpan w:val="2"/>
            <w:tcBorders>
              <w:left w:val="nil"/>
            </w:tcBorders>
            <w:vAlign w:val="center"/>
          </w:tcPr>
          <w:p>
            <w:pPr>
              <w:pStyle w:val="65"/>
              <w:ind w:left="-105" w:leftChars="-50" w:right="-105" w:rightChars="-50" w:firstLine="0" w:firstLineChars="0"/>
              <w:jc w:val="right"/>
              <w:rPr>
                <w:rFonts w:ascii="Times New Roman" w:hAnsi="Times New Roman" w:eastAsia="宋体"/>
                <w:color w:val="auto"/>
                <w:szCs w:val="21"/>
              </w:rPr>
            </w:pPr>
            <w:r>
              <w:rPr>
                <w:rFonts w:hint="eastAsia" w:ascii="Times New Roman" w:hAnsi="Times New Roman" w:eastAsia="宋体"/>
                <w:color w:val="auto"/>
                <w:szCs w:val="21"/>
              </w:rPr>
              <w:t>（签  章）</w:t>
            </w:r>
          </w:p>
        </w:tc>
        <w:tc>
          <w:tcPr>
            <w:tcW w:w="1751" w:type="dxa"/>
            <w:vMerge w:val="continue"/>
            <w:vAlign w:val="center"/>
          </w:tcPr>
          <w:p>
            <w:pPr>
              <w:pStyle w:val="65"/>
              <w:ind w:firstLine="0" w:firstLineChars="0"/>
              <w:jc w:val="center"/>
              <w:rPr>
                <w:rFonts w:ascii="Times New Roman" w:hAnsi="Times New Roman" w:eastAsia="宋体"/>
                <w:color w:val="auto"/>
                <w:szCs w:val="21"/>
              </w:rPr>
            </w:pPr>
          </w:p>
        </w:tc>
      </w:tr>
      <w:tr>
        <w:trPr>
          <w:trHeight w:val="397" w:hRule="atLeast"/>
        </w:trPr>
        <w:tc>
          <w:tcPr>
            <w:tcW w:w="337" w:type="dxa"/>
            <w:vMerge w:val="continue"/>
            <w:vAlign w:val="center"/>
          </w:tcPr>
          <w:p>
            <w:pPr>
              <w:pStyle w:val="65"/>
              <w:ind w:left="-105" w:leftChars="-50" w:right="-105" w:rightChars="-50" w:firstLine="0" w:firstLineChars="0"/>
              <w:jc w:val="center"/>
              <w:rPr>
                <w:rFonts w:ascii="Times New Roman" w:hAnsi="Times New Roman" w:eastAsia="宋体"/>
                <w:color w:val="auto"/>
                <w:szCs w:val="21"/>
              </w:rPr>
            </w:pPr>
          </w:p>
        </w:tc>
        <w:tc>
          <w:tcPr>
            <w:tcW w:w="1134" w:type="dxa"/>
            <w:vAlign w:val="center"/>
          </w:tcPr>
          <w:p>
            <w:pPr>
              <w:pStyle w:val="65"/>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地址</w:t>
            </w:r>
          </w:p>
        </w:tc>
        <w:tc>
          <w:tcPr>
            <w:tcW w:w="3015" w:type="dxa"/>
            <w:vAlign w:val="center"/>
          </w:tcPr>
          <w:p>
            <w:pPr>
              <w:pStyle w:val="65"/>
              <w:ind w:firstLine="0" w:firstLineChars="0"/>
              <w:jc w:val="center"/>
              <w:rPr>
                <w:rFonts w:ascii="Times New Roman" w:hAnsi="Times New Roman" w:eastAsia="宋体"/>
                <w:color w:val="auto"/>
                <w:szCs w:val="21"/>
              </w:rPr>
            </w:pPr>
          </w:p>
        </w:tc>
        <w:tc>
          <w:tcPr>
            <w:tcW w:w="915" w:type="dxa"/>
            <w:gridSpan w:val="2"/>
            <w:vAlign w:val="center"/>
          </w:tcPr>
          <w:p>
            <w:pPr>
              <w:pStyle w:val="65"/>
              <w:ind w:left="-105" w:leftChars="-50" w:right="-105" w:rightChars="-50"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邮政编码</w:t>
            </w:r>
          </w:p>
        </w:tc>
        <w:tc>
          <w:tcPr>
            <w:tcW w:w="890" w:type="dxa"/>
            <w:vAlign w:val="center"/>
          </w:tcPr>
          <w:p>
            <w:pPr>
              <w:pStyle w:val="65"/>
              <w:ind w:firstLine="0" w:firstLineChars="0"/>
              <w:jc w:val="center"/>
              <w:rPr>
                <w:rFonts w:ascii="Times New Roman" w:hAnsi="Times New Roman" w:eastAsia="宋体"/>
                <w:color w:val="auto"/>
                <w:szCs w:val="21"/>
              </w:rPr>
            </w:pPr>
            <w:bookmarkStart w:id="399" w:name="_GoBack"/>
            <w:bookmarkEnd w:id="399"/>
          </w:p>
        </w:tc>
        <w:tc>
          <w:tcPr>
            <w:tcW w:w="1751" w:type="dxa"/>
            <w:vMerge w:val="continue"/>
            <w:vAlign w:val="center"/>
          </w:tcPr>
          <w:p>
            <w:pPr>
              <w:pStyle w:val="65"/>
              <w:ind w:firstLine="0" w:firstLineChars="0"/>
              <w:jc w:val="center"/>
              <w:rPr>
                <w:rFonts w:ascii="Times New Roman" w:hAnsi="Times New Roman" w:eastAsia="宋体"/>
                <w:color w:val="auto"/>
                <w:szCs w:val="21"/>
              </w:rPr>
            </w:pPr>
          </w:p>
        </w:tc>
      </w:tr>
      <w:tr>
        <w:trPr>
          <w:trHeight w:val="397" w:hRule="atLeast"/>
        </w:trPr>
        <w:tc>
          <w:tcPr>
            <w:tcW w:w="337" w:type="dxa"/>
            <w:vMerge w:val="continue"/>
            <w:vAlign w:val="center"/>
          </w:tcPr>
          <w:p>
            <w:pPr>
              <w:pStyle w:val="65"/>
              <w:ind w:left="-105" w:leftChars="-50" w:right="-105" w:rightChars="-50" w:firstLine="0" w:firstLineChars="0"/>
              <w:jc w:val="center"/>
              <w:rPr>
                <w:rFonts w:ascii="Times New Roman" w:hAnsi="Times New Roman" w:eastAsia="宋体"/>
                <w:color w:val="auto"/>
                <w:szCs w:val="21"/>
              </w:rPr>
            </w:pPr>
          </w:p>
        </w:tc>
        <w:tc>
          <w:tcPr>
            <w:tcW w:w="1134" w:type="dxa"/>
            <w:vAlign w:val="center"/>
          </w:tcPr>
          <w:p>
            <w:pPr>
              <w:pStyle w:val="65"/>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电话</w:t>
            </w:r>
          </w:p>
        </w:tc>
        <w:tc>
          <w:tcPr>
            <w:tcW w:w="4820" w:type="dxa"/>
            <w:gridSpan w:val="4"/>
            <w:vAlign w:val="center"/>
          </w:tcPr>
          <w:p>
            <w:pPr>
              <w:pStyle w:val="65"/>
              <w:ind w:firstLine="1260" w:firstLineChars="600"/>
              <w:rPr>
                <w:rFonts w:hint="default" w:ascii="Times New Roman" w:hAnsi="Times New Roman" w:eastAsia="宋体"/>
                <w:color w:val="auto"/>
                <w:szCs w:val="21"/>
                <w:lang w:val="en-US" w:eastAsia="zh-CN"/>
              </w:rPr>
            </w:pPr>
          </w:p>
        </w:tc>
        <w:tc>
          <w:tcPr>
            <w:tcW w:w="1751" w:type="dxa"/>
            <w:vMerge w:val="continue"/>
            <w:vAlign w:val="center"/>
          </w:tcPr>
          <w:p>
            <w:pPr>
              <w:pStyle w:val="65"/>
              <w:ind w:firstLine="0" w:firstLineChars="0"/>
              <w:jc w:val="center"/>
              <w:rPr>
                <w:rFonts w:ascii="Times New Roman" w:hAnsi="Times New Roman" w:eastAsia="宋体"/>
                <w:color w:val="auto"/>
                <w:szCs w:val="21"/>
              </w:rPr>
            </w:pPr>
          </w:p>
        </w:tc>
      </w:tr>
      <w:tr>
        <w:trPr>
          <w:trHeight w:val="397" w:hRule="atLeast"/>
        </w:trPr>
        <w:tc>
          <w:tcPr>
            <w:tcW w:w="337" w:type="dxa"/>
            <w:vMerge w:val="continue"/>
            <w:vAlign w:val="center"/>
          </w:tcPr>
          <w:p>
            <w:pPr>
              <w:pStyle w:val="65"/>
              <w:ind w:left="-105" w:leftChars="-50" w:right="-105" w:rightChars="-50" w:firstLine="0" w:firstLineChars="0"/>
              <w:jc w:val="center"/>
              <w:rPr>
                <w:rFonts w:ascii="Times New Roman" w:hAnsi="Times New Roman" w:eastAsia="宋体"/>
                <w:color w:val="auto"/>
                <w:szCs w:val="21"/>
              </w:rPr>
            </w:pPr>
          </w:p>
        </w:tc>
        <w:tc>
          <w:tcPr>
            <w:tcW w:w="1134" w:type="dxa"/>
            <w:vAlign w:val="center"/>
          </w:tcPr>
          <w:p>
            <w:pPr>
              <w:pStyle w:val="65"/>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开户行</w:t>
            </w:r>
          </w:p>
        </w:tc>
        <w:tc>
          <w:tcPr>
            <w:tcW w:w="4820" w:type="dxa"/>
            <w:gridSpan w:val="4"/>
            <w:vAlign w:val="center"/>
          </w:tcPr>
          <w:p>
            <w:pPr>
              <w:pStyle w:val="65"/>
              <w:ind w:firstLine="0" w:firstLineChars="0"/>
              <w:jc w:val="center"/>
              <w:rPr>
                <w:rFonts w:ascii="Times New Roman" w:hAnsi="Times New Roman" w:eastAsia="宋体"/>
                <w:color w:val="auto"/>
                <w:szCs w:val="21"/>
              </w:rPr>
            </w:pPr>
          </w:p>
        </w:tc>
        <w:tc>
          <w:tcPr>
            <w:tcW w:w="1751" w:type="dxa"/>
            <w:vMerge w:val="continue"/>
            <w:vAlign w:val="center"/>
          </w:tcPr>
          <w:p>
            <w:pPr>
              <w:pStyle w:val="65"/>
              <w:ind w:firstLine="0" w:firstLineChars="0"/>
              <w:jc w:val="center"/>
              <w:rPr>
                <w:rFonts w:ascii="Times New Roman" w:hAnsi="Times New Roman" w:eastAsia="宋体"/>
                <w:color w:val="auto"/>
                <w:szCs w:val="21"/>
              </w:rPr>
            </w:pPr>
          </w:p>
        </w:tc>
      </w:tr>
      <w:tr>
        <w:trPr>
          <w:trHeight w:val="397" w:hRule="atLeast"/>
        </w:trPr>
        <w:tc>
          <w:tcPr>
            <w:tcW w:w="337" w:type="dxa"/>
            <w:vMerge w:val="continue"/>
            <w:vAlign w:val="center"/>
          </w:tcPr>
          <w:p>
            <w:pPr>
              <w:pStyle w:val="65"/>
              <w:ind w:left="-105" w:leftChars="-50" w:right="-105" w:rightChars="-50" w:firstLine="0" w:firstLineChars="0"/>
              <w:jc w:val="center"/>
              <w:rPr>
                <w:rFonts w:ascii="Times New Roman" w:hAnsi="Times New Roman" w:eastAsia="宋体"/>
                <w:color w:val="auto"/>
                <w:szCs w:val="21"/>
              </w:rPr>
            </w:pPr>
          </w:p>
        </w:tc>
        <w:tc>
          <w:tcPr>
            <w:tcW w:w="1134" w:type="dxa"/>
            <w:vAlign w:val="center"/>
          </w:tcPr>
          <w:p>
            <w:pPr>
              <w:pStyle w:val="65"/>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账号</w:t>
            </w:r>
          </w:p>
        </w:tc>
        <w:tc>
          <w:tcPr>
            <w:tcW w:w="4820" w:type="dxa"/>
            <w:gridSpan w:val="4"/>
            <w:vAlign w:val="center"/>
          </w:tcPr>
          <w:p>
            <w:pPr>
              <w:pStyle w:val="65"/>
              <w:ind w:firstLine="0" w:firstLineChars="0"/>
              <w:jc w:val="center"/>
              <w:rPr>
                <w:rFonts w:ascii="Times New Roman" w:hAnsi="Times New Roman" w:eastAsia="宋体"/>
                <w:color w:val="auto"/>
                <w:szCs w:val="21"/>
              </w:rPr>
            </w:pPr>
          </w:p>
        </w:tc>
        <w:tc>
          <w:tcPr>
            <w:tcW w:w="1751" w:type="dxa"/>
            <w:vMerge w:val="continue"/>
            <w:vAlign w:val="center"/>
          </w:tcPr>
          <w:p>
            <w:pPr>
              <w:pStyle w:val="65"/>
              <w:ind w:firstLine="0" w:firstLineChars="0"/>
              <w:jc w:val="center"/>
              <w:rPr>
                <w:rFonts w:ascii="Times New Roman" w:hAnsi="Times New Roman" w:eastAsia="宋体"/>
                <w:color w:val="auto"/>
                <w:szCs w:val="21"/>
              </w:rPr>
            </w:pPr>
          </w:p>
        </w:tc>
      </w:tr>
      <w:tr>
        <w:trPr>
          <w:trHeight w:val="397" w:hRule="atLeast"/>
        </w:trPr>
        <w:tc>
          <w:tcPr>
            <w:tcW w:w="337" w:type="dxa"/>
            <w:vMerge w:val="continue"/>
            <w:vAlign w:val="center"/>
          </w:tcPr>
          <w:p>
            <w:pPr>
              <w:pStyle w:val="65"/>
              <w:ind w:left="-105" w:leftChars="-50" w:right="-105" w:rightChars="-50" w:firstLine="0" w:firstLineChars="0"/>
              <w:jc w:val="center"/>
              <w:rPr>
                <w:rFonts w:ascii="Times New Roman" w:hAnsi="Times New Roman" w:eastAsia="宋体"/>
                <w:color w:val="auto"/>
                <w:szCs w:val="21"/>
              </w:rPr>
            </w:pPr>
          </w:p>
        </w:tc>
        <w:tc>
          <w:tcPr>
            <w:tcW w:w="1134" w:type="dxa"/>
            <w:vAlign w:val="center"/>
          </w:tcPr>
          <w:p>
            <w:pPr>
              <w:pStyle w:val="65"/>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税号</w:t>
            </w:r>
          </w:p>
        </w:tc>
        <w:tc>
          <w:tcPr>
            <w:tcW w:w="4820" w:type="dxa"/>
            <w:gridSpan w:val="4"/>
            <w:vAlign w:val="center"/>
          </w:tcPr>
          <w:p>
            <w:pPr>
              <w:pStyle w:val="65"/>
              <w:ind w:firstLine="0" w:firstLineChars="0"/>
              <w:jc w:val="center"/>
              <w:rPr>
                <w:rFonts w:ascii="Times New Roman" w:hAnsi="Times New Roman" w:eastAsia="宋体"/>
                <w:color w:val="auto"/>
                <w:szCs w:val="21"/>
              </w:rPr>
            </w:pPr>
          </w:p>
        </w:tc>
        <w:tc>
          <w:tcPr>
            <w:tcW w:w="1751" w:type="dxa"/>
            <w:vMerge w:val="continue"/>
            <w:vAlign w:val="center"/>
          </w:tcPr>
          <w:p>
            <w:pPr>
              <w:pStyle w:val="65"/>
              <w:ind w:firstLine="0" w:firstLineChars="0"/>
              <w:jc w:val="center"/>
              <w:rPr>
                <w:rFonts w:ascii="Times New Roman" w:hAnsi="Times New Roman" w:eastAsia="宋体"/>
                <w:color w:val="auto"/>
                <w:szCs w:val="21"/>
              </w:rPr>
            </w:pPr>
          </w:p>
        </w:tc>
      </w:tr>
      <w:tr>
        <w:trPr>
          <w:trHeight w:val="397" w:hRule="atLeast"/>
        </w:trPr>
        <w:tc>
          <w:tcPr>
            <w:tcW w:w="337" w:type="dxa"/>
            <w:vMerge w:val="restart"/>
            <w:vAlign w:val="center"/>
          </w:tcPr>
          <w:p>
            <w:pPr>
              <w:pStyle w:val="65"/>
              <w:ind w:left="-105" w:leftChars="-50" w:right="-105" w:rightChars="-50"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受托人(乙方)</w:t>
            </w:r>
          </w:p>
        </w:tc>
        <w:tc>
          <w:tcPr>
            <w:tcW w:w="1134" w:type="dxa"/>
            <w:vAlign w:val="center"/>
          </w:tcPr>
          <w:p>
            <w:pPr>
              <w:pStyle w:val="65"/>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名称</w:t>
            </w:r>
          </w:p>
        </w:tc>
        <w:tc>
          <w:tcPr>
            <w:tcW w:w="3810" w:type="dxa"/>
            <w:gridSpan w:val="2"/>
            <w:tcBorders>
              <w:bottom w:val="single" w:color="auto" w:sz="4" w:space="0"/>
              <w:right w:val="nil"/>
            </w:tcBorders>
            <w:vAlign w:val="center"/>
          </w:tcPr>
          <w:p>
            <w:pPr>
              <w:pStyle w:val="65"/>
              <w:ind w:firstLine="0" w:firstLineChars="0"/>
              <w:jc w:val="center"/>
              <w:rPr>
                <w:rFonts w:ascii="Times New Roman" w:hAnsi="Times New Roman" w:eastAsia="宋体"/>
                <w:color w:val="auto"/>
                <w:szCs w:val="21"/>
              </w:rPr>
            </w:pPr>
          </w:p>
        </w:tc>
        <w:tc>
          <w:tcPr>
            <w:tcW w:w="1010" w:type="dxa"/>
            <w:gridSpan w:val="2"/>
            <w:tcBorders>
              <w:left w:val="nil"/>
              <w:bottom w:val="single" w:color="auto" w:sz="4" w:space="0"/>
            </w:tcBorders>
            <w:vAlign w:val="center"/>
          </w:tcPr>
          <w:p>
            <w:pPr>
              <w:pStyle w:val="65"/>
              <w:ind w:left="-105" w:leftChars="-50" w:right="-105" w:rightChars="-50" w:firstLine="0" w:firstLineChars="0"/>
              <w:jc w:val="right"/>
              <w:rPr>
                <w:rFonts w:ascii="Times New Roman" w:hAnsi="Times New Roman" w:eastAsia="宋体"/>
                <w:color w:val="auto"/>
                <w:szCs w:val="21"/>
              </w:rPr>
            </w:pPr>
            <w:r>
              <w:rPr>
                <w:rFonts w:hint="eastAsia" w:ascii="Times New Roman" w:hAnsi="Times New Roman" w:eastAsia="宋体"/>
                <w:color w:val="auto"/>
                <w:szCs w:val="21"/>
              </w:rPr>
              <w:t>（签  章）</w:t>
            </w:r>
          </w:p>
        </w:tc>
        <w:tc>
          <w:tcPr>
            <w:tcW w:w="1751" w:type="dxa"/>
            <w:vMerge w:val="restart"/>
            <w:vAlign w:val="center"/>
          </w:tcPr>
          <w:p>
            <w:pPr>
              <w:pStyle w:val="65"/>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合同专业章</w:t>
            </w:r>
          </w:p>
          <w:p>
            <w:pPr>
              <w:pStyle w:val="65"/>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或单位公章</w:t>
            </w:r>
          </w:p>
          <w:p>
            <w:pPr>
              <w:pStyle w:val="65"/>
              <w:ind w:firstLine="0" w:firstLineChars="0"/>
              <w:jc w:val="center"/>
              <w:rPr>
                <w:rFonts w:ascii="Times New Roman" w:hAnsi="Times New Roman" w:eastAsia="宋体"/>
                <w:color w:val="auto"/>
                <w:szCs w:val="21"/>
              </w:rPr>
            </w:pPr>
          </w:p>
          <w:p>
            <w:pPr>
              <w:pStyle w:val="65"/>
              <w:ind w:firstLine="0" w:firstLineChars="0"/>
              <w:jc w:val="center"/>
              <w:rPr>
                <w:rFonts w:ascii="Times New Roman" w:hAnsi="Times New Roman" w:eastAsia="宋体"/>
                <w:color w:val="auto"/>
                <w:szCs w:val="21"/>
              </w:rPr>
            </w:pPr>
          </w:p>
          <w:p>
            <w:pPr>
              <w:ind w:right="315"/>
              <w:rPr>
                <w:rFonts w:ascii="Times New Roman" w:hAnsi="Times New Roman" w:eastAsia="宋体"/>
                <w:color w:val="auto"/>
                <w:szCs w:val="21"/>
              </w:rPr>
            </w:pPr>
          </w:p>
          <w:p>
            <w:pPr>
              <w:pStyle w:val="65"/>
              <w:ind w:firstLine="0" w:firstLineChars="0"/>
              <w:jc w:val="right"/>
              <w:rPr>
                <w:rFonts w:ascii="Times New Roman" w:hAnsi="Times New Roman" w:eastAsia="宋体"/>
                <w:color w:val="auto"/>
                <w:szCs w:val="21"/>
              </w:rPr>
            </w:pPr>
            <w:r>
              <w:rPr>
                <w:rFonts w:hint="eastAsia" w:ascii="Times New Roman" w:hAnsi="Times New Roman" w:eastAsia="宋体"/>
                <w:color w:val="auto"/>
                <w:szCs w:val="21"/>
              </w:rPr>
              <w:t>年  月  日</w:t>
            </w:r>
          </w:p>
        </w:tc>
      </w:tr>
      <w:tr>
        <w:trPr>
          <w:trHeight w:val="397" w:hRule="atLeast"/>
        </w:trPr>
        <w:tc>
          <w:tcPr>
            <w:tcW w:w="337" w:type="dxa"/>
            <w:vMerge w:val="continue"/>
            <w:vAlign w:val="center"/>
          </w:tcPr>
          <w:p>
            <w:pPr>
              <w:pStyle w:val="65"/>
              <w:ind w:firstLine="0" w:firstLineChars="0"/>
              <w:jc w:val="center"/>
              <w:rPr>
                <w:rFonts w:ascii="Times New Roman" w:hAnsi="Times New Roman" w:eastAsia="宋体"/>
                <w:color w:val="auto"/>
                <w:szCs w:val="21"/>
              </w:rPr>
            </w:pPr>
          </w:p>
        </w:tc>
        <w:tc>
          <w:tcPr>
            <w:tcW w:w="1134" w:type="dxa"/>
            <w:vAlign w:val="center"/>
          </w:tcPr>
          <w:p>
            <w:pPr>
              <w:pStyle w:val="65"/>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联系人</w:t>
            </w:r>
          </w:p>
        </w:tc>
        <w:tc>
          <w:tcPr>
            <w:tcW w:w="3810" w:type="dxa"/>
            <w:gridSpan w:val="2"/>
            <w:tcBorders>
              <w:top w:val="single" w:color="auto" w:sz="4" w:space="0"/>
              <w:right w:val="nil"/>
            </w:tcBorders>
            <w:vAlign w:val="center"/>
          </w:tcPr>
          <w:p>
            <w:pPr>
              <w:pStyle w:val="65"/>
              <w:ind w:firstLine="0" w:firstLineChars="0"/>
              <w:jc w:val="center"/>
              <w:rPr>
                <w:rFonts w:hint="eastAsia" w:ascii="Times New Roman" w:hAnsi="Times New Roman" w:eastAsia="宋体"/>
                <w:color w:val="auto"/>
                <w:szCs w:val="21"/>
                <w:lang w:eastAsia="zh-CN"/>
              </w:rPr>
            </w:pPr>
          </w:p>
        </w:tc>
        <w:tc>
          <w:tcPr>
            <w:tcW w:w="1010" w:type="dxa"/>
            <w:gridSpan w:val="2"/>
            <w:tcBorders>
              <w:top w:val="single" w:color="auto" w:sz="4" w:space="0"/>
              <w:left w:val="nil"/>
            </w:tcBorders>
            <w:vAlign w:val="center"/>
          </w:tcPr>
          <w:p>
            <w:pPr>
              <w:pStyle w:val="65"/>
              <w:ind w:left="-105" w:leftChars="-50" w:right="-105" w:rightChars="-50" w:firstLine="0" w:firstLineChars="0"/>
              <w:jc w:val="right"/>
              <w:rPr>
                <w:rFonts w:ascii="Times New Roman" w:hAnsi="Times New Roman" w:eastAsia="宋体"/>
                <w:color w:val="auto"/>
                <w:szCs w:val="21"/>
              </w:rPr>
            </w:pPr>
            <w:r>
              <w:rPr>
                <w:rFonts w:hint="eastAsia" w:ascii="Times New Roman" w:hAnsi="Times New Roman" w:eastAsia="宋体"/>
                <w:color w:val="auto"/>
                <w:szCs w:val="21"/>
              </w:rPr>
              <w:t>（签  章）</w:t>
            </w:r>
          </w:p>
        </w:tc>
        <w:tc>
          <w:tcPr>
            <w:tcW w:w="1751" w:type="dxa"/>
            <w:vMerge w:val="continue"/>
            <w:vAlign w:val="center"/>
          </w:tcPr>
          <w:p>
            <w:pPr>
              <w:pStyle w:val="65"/>
              <w:ind w:firstLine="0" w:firstLineChars="0"/>
              <w:jc w:val="center"/>
              <w:rPr>
                <w:rFonts w:ascii="Times New Roman" w:hAnsi="Times New Roman" w:eastAsia="宋体"/>
                <w:color w:val="auto"/>
                <w:szCs w:val="21"/>
              </w:rPr>
            </w:pPr>
          </w:p>
        </w:tc>
      </w:tr>
      <w:tr>
        <w:trPr>
          <w:trHeight w:val="397" w:hRule="atLeast"/>
        </w:trPr>
        <w:tc>
          <w:tcPr>
            <w:tcW w:w="337" w:type="dxa"/>
            <w:vMerge w:val="continue"/>
            <w:vAlign w:val="center"/>
          </w:tcPr>
          <w:p>
            <w:pPr>
              <w:pStyle w:val="65"/>
              <w:ind w:firstLine="0" w:firstLineChars="0"/>
              <w:jc w:val="center"/>
              <w:rPr>
                <w:rFonts w:ascii="Times New Roman" w:hAnsi="Times New Roman" w:eastAsia="宋体"/>
                <w:color w:val="auto"/>
                <w:szCs w:val="21"/>
              </w:rPr>
            </w:pPr>
          </w:p>
        </w:tc>
        <w:tc>
          <w:tcPr>
            <w:tcW w:w="1134" w:type="dxa"/>
            <w:vAlign w:val="center"/>
          </w:tcPr>
          <w:p>
            <w:pPr>
              <w:pStyle w:val="65"/>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地址</w:t>
            </w:r>
          </w:p>
        </w:tc>
        <w:tc>
          <w:tcPr>
            <w:tcW w:w="3015" w:type="dxa"/>
            <w:vAlign w:val="center"/>
          </w:tcPr>
          <w:p>
            <w:pPr>
              <w:pStyle w:val="65"/>
              <w:ind w:firstLine="0" w:firstLineChars="0"/>
              <w:jc w:val="center"/>
              <w:rPr>
                <w:rFonts w:ascii="Times New Roman" w:hAnsi="Times New Roman" w:eastAsia="宋体"/>
                <w:color w:val="auto"/>
                <w:szCs w:val="21"/>
              </w:rPr>
            </w:pPr>
          </w:p>
        </w:tc>
        <w:tc>
          <w:tcPr>
            <w:tcW w:w="915" w:type="dxa"/>
            <w:gridSpan w:val="2"/>
            <w:vAlign w:val="center"/>
          </w:tcPr>
          <w:p>
            <w:pPr>
              <w:pStyle w:val="65"/>
              <w:ind w:left="-105" w:leftChars="-50" w:right="-105" w:rightChars="-50"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邮政编码</w:t>
            </w:r>
          </w:p>
        </w:tc>
        <w:tc>
          <w:tcPr>
            <w:tcW w:w="890" w:type="dxa"/>
            <w:vAlign w:val="center"/>
          </w:tcPr>
          <w:p>
            <w:pPr>
              <w:pStyle w:val="65"/>
              <w:ind w:firstLine="0" w:firstLineChars="0"/>
              <w:jc w:val="center"/>
              <w:rPr>
                <w:rFonts w:ascii="Times New Roman" w:hAnsi="Times New Roman" w:eastAsia="宋体"/>
                <w:color w:val="auto"/>
                <w:szCs w:val="21"/>
              </w:rPr>
            </w:pPr>
          </w:p>
        </w:tc>
        <w:tc>
          <w:tcPr>
            <w:tcW w:w="1751" w:type="dxa"/>
            <w:vMerge w:val="continue"/>
            <w:vAlign w:val="center"/>
          </w:tcPr>
          <w:p>
            <w:pPr>
              <w:pStyle w:val="65"/>
              <w:ind w:firstLine="0" w:firstLineChars="0"/>
              <w:jc w:val="center"/>
              <w:rPr>
                <w:rFonts w:ascii="Times New Roman" w:hAnsi="Times New Roman" w:eastAsia="宋体"/>
                <w:color w:val="auto"/>
                <w:szCs w:val="21"/>
              </w:rPr>
            </w:pPr>
          </w:p>
        </w:tc>
      </w:tr>
      <w:tr>
        <w:trPr>
          <w:trHeight w:val="397" w:hRule="atLeast"/>
        </w:trPr>
        <w:tc>
          <w:tcPr>
            <w:tcW w:w="337" w:type="dxa"/>
            <w:vMerge w:val="continue"/>
            <w:vAlign w:val="center"/>
          </w:tcPr>
          <w:p>
            <w:pPr>
              <w:pStyle w:val="65"/>
              <w:ind w:firstLine="0" w:firstLineChars="0"/>
              <w:jc w:val="center"/>
              <w:rPr>
                <w:rFonts w:ascii="Times New Roman" w:hAnsi="Times New Roman" w:eastAsia="宋体"/>
                <w:color w:val="auto"/>
                <w:szCs w:val="21"/>
              </w:rPr>
            </w:pPr>
          </w:p>
        </w:tc>
        <w:tc>
          <w:tcPr>
            <w:tcW w:w="1134" w:type="dxa"/>
            <w:vAlign w:val="center"/>
          </w:tcPr>
          <w:p>
            <w:pPr>
              <w:pStyle w:val="65"/>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电话</w:t>
            </w:r>
          </w:p>
        </w:tc>
        <w:tc>
          <w:tcPr>
            <w:tcW w:w="4820" w:type="dxa"/>
            <w:gridSpan w:val="4"/>
            <w:vAlign w:val="center"/>
          </w:tcPr>
          <w:p>
            <w:pPr>
              <w:pStyle w:val="65"/>
              <w:ind w:firstLine="0" w:firstLineChars="0"/>
              <w:jc w:val="center"/>
              <w:rPr>
                <w:rFonts w:hint="default" w:ascii="Times New Roman" w:hAnsi="Times New Roman" w:eastAsia="宋体"/>
                <w:color w:val="auto"/>
                <w:szCs w:val="21"/>
                <w:lang w:val="en-US" w:eastAsia="zh-CN"/>
              </w:rPr>
            </w:pPr>
          </w:p>
        </w:tc>
        <w:tc>
          <w:tcPr>
            <w:tcW w:w="1751" w:type="dxa"/>
            <w:vMerge w:val="continue"/>
            <w:vAlign w:val="center"/>
          </w:tcPr>
          <w:p>
            <w:pPr>
              <w:pStyle w:val="65"/>
              <w:ind w:firstLine="0" w:firstLineChars="0"/>
              <w:jc w:val="center"/>
              <w:rPr>
                <w:rFonts w:ascii="Times New Roman" w:hAnsi="Times New Roman" w:eastAsia="宋体"/>
                <w:color w:val="auto"/>
                <w:szCs w:val="21"/>
              </w:rPr>
            </w:pPr>
          </w:p>
        </w:tc>
      </w:tr>
      <w:tr>
        <w:trPr>
          <w:trHeight w:val="397" w:hRule="atLeast"/>
        </w:trPr>
        <w:tc>
          <w:tcPr>
            <w:tcW w:w="337" w:type="dxa"/>
            <w:vMerge w:val="continue"/>
            <w:vAlign w:val="center"/>
          </w:tcPr>
          <w:p>
            <w:pPr>
              <w:pStyle w:val="65"/>
              <w:ind w:firstLine="0" w:firstLineChars="0"/>
              <w:jc w:val="center"/>
              <w:rPr>
                <w:rFonts w:ascii="Times New Roman" w:hAnsi="Times New Roman" w:eastAsia="宋体"/>
                <w:color w:val="auto"/>
                <w:szCs w:val="21"/>
              </w:rPr>
            </w:pPr>
          </w:p>
        </w:tc>
        <w:tc>
          <w:tcPr>
            <w:tcW w:w="1134" w:type="dxa"/>
            <w:vAlign w:val="center"/>
          </w:tcPr>
          <w:p>
            <w:pPr>
              <w:pStyle w:val="65"/>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开户行</w:t>
            </w:r>
          </w:p>
        </w:tc>
        <w:tc>
          <w:tcPr>
            <w:tcW w:w="4820" w:type="dxa"/>
            <w:gridSpan w:val="4"/>
            <w:vAlign w:val="center"/>
          </w:tcPr>
          <w:p>
            <w:pPr>
              <w:pStyle w:val="65"/>
              <w:ind w:firstLine="0" w:firstLineChars="0"/>
              <w:jc w:val="center"/>
              <w:rPr>
                <w:rFonts w:ascii="Times New Roman" w:hAnsi="Times New Roman" w:eastAsia="宋体"/>
                <w:color w:val="auto"/>
                <w:szCs w:val="21"/>
              </w:rPr>
            </w:pPr>
          </w:p>
        </w:tc>
        <w:tc>
          <w:tcPr>
            <w:tcW w:w="1751" w:type="dxa"/>
            <w:vMerge w:val="continue"/>
            <w:vAlign w:val="center"/>
          </w:tcPr>
          <w:p>
            <w:pPr>
              <w:pStyle w:val="65"/>
              <w:ind w:firstLine="0" w:firstLineChars="0"/>
              <w:jc w:val="center"/>
              <w:rPr>
                <w:rFonts w:ascii="Times New Roman" w:hAnsi="Times New Roman" w:eastAsia="宋体"/>
                <w:color w:val="auto"/>
                <w:szCs w:val="21"/>
              </w:rPr>
            </w:pPr>
          </w:p>
        </w:tc>
      </w:tr>
      <w:tr>
        <w:trPr>
          <w:trHeight w:val="397" w:hRule="atLeast"/>
        </w:trPr>
        <w:tc>
          <w:tcPr>
            <w:tcW w:w="337" w:type="dxa"/>
            <w:vMerge w:val="continue"/>
            <w:vAlign w:val="center"/>
          </w:tcPr>
          <w:p>
            <w:pPr>
              <w:pStyle w:val="65"/>
              <w:ind w:firstLine="0" w:firstLineChars="0"/>
              <w:jc w:val="center"/>
              <w:rPr>
                <w:rFonts w:ascii="Times New Roman" w:hAnsi="Times New Roman" w:eastAsia="宋体"/>
                <w:color w:val="auto"/>
                <w:szCs w:val="21"/>
              </w:rPr>
            </w:pPr>
          </w:p>
        </w:tc>
        <w:tc>
          <w:tcPr>
            <w:tcW w:w="1134" w:type="dxa"/>
            <w:vAlign w:val="center"/>
          </w:tcPr>
          <w:p>
            <w:pPr>
              <w:pStyle w:val="65"/>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账号</w:t>
            </w:r>
          </w:p>
        </w:tc>
        <w:tc>
          <w:tcPr>
            <w:tcW w:w="4820" w:type="dxa"/>
            <w:gridSpan w:val="4"/>
            <w:vAlign w:val="center"/>
          </w:tcPr>
          <w:p>
            <w:pPr>
              <w:pStyle w:val="65"/>
              <w:ind w:firstLine="0" w:firstLineChars="0"/>
              <w:jc w:val="center"/>
              <w:rPr>
                <w:rFonts w:ascii="Times New Roman" w:hAnsi="Times New Roman" w:eastAsia="宋体"/>
                <w:color w:val="auto"/>
                <w:szCs w:val="21"/>
              </w:rPr>
            </w:pPr>
          </w:p>
        </w:tc>
        <w:tc>
          <w:tcPr>
            <w:tcW w:w="1751" w:type="dxa"/>
            <w:vMerge w:val="continue"/>
            <w:vAlign w:val="center"/>
          </w:tcPr>
          <w:p>
            <w:pPr>
              <w:pStyle w:val="65"/>
              <w:ind w:firstLine="0" w:firstLineChars="0"/>
              <w:jc w:val="center"/>
              <w:rPr>
                <w:rFonts w:ascii="Times New Roman" w:hAnsi="Times New Roman" w:eastAsia="宋体"/>
                <w:color w:val="auto"/>
                <w:szCs w:val="21"/>
              </w:rPr>
            </w:pPr>
          </w:p>
        </w:tc>
      </w:tr>
      <w:tr>
        <w:trPr>
          <w:trHeight w:val="397" w:hRule="atLeast"/>
        </w:trPr>
        <w:tc>
          <w:tcPr>
            <w:tcW w:w="337" w:type="dxa"/>
            <w:vMerge w:val="continue"/>
            <w:vAlign w:val="center"/>
          </w:tcPr>
          <w:p>
            <w:pPr>
              <w:pStyle w:val="65"/>
              <w:ind w:firstLine="0" w:firstLineChars="0"/>
              <w:jc w:val="center"/>
              <w:rPr>
                <w:rFonts w:ascii="Times New Roman" w:hAnsi="Times New Roman" w:eastAsia="宋体"/>
                <w:color w:val="auto"/>
                <w:szCs w:val="21"/>
              </w:rPr>
            </w:pPr>
          </w:p>
        </w:tc>
        <w:tc>
          <w:tcPr>
            <w:tcW w:w="1134" w:type="dxa"/>
            <w:vAlign w:val="center"/>
          </w:tcPr>
          <w:p>
            <w:pPr>
              <w:pStyle w:val="65"/>
              <w:ind w:firstLine="0" w:firstLineChars="0"/>
              <w:jc w:val="center"/>
              <w:rPr>
                <w:rFonts w:ascii="Times New Roman" w:hAnsi="Times New Roman" w:eastAsia="宋体"/>
                <w:color w:val="auto"/>
                <w:szCs w:val="21"/>
              </w:rPr>
            </w:pPr>
            <w:r>
              <w:rPr>
                <w:rFonts w:hint="eastAsia" w:ascii="Times New Roman" w:hAnsi="Times New Roman" w:eastAsia="宋体"/>
                <w:color w:val="auto"/>
                <w:szCs w:val="21"/>
              </w:rPr>
              <w:t>税号</w:t>
            </w:r>
          </w:p>
        </w:tc>
        <w:tc>
          <w:tcPr>
            <w:tcW w:w="4820" w:type="dxa"/>
            <w:gridSpan w:val="4"/>
            <w:vAlign w:val="center"/>
          </w:tcPr>
          <w:p>
            <w:pPr>
              <w:pStyle w:val="65"/>
              <w:ind w:firstLine="0" w:firstLineChars="0"/>
              <w:jc w:val="center"/>
              <w:rPr>
                <w:rFonts w:ascii="Times New Roman" w:hAnsi="Times New Roman" w:eastAsia="宋体"/>
                <w:color w:val="auto"/>
                <w:szCs w:val="21"/>
              </w:rPr>
            </w:pPr>
          </w:p>
        </w:tc>
        <w:tc>
          <w:tcPr>
            <w:tcW w:w="1751" w:type="dxa"/>
            <w:vMerge w:val="continue"/>
            <w:vAlign w:val="center"/>
          </w:tcPr>
          <w:p>
            <w:pPr>
              <w:pStyle w:val="65"/>
              <w:ind w:firstLine="0" w:firstLineChars="0"/>
              <w:jc w:val="center"/>
              <w:rPr>
                <w:rFonts w:ascii="Times New Roman" w:hAnsi="Times New Roman" w:eastAsia="宋体"/>
                <w:color w:val="auto"/>
                <w:szCs w:val="21"/>
              </w:rPr>
            </w:pPr>
          </w:p>
        </w:tc>
      </w:tr>
    </w:tbl>
    <w:p>
      <w:pPr>
        <w:rPr>
          <w:rFonts w:ascii="Times New Roman" w:hAnsi="Times New Roman" w:eastAsia="宋体"/>
          <w:b/>
          <w:bCs/>
          <w:color w:val="auto"/>
          <w:szCs w:val="21"/>
        </w:rPr>
      </w:pPr>
    </w:p>
    <w:p>
      <w:pPr>
        <w:rPr>
          <w:rFonts w:ascii="Times New Roman" w:hAnsi="Times New Roman" w:eastAsia="宋体"/>
          <w:b/>
          <w:bCs/>
          <w:color w:val="auto"/>
          <w:szCs w:val="21"/>
        </w:rPr>
      </w:pPr>
    </w:p>
    <w:p>
      <w:pPr>
        <w:rPr>
          <w:rFonts w:ascii="Times New Roman" w:hAnsi="Times New Roman" w:eastAsia="宋体"/>
          <w:b/>
          <w:bCs/>
          <w:color w:val="auto"/>
          <w:szCs w:val="21"/>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bookmarkEnd w:id="312"/>
    <w:bookmarkEnd w:id="313"/>
    <w:bookmarkEnd w:id="314"/>
    <w:p>
      <w:pPr>
        <w:pStyle w:val="2"/>
        <w:spacing w:before="0" w:after="0" w:line="360" w:lineRule="auto"/>
        <w:jc w:val="center"/>
        <w:rPr>
          <w:rFonts w:hint="eastAsia" w:ascii="宋体" w:hAnsi="宋体"/>
          <w:sz w:val="28"/>
          <w:szCs w:val="28"/>
          <w:highlight w:val="none"/>
        </w:rPr>
      </w:pPr>
      <w:bookmarkStart w:id="315" w:name="_Toc24364"/>
      <w:bookmarkStart w:id="316" w:name="_Toc219175639"/>
      <w:bookmarkStart w:id="317" w:name="_Toc216582826"/>
      <w:bookmarkStart w:id="318" w:name="_Toc218935355"/>
      <w:bookmarkStart w:id="319" w:name="_Toc220229434"/>
      <w:bookmarkStart w:id="320" w:name="_Toc109736075"/>
      <w:r>
        <w:rPr>
          <w:rFonts w:hint="eastAsia" w:ascii="宋体" w:hAnsi="宋体"/>
          <w:sz w:val="28"/>
          <w:szCs w:val="28"/>
          <w:highlight w:val="none"/>
        </w:rPr>
        <w:t>第四章 附件—投标文件格式</w:t>
      </w:r>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widowControl w:val="0"/>
        <w:wordWrap/>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widowControl w:val="0"/>
        <w:wordWrap/>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widowControl w:val="0"/>
        <w:wordWrap/>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widowControl w:val="0"/>
        <w:wordWrap/>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widowControl w:val="0"/>
        <w:wordWrap/>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widowControl w:val="0"/>
        <w:wordWrap/>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widowControl w:val="0"/>
        <w:wordWrap/>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widowControl w:val="0"/>
        <w:wordWrap/>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widowControl w:val="0"/>
        <w:wordWrap/>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widowControl w:val="0"/>
        <w:wordWrap/>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widowControl w:val="0"/>
        <w:wordWrap/>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widowControl w:val="0"/>
        <w:wordWrap/>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widowControl w:val="0"/>
        <w:wordWrap/>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widowControl w:val="0"/>
        <w:wordWrap/>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7"/>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3"/>
        <w:tabs>
          <w:tab w:val="left" w:pos="5580"/>
        </w:tabs>
        <w:spacing w:before="0" w:line="360" w:lineRule="auto"/>
        <w:jc w:val="center"/>
        <w:rPr>
          <w:rFonts w:ascii="宋体" w:hAnsi="宋体" w:eastAsia="宋体"/>
          <w:sz w:val="21"/>
          <w:szCs w:val="21"/>
          <w:highlight w:val="none"/>
        </w:rPr>
      </w:pPr>
      <w:bookmarkStart w:id="321" w:name="_Hlt520356241"/>
      <w:bookmarkEnd w:id="321"/>
      <w:bookmarkStart w:id="322" w:name="_Ref467988698"/>
      <w:bookmarkStart w:id="323" w:name="_Toc480942349"/>
      <w:bookmarkStart w:id="324" w:name="_Toc520356217"/>
      <w:bookmarkStart w:id="325" w:name="_Toc109736069"/>
      <w:bookmarkStart w:id="326" w:name="_Toc415222524"/>
      <w:bookmarkStart w:id="327" w:name="_Toc216582813"/>
      <w:bookmarkStart w:id="328" w:name="_Toc5329"/>
      <w:r>
        <w:rPr>
          <w:rFonts w:hint="eastAsia" w:ascii="宋体" w:hAnsi="宋体" w:eastAsia="宋体"/>
          <w:sz w:val="21"/>
          <w:szCs w:val="21"/>
          <w:highlight w:val="none"/>
        </w:rPr>
        <w:t>附件1</w:t>
      </w:r>
      <w:bookmarkStart w:id="329" w:name="_Hlt520355504"/>
      <w:bookmarkEnd w:id="329"/>
      <w:r>
        <w:rPr>
          <w:rFonts w:hint="eastAsia" w:ascii="宋体" w:hAnsi="宋体" w:eastAsia="宋体"/>
          <w:sz w:val="21"/>
          <w:szCs w:val="21"/>
          <w:highlight w:val="none"/>
        </w:rPr>
        <w:t>　投标</w:t>
      </w:r>
      <w:bookmarkEnd w:id="322"/>
      <w:bookmarkEnd w:id="323"/>
      <w:r>
        <w:rPr>
          <w:rFonts w:hint="eastAsia" w:ascii="宋体" w:hAnsi="宋体" w:eastAsia="宋体"/>
          <w:sz w:val="21"/>
          <w:szCs w:val="21"/>
          <w:highlight w:val="none"/>
        </w:rPr>
        <w:t>书</w:t>
      </w:r>
      <w:bookmarkEnd w:id="324"/>
      <w:r>
        <w:rPr>
          <w:rFonts w:hint="eastAsia" w:ascii="宋体" w:hAnsi="宋体" w:eastAsia="宋体"/>
          <w:sz w:val="21"/>
          <w:szCs w:val="21"/>
          <w:highlight w:val="none"/>
        </w:rPr>
        <w:t>（格式）</w:t>
      </w:r>
      <w:bookmarkEnd w:id="325"/>
      <w:bookmarkEnd w:id="326"/>
      <w:bookmarkEnd w:id="327"/>
      <w:bookmarkEnd w:id="328"/>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7"/>
        <w:tabs>
          <w:tab w:val="left" w:pos="5580"/>
        </w:tabs>
        <w:spacing w:line="360" w:lineRule="auto"/>
        <w:ind w:left="1080" w:leftChars="257" w:hanging="540"/>
        <w:rPr>
          <w:rFonts w:hint="eastAsia" w:hAnsi="宋体"/>
          <w:szCs w:val="21"/>
          <w:highlight w:val="none"/>
        </w:rPr>
      </w:pPr>
    </w:p>
    <w:p>
      <w:pPr>
        <w:pStyle w:val="27"/>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7"/>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7"/>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7"/>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7"/>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7"/>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7"/>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7"/>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7"/>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总价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7"/>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7"/>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7"/>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7"/>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7"/>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7"/>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7"/>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7"/>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7"/>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7"/>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7"/>
        <w:tabs>
          <w:tab w:val="left" w:pos="5580"/>
        </w:tabs>
        <w:spacing w:line="360" w:lineRule="auto"/>
        <w:ind w:left="1080" w:leftChars="257" w:hanging="540"/>
        <w:rPr>
          <w:rFonts w:hint="eastAsia" w:hAnsi="宋体"/>
          <w:szCs w:val="21"/>
          <w:highlight w:val="none"/>
          <w:u w:val="single"/>
        </w:rPr>
      </w:pPr>
    </w:p>
    <w:p>
      <w:pPr>
        <w:pStyle w:val="27"/>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7"/>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7"/>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7"/>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7"/>
        <w:tabs>
          <w:tab w:val="left" w:pos="5580"/>
        </w:tabs>
        <w:spacing w:line="360" w:lineRule="auto"/>
        <w:ind w:left="1080" w:leftChars="257" w:hanging="540"/>
        <w:jc w:val="left"/>
        <w:rPr>
          <w:rFonts w:hint="eastAsia" w:hAnsi="宋体"/>
          <w:szCs w:val="21"/>
          <w:highlight w:val="none"/>
          <w:u w:val="single"/>
        </w:rPr>
        <w:sectPr>
          <w:footerReference r:id="rId10" w:type="first"/>
          <w:footerReference r:id="rId9" w:type="default"/>
          <w:pgSz w:w="11907" w:h="16840"/>
          <w:pgMar w:top="1440" w:right="1588" w:bottom="1440" w:left="1588" w:header="851" w:footer="851" w:gutter="0"/>
          <w:pgNumType w:fmt="decimal"/>
          <w:cols w:space="720" w:num="1"/>
          <w:titlePg/>
          <w:docGrid w:linePitch="462"/>
        </w:sectPr>
      </w:pPr>
    </w:p>
    <w:p>
      <w:pPr>
        <w:pStyle w:val="3"/>
        <w:tabs>
          <w:tab w:val="left" w:pos="5580"/>
        </w:tabs>
        <w:spacing w:before="0" w:line="360" w:lineRule="auto"/>
        <w:jc w:val="center"/>
        <w:rPr>
          <w:rFonts w:hint="eastAsia" w:ascii="宋体" w:hAnsi="宋体" w:eastAsia="宋体"/>
          <w:sz w:val="21"/>
          <w:szCs w:val="21"/>
        </w:rPr>
      </w:pPr>
      <w:bookmarkStart w:id="330" w:name="_Hlt520356243"/>
      <w:bookmarkEnd w:id="330"/>
      <w:bookmarkStart w:id="331" w:name="_Hlt520355938"/>
      <w:bookmarkEnd w:id="331"/>
      <w:bookmarkStart w:id="332" w:name="_Toc216582814"/>
      <w:bookmarkStart w:id="333" w:name="_Toc109736070"/>
      <w:bookmarkStart w:id="334" w:name="_Toc480942350"/>
      <w:bookmarkStart w:id="335" w:name="_Toc415222525"/>
      <w:bookmarkStart w:id="336" w:name="_Toc520356218"/>
      <w:bookmarkStart w:id="337" w:name="_Toc29788"/>
      <w:bookmarkStart w:id="338" w:name="_Ref467988705"/>
      <w:bookmarkStart w:id="339" w:name="_Toc109736072"/>
      <w:bookmarkStart w:id="340" w:name="_Toc415222529"/>
      <w:bookmarkStart w:id="341" w:name="_Toc216582818"/>
      <w:r>
        <w:rPr>
          <w:rFonts w:hint="eastAsia" w:ascii="宋体" w:hAnsi="宋体" w:eastAsia="宋体"/>
          <w:sz w:val="21"/>
          <w:szCs w:val="21"/>
        </w:rPr>
        <w:t>附件2　开标一览表</w:t>
      </w:r>
      <w:bookmarkEnd w:id="332"/>
      <w:bookmarkEnd w:id="333"/>
      <w:bookmarkEnd w:id="334"/>
      <w:bookmarkEnd w:id="335"/>
      <w:bookmarkEnd w:id="336"/>
      <w:bookmarkEnd w:id="337"/>
      <w:bookmarkEnd w:id="338"/>
    </w:p>
    <w:p>
      <w:pPr>
        <w:rPr>
          <w:rFonts w:hint="eastAsia"/>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p>
    <w:tbl>
      <w:tblPr>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2276"/>
        <w:gridCol w:w="2714"/>
        <w:gridCol w:w="2947"/>
      </w:tblGrid>
      <w:tr>
        <w:trPr>
          <w:cantSplit/>
          <w:trHeight w:val="557" w:hRule="atLeast"/>
          <w:jc w:val="center"/>
        </w:trPr>
        <w:tc>
          <w:tcPr>
            <w:tcW w:w="1726" w:type="dxa"/>
            <w:vAlign w:val="center"/>
          </w:tcPr>
          <w:p>
            <w:pPr>
              <w:spacing w:line="38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价格（元）</w:t>
            </w:r>
          </w:p>
        </w:tc>
        <w:tc>
          <w:tcPr>
            <w:tcW w:w="2276" w:type="dxa"/>
            <w:vAlign w:val="center"/>
          </w:tcPr>
          <w:p>
            <w:pPr>
              <w:spacing w:line="380" w:lineRule="exact"/>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 xml:space="preserve">   检测范围</w:t>
            </w:r>
          </w:p>
        </w:tc>
        <w:tc>
          <w:tcPr>
            <w:tcW w:w="2714" w:type="dxa"/>
            <w:vAlign w:val="center"/>
          </w:tcPr>
          <w:p>
            <w:pPr>
              <w:spacing w:line="380" w:lineRule="exact"/>
              <w:jc w:val="center"/>
              <w:rPr>
                <w:rFonts w:ascii="仿宋" w:hAnsi="仿宋" w:eastAsia="仿宋" w:cs="仿宋"/>
                <w:sz w:val="24"/>
              </w:rPr>
            </w:pPr>
            <w:r>
              <w:rPr>
                <w:rFonts w:hint="eastAsia" w:ascii="仿宋" w:hAnsi="仿宋" w:eastAsia="仿宋" w:cs="仿宋"/>
                <w:sz w:val="24"/>
                <w:lang w:val="en-US" w:eastAsia="zh-CN"/>
              </w:rPr>
              <w:t>付款方式</w:t>
            </w:r>
          </w:p>
        </w:tc>
        <w:tc>
          <w:tcPr>
            <w:tcW w:w="2947" w:type="dxa"/>
            <w:vAlign w:val="center"/>
          </w:tcPr>
          <w:p>
            <w:pPr>
              <w:spacing w:line="380" w:lineRule="exact"/>
              <w:jc w:val="center"/>
              <w:rPr>
                <w:rFonts w:ascii="仿宋" w:hAnsi="仿宋" w:eastAsia="仿宋" w:cs="仿宋"/>
                <w:sz w:val="24"/>
              </w:rPr>
            </w:pPr>
            <w:r>
              <w:rPr>
                <w:rFonts w:hint="eastAsia" w:ascii="仿宋" w:hAnsi="仿宋" w:eastAsia="仿宋" w:cs="仿宋"/>
                <w:sz w:val="24"/>
              </w:rPr>
              <w:t>备注</w:t>
            </w:r>
          </w:p>
        </w:tc>
      </w:tr>
      <w:tr>
        <w:trPr>
          <w:cantSplit/>
          <w:trHeight w:val="821" w:hRule="atLeast"/>
          <w:jc w:val="center"/>
        </w:trPr>
        <w:tc>
          <w:tcPr>
            <w:tcW w:w="1726" w:type="dxa"/>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red"/>
                <w:lang w:val="en-US" w:eastAsia="zh-CN"/>
              </w:rPr>
            </w:pPr>
          </w:p>
        </w:tc>
        <w:tc>
          <w:tcPr>
            <w:tcW w:w="2276" w:type="dxa"/>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《排污许可证》要求检测项目频次</w:t>
            </w:r>
          </w:p>
        </w:tc>
        <w:tc>
          <w:tcPr>
            <w:tcW w:w="2714" w:type="dxa"/>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2947" w:type="dxa"/>
            <w:tcBorders>
              <w:left w:val="single" w:color="auto" w:sz="4" w:space="0"/>
              <w:bottom w:val="single" w:color="auto" w:sz="4" w:space="0"/>
            </w:tcBorders>
            <w:vAlign w:val="center"/>
          </w:tcPr>
          <w:p>
            <w:pPr>
              <w:spacing w:line="380" w:lineRule="exact"/>
              <w:jc w:val="center"/>
              <w:rPr>
                <w:rFonts w:ascii="仿宋" w:hAnsi="仿宋" w:eastAsia="仿宋" w:cs="仿宋"/>
                <w:sz w:val="24"/>
              </w:rPr>
            </w:pPr>
          </w:p>
        </w:tc>
      </w:tr>
      <w:tr>
        <w:trPr>
          <w:cantSplit/>
          <w:trHeight w:val="510" w:hRule="atLeast"/>
          <w:jc w:val="center"/>
        </w:trPr>
        <w:tc>
          <w:tcPr>
            <w:tcW w:w="9663" w:type="dxa"/>
            <w:gridSpan w:val="4"/>
            <w:vAlign w:val="center"/>
          </w:tcPr>
          <w:p>
            <w:pPr>
              <w:spacing w:line="380" w:lineRule="exact"/>
              <w:jc w:val="left"/>
              <w:rPr>
                <w:rFonts w:hint="eastAsia"/>
              </w:rPr>
            </w:pPr>
            <w:r>
              <w:rPr>
                <w:rFonts w:hint="eastAsia"/>
              </w:rPr>
              <w:t>服务期限：合同签订之日起</w:t>
            </w:r>
            <w:r>
              <w:rPr>
                <w:rFonts w:hint="eastAsia"/>
                <w:lang w:val="en-US" w:eastAsia="zh-CN"/>
              </w:rPr>
              <w:t xml:space="preserve">    </w:t>
            </w:r>
            <w:r>
              <w:rPr>
                <w:rFonts w:hint="eastAsia"/>
              </w:rPr>
              <w:t>年。</w:t>
            </w:r>
          </w:p>
          <w:p>
            <w:pPr>
              <w:pStyle w:val="16"/>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rPr>
              <w:t>交货地点：招标人指定交货地点</w:t>
            </w:r>
          </w:p>
        </w:tc>
      </w:tr>
      <w:tr>
        <w:trPr>
          <w:cantSplit/>
          <w:trHeight w:val="510" w:hRule="atLeast"/>
          <w:jc w:val="center"/>
        </w:trPr>
        <w:tc>
          <w:tcPr>
            <w:tcW w:w="9663" w:type="dxa"/>
            <w:gridSpan w:val="4"/>
            <w:vAlign w:val="center"/>
          </w:tcPr>
          <w:p>
            <w:pPr>
              <w:pStyle w:val="27"/>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7"/>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7"/>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7"/>
        <w:tabs>
          <w:tab w:val="left" w:pos="5580"/>
        </w:tabs>
        <w:spacing w:line="360" w:lineRule="auto"/>
        <w:ind w:left="1080" w:leftChars="257" w:hanging="540"/>
        <w:rPr>
          <w:rFonts w:hint="eastAsia" w:hAnsi="宋体"/>
          <w:szCs w:val="21"/>
          <w:highlight w:val="none"/>
        </w:rPr>
      </w:pPr>
    </w:p>
    <w:p>
      <w:pPr>
        <w:pStyle w:val="27"/>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7"/>
        <w:tabs>
          <w:tab w:val="left" w:pos="5580"/>
        </w:tabs>
        <w:spacing w:line="360" w:lineRule="auto"/>
        <w:ind w:left="1080" w:leftChars="257" w:hanging="540"/>
        <w:rPr>
          <w:rFonts w:hint="eastAsia" w:hAnsi="宋体"/>
          <w:szCs w:val="21"/>
          <w:highlight w:val="none"/>
          <w:u w:val="single"/>
        </w:rPr>
      </w:pPr>
    </w:p>
    <w:p>
      <w:pPr>
        <w:pStyle w:val="27"/>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7"/>
        <w:tabs>
          <w:tab w:val="left" w:pos="5580"/>
        </w:tabs>
        <w:spacing w:line="360" w:lineRule="auto"/>
        <w:ind w:left="1080" w:leftChars="257" w:hanging="540"/>
        <w:rPr>
          <w:rFonts w:hint="eastAsia" w:hAnsi="宋体"/>
          <w:szCs w:val="21"/>
          <w:highlight w:val="none"/>
          <w:u w:val="single"/>
        </w:rPr>
      </w:pPr>
    </w:p>
    <w:p>
      <w:pPr>
        <w:pStyle w:val="27"/>
        <w:tabs>
          <w:tab w:val="left" w:pos="5580"/>
        </w:tabs>
        <w:spacing w:line="360" w:lineRule="auto"/>
        <w:ind w:left="1080" w:leftChars="257" w:hanging="540"/>
        <w:rPr>
          <w:rFonts w:hint="eastAsia" w:ascii="宋体" w:hAnsi="宋体" w:eastAsia="宋体"/>
          <w:sz w:val="21"/>
          <w:szCs w:val="21"/>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p>
    <w:p>
      <w:pPr>
        <w:rPr>
          <w:rFonts w:hint="eastAsia" w:ascii="宋体" w:hAnsi="宋体" w:eastAsia="宋体"/>
          <w:sz w:val="21"/>
          <w:szCs w:val="21"/>
        </w:rPr>
      </w:pPr>
    </w:p>
    <w:p>
      <w:pPr>
        <w:rPr>
          <w:rFonts w:hint="eastAsia" w:hAnsi="宋体"/>
          <w:szCs w:val="21"/>
          <w:highlight w:val="none"/>
        </w:rPr>
      </w:pPr>
      <w:r>
        <w:rPr>
          <w:rFonts w:hint="eastAsia" w:hAnsi="宋体"/>
          <w:szCs w:val="21"/>
          <w:highlight w:val="none"/>
        </w:rPr>
        <w:br w:type="page"/>
      </w:r>
    </w:p>
    <w:p>
      <w:pPr>
        <w:pStyle w:val="3"/>
        <w:spacing w:before="0" w:line="360" w:lineRule="auto"/>
        <w:jc w:val="center"/>
        <w:rPr>
          <w:rFonts w:hint="eastAsia" w:ascii="宋体" w:hAnsi="宋体" w:eastAsia="宋体"/>
          <w:sz w:val="21"/>
          <w:szCs w:val="21"/>
          <w:highlight w:val="none"/>
        </w:rPr>
      </w:pPr>
      <w:bookmarkStart w:id="342"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39"/>
      <w:bookmarkEnd w:id="340"/>
      <w:bookmarkEnd w:id="341"/>
      <w:bookmarkEnd w:id="342"/>
    </w:p>
    <w:p>
      <w:pPr>
        <w:pStyle w:val="27"/>
        <w:spacing w:line="360" w:lineRule="auto"/>
        <w:ind w:left="1080" w:leftChars="257" w:hanging="540"/>
        <w:rPr>
          <w:rFonts w:hint="eastAsia" w:hAnsi="宋体"/>
          <w:szCs w:val="21"/>
          <w:highlight w:val="none"/>
        </w:rPr>
      </w:pPr>
    </w:p>
    <w:p>
      <w:pPr>
        <w:pStyle w:val="27"/>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rPr>
        <w:t xml:space="preserve">    </w:t>
      </w:r>
    </w:p>
    <w:tbl>
      <w:tblPr>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rPr>
          <w:trHeight w:val="485" w:hRule="atLeast"/>
          <w:jc w:val="center"/>
        </w:trPr>
        <w:tc>
          <w:tcPr>
            <w:tcW w:w="813" w:type="dxa"/>
            <w:vAlign w:val="center"/>
          </w:tcPr>
          <w:p>
            <w:pPr>
              <w:pStyle w:val="27"/>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vAlign w:val="center"/>
          </w:tcPr>
          <w:p>
            <w:pPr>
              <w:pStyle w:val="27"/>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vAlign w:val="center"/>
          </w:tcPr>
          <w:p>
            <w:pPr>
              <w:pStyle w:val="27"/>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vAlign w:val="center"/>
          </w:tcPr>
          <w:p>
            <w:pPr>
              <w:pStyle w:val="27"/>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vAlign w:val="center"/>
          </w:tcPr>
          <w:p>
            <w:pPr>
              <w:pStyle w:val="27"/>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rPr>
          <w:trHeight w:val="485" w:hRule="atLeast"/>
          <w:jc w:val="center"/>
        </w:trPr>
        <w:tc>
          <w:tcPr>
            <w:tcW w:w="813" w:type="dxa"/>
            <w:vAlign w:val="center"/>
          </w:tcPr>
          <w:p>
            <w:pPr>
              <w:pStyle w:val="27"/>
              <w:widowControl w:val="0"/>
              <w:wordWrap/>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vAlign w:val="center"/>
          </w:tcPr>
          <w:p>
            <w:pPr>
              <w:pStyle w:val="27"/>
              <w:widowControl w:val="0"/>
              <w:wordWrap/>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1.7</w:t>
            </w:r>
          </w:p>
        </w:tc>
        <w:tc>
          <w:tcPr>
            <w:tcW w:w="2443" w:type="dxa"/>
            <w:vAlign w:val="center"/>
          </w:tcPr>
          <w:p>
            <w:pPr>
              <w:pStyle w:val="27"/>
              <w:widowControl w:val="0"/>
              <w:wordWrap/>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供应商负责货物运输，并卸货至采购方指定位置</w:t>
            </w:r>
          </w:p>
        </w:tc>
        <w:tc>
          <w:tcPr>
            <w:tcW w:w="2218" w:type="dxa"/>
            <w:vAlign w:val="center"/>
          </w:tcPr>
          <w:p>
            <w:pPr>
              <w:pStyle w:val="27"/>
              <w:widowControl w:val="0"/>
              <w:wordWrap/>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vAlign w:val="center"/>
          </w:tcPr>
          <w:p>
            <w:pPr>
              <w:pStyle w:val="27"/>
              <w:widowControl w:val="0"/>
              <w:wordWrap/>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rPr>
          <w:trHeight w:val="485" w:hRule="atLeast"/>
          <w:jc w:val="center"/>
        </w:trPr>
        <w:tc>
          <w:tcPr>
            <w:tcW w:w="813" w:type="dxa"/>
            <w:vAlign w:val="center"/>
          </w:tcPr>
          <w:p>
            <w:pPr>
              <w:pStyle w:val="27"/>
              <w:widowControl w:val="0"/>
              <w:wordWrap/>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vAlign w:val="center"/>
          </w:tcPr>
          <w:p>
            <w:pPr>
              <w:pStyle w:val="27"/>
              <w:widowControl w:val="0"/>
              <w:wordWrap/>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1.7</w:t>
            </w:r>
          </w:p>
        </w:tc>
        <w:tc>
          <w:tcPr>
            <w:tcW w:w="2443" w:type="dxa"/>
            <w:vAlign w:val="center"/>
          </w:tcPr>
          <w:p>
            <w:pPr>
              <w:pStyle w:val="27"/>
              <w:widowControl w:val="0"/>
              <w:wordWrap/>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安装完毕后开展现场培训至少一次</w:t>
            </w:r>
          </w:p>
        </w:tc>
        <w:tc>
          <w:tcPr>
            <w:tcW w:w="2218" w:type="dxa"/>
            <w:vAlign w:val="center"/>
          </w:tcPr>
          <w:p>
            <w:pPr>
              <w:pStyle w:val="27"/>
              <w:widowControl w:val="0"/>
              <w:wordWrap/>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vAlign w:val="center"/>
          </w:tcPr>
          <w:p>
            <w:pPr>
              <w:pStyle w:val="27"/>
              <w:widowControl w:val="0"/>
              <w:wordWrap/>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rPr>
          <w:trHeight w:val="485" w:hRule="atLeast"/>
          <w:jc w:val="center"/>
        </w:trPr>
        <w:tc>
          <w:tcPr>
            <w:tcW w:w="813" w:type="dxa"/>
            <w:vAlign w:val="center"/>
          </w:tcPr>
          <w:p>
            <w:pPr>
              <w:pStyle w:val="27"/>
              <w:widowControl w:val="0"/>
              <w:wordWrap/>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vAlign w:val="center"/>
          </w:tcPr>
          <w:p>
            <w:pPr>
              <w:pStyle w:val="27"/>
              <w:widowControl w:val="0"/>
              <w:wordWrap/>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rPr>
              <w:t xml:space="preserve"> </w:t>
            </w:r>
            <w:r>
              <w:rPr>
                <w:rFonts w:hint="eastAsia" w:ascii="宋体" w:hAnsi="宋体"/>
                <w:szCs w:val="21"/>
                <w:highlight w:val="none"/>
                <w:lang w:val="en-US" w:eastAsia="zh-CN"/>
              </w:rPr>
              <w:t>货物安装完毕，验收合格后，支付全部货款的90%，质保满支付全部货款的10%。</w:t>
            </w:r>
          </w:p>
        </w:tc>
        <w:tc>
          <w:tcPr>
            <w:tcW w:w="2218" w:type="dxa"/>
            <w:vAlign w:val="center"/>
          </w:tcPr>
          <w:p>
            <w:pPr>
              <w:pStyle w:val="27"/>
              <w:widowControl w:val="0"/>
              <w:wordWrap/>
              <w:adjustRightInd/>
              <w:snapToGrid/>
              <w:spacing w:line="360" w:lineRule="auto"/>
              <w:jc w:val="center"/>
              <w:textAlignment w:val="auto"/>
              <w:rPr>
                <w:rFonts w:hint="eastAsia" w:hAnsi="宋体"/>
                <w:szCs w:val="21"/>
                <w:highlight w:val="none"/>
                <w:lang w:val="en-US" w:eastAsia="zh-CN"/>
              </w:rPr>
            </w:pPr>
          </w:p>
        </w:tc>
        <w:tc>
          <w:tcPr>
            <w:tcW w:w="1526" w:type="dxa"/>
            <w:vAlign w:val="center"/>
          </w:tcPr>
          <w:p>
            <w:pPr>
              <w:pStyle w:val="27"/>
              <w:widowControl w:val="0"/>
              <w:wordWrap/>
              <w:adjustRightInd/>
              <w:snapToGrid/>
              <w:spacing w:line="360" w:lineRule="auto"/>
              <w:jc w:val="center"/>
              <w:textAlignment w:val="auto"/>
              <w:rPr>
                <w:rFonts w:hint="eastAsia" w:hAnsi="宋体"/>
                <w:szCs w:val="21"/>
                <w:highlight w:val="none"/>
                <w:lang w:val="en-US" w:eastAsia="zh-CN"/>
              </w:rPr>
            </w:pPr>
          </w:p>
        </w:tc>
      </w:tr>
      <w:tr>
        <w:trPr>
          <w:trHeight w:val="485" w:hRule="atLeast"/>
          <w:jc w:val="center"/>
        </w:trPr>
        <w:tc>
          <w:tcPr>
            <w:tcW w:w="813" w:type="dxa"/>
            <w:vAlign w:val="center"/>
          </w:tcPr>
          <w:p>
            <w:pPr>
              <w:pStyle w:val="27"/>
              <w:widowControl w:val="0"/>
              <w:wordWrap/>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4</w:t>
            </w:r>
          </w:p>
        </w:tc>
        <w:tc>
          <w:tcPr>
            <w:tcW w:w="1928" w:type="dxa"/>
            <w:vAlign w:val="center"/>
          </w:tcPr>
          <w:p>
            <w:pPr>
              <w:pStyle w:val="27"/>
              <w:widowControl w:val="0"/>
              <w:wordWrap/>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10</w:t>
            </w:r>
          </w:p>
        </w:tc>
        <w:tc>
          <w:tcPr>
            <w:tcW w:w="2443" w:type="dxa"/>
            <w:vAlign w:val="center"/>
          </w:tcPr>
          <w:p>
            <w:pPr>
              <w:pStyle w:val="27"/>
              <w:widowControl w:val="0"/>
              <w:wordWrap/>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质保期至少1年</w:t>
            </w:r>
          </w:p>
        </w:tc>
        <w:tc>
          <w:tcPr>
            <w:tcW w:w="2218" w:type="dxa"/>
            <w:vAlign w:val="center"/>
          </w:tcPr>
          <w:p>
            <w:pPr>
              <w:pStyle w:val="27"/>
              <w:widowControl w:val="0"/>
              <w:wordWrap/>
              <w:adjustRightInd/>
              <w:snapToGrid/>
              <w:spacing w:line="360" w:lineRule="auto"/>
              <w:jc w:val="center"/>
              <w:textAlignment w:val="auto"/>
              <w:rPr>
                <w:rFonts w:hint="eastAsia" w:hAnsi="宋体"/>
                <w:szCs w:val="21"/>
                <w:highlight w:val="none"/>
                <w:lang w:val="en-US" w:eastAsia="zh-CN"/>
              </w:rPr>
            </w:pPr>
          </w:p>
        </w:tc>
        <w:tc>
          <w:tcPr>
            <w:tcW w:w="1526" w:type="dxa"/>
            <w:vAlign w:val="center"/>
          </w:tcPr>
          <w:p>
            <w:pPr>
              <w:pStyle w:val="27"/>
              <w:widowControl w:val="0"/>
              <w:wordWrap/>
              <w:adjustRightInd/>
              <w:snapToGrid/>
              <w:spacing w:line="360" w:lineRule="auto"/>
              <w:jc w:val="center"/>
              <w:textAlignment w:val="auto"/>
              <w:rPr>
                <w:rFonts w:hint="eastAsia" w:hAnsi="宋体"/>
                <w:szCs w:val="21"/>
                <w:highlight w:val="none"/>
                <w:lang w:val="en-US" w:eastAsia="zh-CN"/>
              </w:rPr>
            </w:pPr>
          </w:p>
        </w:tc>
      </w:tr>
      <w:tr>
        <w:trPr>
          <w:trHeight w:val="485" w:hRule="atLeast"/>
          <w:jc w:val="center"/>
        </w:trPr>
        <w:tc>
          <w:tcPr>
            <w:tcW w:w="813" w:type="dxa"/>
            <w:vAlign w:val="center"/>
          </w:tcPr>
          <w:p>
            <w:pPr>
              <w:pStyle w:val="27"/>
              <w:widowControl w:val="0"/>
              <w:wordWrap/>
              <w:adjustRightInd/>
              <w:snapToGrid/>
              <w:spacing w:line="360" w:lineRule="auto"/>
              <w:jc w:val="center"/>
              <w:textAlignment w:val="auto"/>
              <w:rPr>
                <w:rFonts w:hint="eastAsia" w:hAnsi="宋体"/>
                <w:szCs w:val="21"/>
                <w:highlight w:val="none"/>
                <w:lang w:val="en-US" w:eastAsia="zh-CN"/>
              </w:rPr>
            </w:pPr>
          </w:p>
        </w:tc>
        <w:tc>
          <w:tcPr>
            <w:tcW w:w="1928" w:type="dxa"/>
            <w:vAlign w:val="center"/>
          </w:tcPr>
          <w:p>
            <w:pPr>
              <w:pStyle w:val="27"/>
              <w:widowControl w:val="0"/>
              <w:wordWrap/>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vAlign w:val="center"/>
          </w:tcPr>
          <w:p>
            <w:pPr>
              <w:pStyle w:val="27"/>
              <w:widowControl w:val="0"/>
              <w:wordWrap/>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（其他自行填写）</w:t>
            </w:r>
          </w:p>
        </w:tc>
        <w:tc>
          <w:tcPr>
            <w:tcW w:w="2218" w:type="dxa"/>
            <w:vAlign w:val="center"/>
          </w:tcPr>
          <w:p>
            <w:pPr>
              <w:pStyle w:val="27"/>
              <w:widowControl w:val="0"/>
              <w:wordWrap/>
              <w:adjustRightInd/>
              <w:snapToGrid/>
              <w:spacing w:line="360" w:lineRule="auto"/>
              <w:jc w:val="center"/>
              <w:textAlignment w:val="auto"/>
              <w:rPr>
                <w:rFonts w:hint="eastAsia" w:hAnsi="宋体"/>
                <w:szCs w:val="21"/>
                <w:highlight w:val="none"/>
                <w:lang w:val="en-US" w:eastAsia="zh-CN"/>
              </w:rPr>
            </w:pPr>
          </w:p>
        </w:tc>
        <w:tc>
          <w:tcPr>
            <w:tcW w:w="1526" w:type="dxa"/>
            <w:vAlign w:val="center"/>
          </w:tcPr>
          <w:p>
            <w:pPr>
              <w:pStyle w:val="27"/>
              <w:widowControl w:val="0"/>
              <w:wordWrap/>
              <w:adjustRightInd/>
              <w:snapToGrid/>
              <w:spacing w:line="360" w:lineRule="auto"/>
              <w:jc w:val="center"/>
              <w:textAlignment w:val="auto"/>
              <w:rPr>
                <w:rFonts w:hint="eastAsia" w:hAnsi="宋体"/>
                <w:szCs w:val="21"/>
                <w:highlight w:val="none"/>
                <w:lang w:val="en-US" w:eastAsia="zh-CN"/>
              </w:rPr>
            </w:pPr>
          </w:p>
        </w:tc>
      </w:tr>
      <w:tr>
        <w:trPr>
          <w:trHeight w:val="485" w:hRule="atLeast"/>
          <w:jc w:val="center"/>
        </w:trPr>
        <w:tc>
          <w:tcPr>
            <w:tcW w:w="813" w:type="dxa"/>
            <w:vAlign w:val="center"/>
          </w:tcPr>
          <w:p>
            <w:pPr>
              <w:pStyle w:val="27"/>
              <w:widowControl w:val="0"/>
              <w:wordWrap/>
              <w:adjustRightInd/>
              <w:snapToGrid/>
              <w:spacing w:line="360" w:lineRule="auto"/>
              <w:jc w:val="center"/>
              <w:textAlignment w:val="auto"/>
              <w:rPr>
                <w:rFonts w:hint="eastAsia" w:hAnsi="宋体"/>
                <w:szCs w:val="21"/>
                <w:highlight w:val="none"/>
                <w:lang w:val="en-US" w:eastAsia="zh-CN"/>
              </w:rPr>
            </w:pPr>
          </w:p>
        </w:tc>
        <w:tc>
          <w:tcPr>
            <w:tcW w:w="1928" w:type="dxa"/>
            <w:vAlign w:val="center"/>
          </w:tcPr>
          <w:p>
            <w:pPr>
              <w:pStyle w:val="27"/>
              <w:widowControl w:val="0"/>
              <w:wordWrap/>
              <w:adjustRightInd/>
              <w:snapToGrid/>
              <w:spacing w:line="360" w:lineRule="auto"/>
              <w:jc w:val="center"/>
              <w:textAlignment w:val="auto"/>
              <w:rPr>
                <w:rFonts w:hint="eastAsia" w:hAnsi="宋体"/>
                <w:szCs w:val="21"/>
                <w:highlight w:val="none"/>
                <w:lang w:val="en-US" w:eastAsia="zh-CN"/>
              </w:rPr>
            </w:pPr>
          </w:p>
        </w:tc>
        <w:tc>
          <w:tcPr>
            <w:tcW w:w="2443" w:type="dxa"/>
            <w:vAlign w:val="center"/>
          </w:tcPr>
          <w:p>
            <w:pPr>
              <w:pStyle w:val="27"/>
              <w:widowControl w:val="0"/>
              <w:wordWrap/>
              <w:adjustRightInd/>
              <w:snapToGrid/>
              <w:spacing w:line="360" w:lineRule="auto"/>
              <w:jc w:val="center"/>
              <w:textAlignment w:val="auto"/>
              <w:rPr>
                <w:rFonts w:hint="eastAsia" w:hAnsi="宋体"/>
                <w:szCs w:val="21"/>
                <w:highlight w:val="none"/>
                <w:lang w:val="en-US" w:eastAsia="zh-CN"/>
              </w:rPr>
            </w:pPr>
          </w:p>
        </w:tc>
        <w:tc>
          <w:tcPr>
            <w:tcW w:w="2218" w:type="dxa"/>
            <w:vAlign w:val="center"/>
          </w:tcPr>
          <w:p>
            <w:pPr>
              <w:pStyle w:val="27"/>
              <w:widowControl w:val="0"/>
              <w:wordWrap/>
              <w:adjustRightInd/>
              <w:snapToGrid/>
              <w:spacing w:line="360" w:lineRule="auto"/>
              <w:jc w:val="center"/>
              <w:textAlignment w:val="auto"/>
              <w:rPr>
                <w:rFonts w:hint="eastAsia" w:hAnsi="宋体"/>
                <w:szCs w:val="21"/>
                <w:highlight w:val="none"/>
                <w:lang w:val="en-US" w:eastAsia="zh-CN"/>
              </w:rPr>
            </w:pPr>
          </w:p>
        </w:tc>
        <w:tc>
          <w:tcPr>
            <w:tcW w:w="1526" w:type="dxa"/>
            <w:vAlign w:val="center"/>
          </w:tcPr>
          <w:p>
            <w:pPr>
              <w:pStyle w:val="27"/>
              <w:widowControl w:val="0"/>
              <w:wordWrap/>
              <w:adjustRightInd/>
              <w:snapToGrid/>
              <w:spacing w:line="360" w:lineRule="auto"/>
              <w:jc w:val="center"/>
              <w:textAlignment w:val="auto"/>
              <w:rPr>
                <w:rFonts w:hint="eastAsia" w:hAnsi="宋体"/>
                <w:szCs w:val="21"/>
                <w:highlight w:val="none"/>
                <w:lang w:val="en-US" w:eastAsia="zh-CN"/>
              </w:rPr>
            </w:pPr>
          </w:p>
        </w:tc>
      </w:tr>
      <w:tr>
        <w:trPr>
          <w:trHeight w:val="485" w:hRule="atLeast"/>
          <w:jc w:val="center"/>
        </w:trPr>
        <w:tc>
          <w:tcPr>
            <w:tcW w:w="813"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1928"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2443"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2218"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1526" w:type="dxa"/>
            <w:vAlign w:val="center"/>
          </w:tcPr>
          <w:p>
            <w:pPr>
              <w:pStyle w:val="27"/>
              <w:spacing w:line="360" w:lineRule="auto"/>
              <w:ind w:left="1080" w:leftChars="257" w:hanging="540"/>
              <w:jc w:val="center"/>
              <w:rPr>
                <w:rFonts w:hint="eastAsia" w:hAnsi="宋体"/>
                <w:szCs w:val="21"/>
                <w:highlight w:val="none"/>
                <w:lang w:val="en-US" w:eastAsia="zh-CN"/>
              </w:rPr>
            </w:pPr>
          </w:p>
        </w:tc>
      </w:tr>
      <w:tr>
        <w:trPr>
          <w:trHeight w:val="485" w:hRule="atLeast"/>
          <w:jc w:val="center"/>
        </w:trPr>
        <w:tc>
          <w:tcPr>
            <w:tcW w:w="813"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1928"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2443"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2218"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1526" w:type="dxa"/>
            <w:vAlign w:val="center"/>
          </w:tcPr>
          <w:p>
            <w:pPr>
              <w:pStyle w:val="27"/>
              <w:spacing w:line="360" w:lineRule="auto"/>
              <w:ind w:left="1080" w:leftChars="257" w:hanging="540"/>
              <w:jc w:val="center"/>
              <w:rPr>
                <w:rFonts w:hint="eastAsia" w:hAnsi="宋体"/>
                <w:szCs w:val="21"/>
                <w:highlight w:val="none"/>
                <w:lang w:val="en-US" w:eastAsia="zh-CN"/>
              </w:rPr>
            </w:pPr>
          </w:p>
        </w:tc>
      </w:tr>
      <w:tr>
        <w:trPr>
          <w:trHeight w:val="485" w:hRule="atLeast"/>
          <w:jc w:val="center"/>
        </w:trPr>
        <w:tc>
          <w:tcPr>
            <w:tcW w:w="813"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1928"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2443"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2218"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1526" w:type="dxa"/>
            <w:vAlign w:val="center"/>
          </w:tcPr>
          <w:p>
            <w:pPr>
              <w:pStyle w:val="27"/>
              <w:spacing w:line="360" w:lineRule="auto"/>
              <w:ind w:left="1080" w:leftChars="257" w:hanging="540"/>
              <w:jc w:val="center"/>
              <w:rPr>
                <w:rFonts w:hint="eastAsia" w:hAnsi="宋体"/>
                <w:szCs w:val="21"/>
                <w:highlight w:val="none"/>
                <w:lang w:val="en-US" w:eastAsia="zh-CN"/>
              </w:rPr>
            </w:pPr>
          </w:p>
        </w:tc>
      </w:tr>
      <w:tr>
        <w:trPr>
          <w:trHeight w:val="485" w:hRule="atLeast"/>
          <w:jc w:val="center"/>
        </w:trPr>
        <w:tc>
          <w:tcPr>
            <w:tcW w:w="813"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1928"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2443"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2218"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1526" w:type="dxa"/>
            <w:vAlign w:val="center"/>
          </w:tcPr>
          <w:p>
            <w:pPr>
              <w:pStyle w:val="27"/>
              <w:spacing w:line="360" w:lineRule="auto"/>
              <w:ind w:left="1080" w:leftChars="257" w:hanging="540"/>
              <w:jc w:val="center"/>
              <w:rPr>
                <w:rFonts w:hint="eastAsia" w:hAnsi="宋体"/>
                <w:szCs w:val="21"/>
                <w:highlight w:val="none"/>
                <w:lang w:val="en-US" w:eastAsia="zh-CN"/>
              </w:rPr>
            </w:pPr>
          </w:p>
        </w:tc>
      </w:tr>
      <w:tr>
        <w:trPr>
          <w:trHeight w:val="485" w:hRule="atLeast"/>
          <w:jc w:val="center"/>
        </w:trPr>
        <w:tc>
          <w:tcPr>
            <w:tcW w:w="813"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1928"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2443"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2218"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1526" w:type="dxa"/>
            <w:vAlign w:val="center"/>
          </w:tcPr>
          <w:p>
            <w:pPr>
              <w:pStyle w:val="27"/>
              <w:spacing w:line="360" w:lineRule="auto"/>
              <w:ind w:left="1080" w:leftChars="257" w:hanging="540"/>
              <w:jc w:val="center"/>
              <w:rPr>
                <w:rFonts w:hint="eastAsia" w:hAnsi="宋体"/>
                <w:szCs w:val="21"/>
                <w:highlight w:val="none"/>
                <w:lang w:val="en-US" w:eastAsia="zh-CN"/>
              </w:rPr>
            </w:pPr>
          </w:p>
        </w:tc>
      </w:tr>
      <w:tr>
        <w:trPr>
          <w:trHeight w:val="485" w:hRule="atLeast"/>
          <w:jc w:val="center"/>
        </w:trPr>
        <w:tc>
          <w:tcPr>
            <w:tcW w:w="813"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1928"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2443"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2218"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1526" w:type="dxa"/>
            <w:vAlign w:val="center"/>
          </w:tcPr>
          <w:p>
            <w:pPr>
              <w:pStyle w:val="27"/>
              <w:spacing w:line="360" w:lineRule="auto"/>
              <w:ind w:left="1080" w:leftChars="257" w:hanging="540"/>
              <w:jc w:val="center"/>
              <w:rPr>
                <w:rFonts w:hint="eastAsia" w:hAnsi="宋体"/>
                <w:szCs w:val="21"/>
                <w:highlight w:val="none"/>
                <w:lang w:val="en-US" w:eastAsia="zh-CN"/>
              </w:rPr>
            </w:pPr>
          </w:p>
        </w:tc>
      </w:tr>
      <w:tr>
        <w:trPr>
          <w:trHeight w:val="485" w:hRule="atLeast"/>
          <w:jc w:val="center"/>
        </w:trPr>
        <w:tc>
          <w:tcPr>
            <w:tcW w:w="813"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1928"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2443"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2218"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1526" w:type="dxa"/>
            <w:vAlign w:val="center"/>
          </w:tcPr>
          <w:p>
            <w:pPr>
              <w:pStyle w:val="27"/>
              <w:spacing w:line="360" w:lineRule="auto"/>
              <w:ind w:left="1080" w:leftChars="257" w:hanging="540"/>
              <w:jc w:val="center"/>
              <w:rPr>
                <w:rFonts w:hint="eastAsia" w:hAnsi="宋体"/>
                <w:szCs w:val="21"/>
                <w:highlight w:val="none"/>
                <w:lang w:val="en-US" w:eastAsia="zh-CN"/>
              </w:rPr>
            </w:pPr>
          </w:p>
        </w:tc>
      </w:tr>
      <w:tr>
        <w:trPr>
          <w:trHeight w:val="485" w:hRule="atLeast"/>
          <w:jc w:val="center"/>
        </w:trPr>
        <w:tc>
          <w:tcPr>
            <w:tcW w:w="813"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1928"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2443"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2218"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1526" w:type="dxa"/>
            <w:vAlign w:val="center"/>
          </w:tcPr>
          <w:p>
            <w:pPr>
              <w:pStyle w:val="27"/>
              <w:spacing w:line="360" w:lineRule="auto"/>
              <w:ind w:left="1080" w:leftChars="257" w:hanging="540"/>
              <w:jc w:val="center"/>
              <w:rPr>
                <w:rFonts w:hint="eastAsia" w:hAnsi="宋体"/>
                <w:szCs w:val="21"/>
                <w:highlight w:val="none"/>
                <w:lang w:val="en-US" w:eastAsia="zh-CN"/>
              </w:rPr>
            </w:pPr>
          </w:p>
        </w:tc>
      </w:tr>
      <w:tr>
        <w:trPr>
          <w:trHeight w:val="485" w:hRule="atLeast"/>
          <w:jc w:val="center"/>
        </w:trPr>
        <w:tc>
          <w:tcPr>
            <w:tcW w:w="813"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1928"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2443"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2218" w:type="dxa"/>
            <w:vAlign w:val="center"/>
          </w:tcPr>
          <w:p>
            <w:pPr>
              <w:pStyle w:val="27"/>
              <w:spacing w:line="360" w:lineRule="auto"/>
              <w:ind w:left="1080" w:leftChars="257" w:hanging="540"/>
              <w:jc w:val="center"/>
              <w:rPr>
                <w:rFonts w:hint="eastAsia" w:hAnsi="宋体"/>
                <w:szCs w:val="21"/>
                <w:highlight w:val="none"/>
                <w:lang w:val="en-US" w:eastAsia="zh-CN"/>
              </w:rPr>
            </w:pPr>
          </w:p>
        </w:tc>
        <w:tc>
          <w:tcPr>
            <w:tcW w:w="1526" w:type="dxa"/>
            <w:vAlign w:val="center"/>
          </w:tcPr>
          <w:p>
            <w:pPr>
              <w:pStyle w:val="27"/>
              <w:spacing w:line="360" w:lineRule="auto"/>
              <w:ind w:left="1080" w:leftChars="257" w:hanging="540"/>
              <w:jc w:val="center"/>
              <w:rPr>
                <w:rFonts w:hint="eastAsia" w:hAnsi="宋体"/>
                <w:szCs w:val="21"/>
                <w:highlight w:val="none"/>
                <w:lang w:val="en-US" w:eastAsia="zh-CN"/>
              </w:rPr>
            </w:pPr>
          </w:p>
        </w:tc>
      </w:tr>
    </w:tbl>
    <w:p>
      <w:pPr>
        <w:pStyle w:val="27"/>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7"/>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7"/>
        <w:widowControl w:val="0"/>
        <w:tabs>
          <w:tab w:val="left" w:pos="5580"/>
        </w:tabs>
        <w:wordWrap/>
        <w:adjustRightInd/>
        <w:snapToGrid/>
        <w:spacing w:line="360" w:lineRule="auto"/>
        <w:jc w:val="left"/>
        <w:textAlignment w:val="auto"/>
        <w:outlineLvl w:val="1"/>
        <w:rPr>
          <w:rFonts w:hint="eastAsia" w:hAnsi="宋体"/>
          <w:szCs w:val="21"/>
          <w:highlight w:val="none"/>
        </w:rPr>
      </w:pPr>
      <w:bookmarkStart w:id="343"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7"/>
        <w:widowControl w:val="0"/>
        <w:tabs>
          <w:tab w:val="left" w:pos="5580"/>
        </w:tabs>
        <w:wordWrap/>
        <w:adjustRightInd/>
        <w:snapToGrid/>
        <w:spacing w:line="360" w:lineRule="auto"/>
        <w:jc w:val="center"/>
        <w:textAlignment w:val="auto"/>
        <w:outlineLvl w:val="1"/>
        <w:rPr>
          <w:rFonts w:hint="default" w:ascii="宋体" w:hAnsi="宋体" w:eastAsia="宋体"/>
          <w:sz w:val="21"/>
          <w:szCs w:val="21"/>
          <w:highlight w:val="none"/>
          <w:lang w:val="en-US"/>
        </w:rPr>
      </w:pPr>
      <w:bookmarkStart w:id="344" w:name="_Toc415222528"/>
      <w:bookmarkStart w:id="345" w:name="_Toc109736073"/>
      <w:bookmarkStart w:id="346" w:name="_Toc216582817"/>
      <w:r>
        <w:rPr>
          <w:rFonts w:hint="eastAsia" w:ascii="宋体" w:hAnsi="宋体" w:eastAsia="宋体" w:cs="Times New Roman"/>
          <w:b/>
          <w:bCs/>
          <w:kern w:val="2"/>
          <w:sz w:val="21"/>
          <w:szCs w:val="21"/>
          <w:highlight w:val="none"/>
          <w:lang w:val="en-US" w:eastAsia="zh-CN" w:bidi="ar-SA"/>
        </w:rPr>
        <w:t>附件4　技术规格</w:t>
      </w:r>
      <w:bookmarkEnd w:id="343"/>
      <w:bookmarkEnd w:id="344"/>
      <w:bookmarkEnd w:id="345"/>
      <w:bookmarkEnd w:id="346"/>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16"/>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tbl>
      <w:tblPr>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088"/>
        <w:gridCol w:w="1481"/>
        <w:gridCol w:w="1225"/>
        <w:gridCol w:w="1243"/>
        <w:gridCol w:w="1231"/>
        <w:gridCol w:w="1223"/>
        <w:gridCol w:w="1496"/>
      </w:tblGrid>
      <w:tr>
        <w:trPr>
          <w:trHeight w:val="521" w:hRule="atLeast"/>
          <w:jc w:val="center"/>
        </w:trPr>
        <w:tc>
          <w:tcPr>
            <w:tcW w:w="685" w:type="dxa"/>
            <w:vAlign w:val="center"/>
          </w:tcPr>
          <w:p>
            <w:pPr>
              <w:pStyle w:val="27"/>
              <w:widowControl w:val="0"/>
              <w:wordWrap/>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1088" w:type="dxa"/>
            <w:vAlign w:val="center"/>
          </w:tcPr>
          <w:p>
            <w:pPr>
              <w:pStyle w:val="27"/>
              <w:widowControl w:val="0"/>
              <w:wordWrap/>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1481" w:type="dxa"/>
            <w:vAlign w:val="center"/>
          </w:tcPr>
          <w:p>
            <w:pPr>
              <w:pStyle w:val="27"/>
              <w:widowControl w:val="0"/>
              <w:wordWrap/>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1225" w:type="dxa"/>
            <w:vAlign w:val="center"/>
          </w:tcPr>
          <w:p>
            <w:pPr>
              <w:pStyle w:val="27"/>
              <w:widowControl w:val="0"/>
              <w:wordWrap/>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1243" w:type="dxa"/>
            <w:vAlign w:val="center"/>
          </w:tcPr>
          <w:p>
            <w:pPr>
              <w:pStyle w:val="27"/>
              <w:widowControl w:val="0"/>
              <w:wordWrap/>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1231" w:type="dxa"/>
            <w:vAlign w:val="center"/>
          </w:tcPr>
          <w:p>
            <w:pPr>
              <w:pStyle w:val="27"/>
              <w:widowControl w:val="0"/>
              <w:wordWrap/>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1223" w:type="dxa"/>
            <w:vAlign w:val="center"/>
          </w:tcPr>
          <w:p>
            <w:pPr>
              <w:pStyle w:val="27"/>
              <w:widowControl w:val="0"/>
              <w:wordWrap/>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1496" w:type="dxa"/>
            <w:vAlign w:val="center"/>
          </w:tcPr>
          <w:p>
            <w:pPr>
              <w:pStyle w:val="27"/>
              <w:widowControl w:val="0"/>
              <w:wordWrap/>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rPr>
          <w:trHeight w:val="521" w:hRule="atLeast"/>
          <w:jc w:val="center"/>
        </w:trPr>
        <w:tc>
          <w:tcPr>
            <w:tcW w:w="685"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088"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481"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25"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43"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31"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23"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496"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r>
      <w:tr>
        <w:trPr>
          <w:trHeight w:val="521" w:hRule="atLeast"/>
          <w:jc w:val="center"/>
        </w:trPr>
        <w:tc>
          <w:tcPr>
            <w:tcW w:w="685"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088"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481"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25"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43"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31"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23"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496"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r>
      <w:tr>
        <w:trPr>
          <w:trHeight w:val="521" w:hRule="atLeast"/>
          <w:jc w:val="center"/>
        </w:trPr>
        <w:tc>
          <w:tcPr>
            <w:tcW w:w="685"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088"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481"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25"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43"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31"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23"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496"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r>
      <w:tr>
        <w:trPr>
          <w:trHeight w:val="521" w:hRule="atLeast"/>
          <w:jc w:val="center"/>
        </w:trPr>
        <w:tc>
          <w:tcPr>
            <w:tcW w:w="685"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088"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481"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25"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43"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31"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23"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496"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r>
      <w:tr>
        <w:trPr>
          <w:trHeight w:val="521" w:hRule="atLeast"/>
          <w:jc w:val="center"/>
        </w:trPr>
        <w:tc>
          <w:tcPr>
            <w:tcW w:w="685"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088"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481"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25"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43"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31"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23"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496"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r>
      <w:tr>
        <w:trPr>
          <w:trHeight w:val="521" w:hRule="atLeast"/>
          <w:jc w:val="center"/>
        </w:trPr>
        <w:tc>
          <w:tcPr>
            <w:tcW w:w="685"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088"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481"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25"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43"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31"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23"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496"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r>
      <w:tr>
        <w:trPr>
          <w:trHeight w:val="521" w:hRule="atLeast"/>
          <w:jc w:val="center"/>
        </w:trPr>
        <w:tc>
          <w:tcPr>
            <w:tcW w:w="685"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088"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481"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25"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43"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31"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23"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496"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r>
      <w:tr>
        <w:trPr>
          <w:trHeight w:val="521" w:hRule="atLeast"/>
          <w:jc w:val="center"/>
        </w:trPr>
        <w:tc>
          <w:tcPr>
            <w:tcW w:w="685"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088"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481"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25"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43"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31"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23"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496"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r>
      <w:tr>
        <w:trPr>
          <w:trHeight w:val="522" w:hRule="atLeast"/>
          <w:jc w:val="center"/>
        </w:trPr>
        <w:tc>
          <w:tcPr>
            <w:tcW w:w="685"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088"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481"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25"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43"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31"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223"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c>
          <w:tcPr>
            <w:tcW w:w="1496" w:type="dxa"/>
            <w:vAlign w:val="top"/>
          </w:tcPr>
          <w:p>
            <w:pPr>
              <w:pStyle w:val="27"/>
              <w:widowControl w:val="0"/>
              <w:wordWrap/>
              <w:adjustRightInd/>
              <w:snapToGrid/>
              <w:spacing w:line="360" w:lineRule="auto"/>
              <w:ind w:left="1080" w:leftChars="257" w:hanging="540"/>
              <w:textAlignment w:val="auto"/>
              <w:rPr>
                <w:rFonts w:hint="eastAsia" w:hAnsi="宋体"/>
                <w:szCs w:val="21"/>
                <w:highlight w:val="none"/>
                <w:lang w:val="en-US" w:eastAsia="zh-CN"/>
              </w:rPr>
            </w:pPr>
          </w:p>
        </w:tc>
      </w:tr>
    </w:tbl>
    <w:p>
      <w:pPr>
        <w:pStyle w:val="16"/>
        <w:rPr>
          <w:rFonts w:hint="eastAsia" w:hAnsi="宋体"/>
          <w:szCs w:val="21"/>
          <w:highlight w:val="none"/>
          <w:u w:val="single"/>
        </w:rPr>
      </w:pPr>
    </w:p>
    <w:p>
      <w:pPr>
        <w:pStyle w:val="16"/>
        <w:rPr>
          <w:rFonts w:hint="eastAsia" w:hAnsi="宋体"/>
          <w:szCs w:val="21"/>
          <w:highlight w:val="none"/>
          <w:u w:val="single"/>
        </w:rPr>
      </w:pPr>
    </w:p>
    <w:p>
      <w:pPr>
        <w:pStyle w:val="27"/>
        <w:widowControl w:val="0"/>
        <w:wordWrap/>
        <w:adjustRightInd/>
        <w:snapToGrid/>
        <w:spacing w:line="360" w:lineRule="auto"/>
        <w:ind w:left="1080" w:leftChars="257" w:hanging="540"/>
        <w:textAlignment w:val="auto"/>
        <w:rPr>
          <w:rFonts w:hint="eastAsia" w:hAnsi="宋体"/>
          <w:szCs w:val="21"/>
          <w:highlight w:val="none"/>
        </w:rPr>
      </w:pPr>
    </w:p>
    <w:p>
      <w:pPr>
        <w:pStyle w:val="27"/>
        <w:widowControl w:val="0"/>
        <w:wordWrap/>
        <w:adjustRightInd/>
        <w:snapToGrid/>
        <w:spacing w:line="360" w:lineRule="auto"/>
        <w:ind w:left="1080" w:leftChars="257" w:hanging="540"/>
        <w:textAlignment w:val="auto"/>
        <w:rPr>
          <w:rFonts w:hint="eastAsia" w:hAnsi="宋体"/>
          <w:szCs w:val="21"/>
          <w:highlight w:val="none"/>
        </w:rPr>
      </w:pPr>
    </w:p>
    <w:p>
      <w:pPr>
        <w:pStyle w:val="27"/>
        <w:widowControl w:val="0"/>
        <w:wordWrap/>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7"/>
        <w:widowControl w:val="0"/>
        <w:tabs>
          <w:tab w:val="left" w:pos="5580"/>
        </w:tabs>
        <w:wordWrap/>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7"/>
        <w:widowControl w:val="0"/>
        <w:tabs>
          <w:tab w:val="left" w:pos="5580"/>
        </w:tabs>
        <w:wordWrap/>
        <w:adjustRightInd/>
        <w:snapToGrid/>
        <w:spacing w:line="360" w:lineRule="auto"/>
        <w:ind w:left="1080" w:leftChars="257" w:hanging="540"/>
        <w:textAlignment w:val="auto"/>
        <w:rPr>
          <w:rFonts w:hAnsi="宋体"/>
          <w:szCs w:val="21"/>
          <w:highlight w:val="none"/>
          <w:u w:val="single"/>
        </w:rPr>
      </w:pPr>
    </w:p>
    <w:p>
      <w:pPr>
        <w:pStyle w:val="27"/>
        <w:widowControl w:val="0"/>
        <w:tabs>
          <w:tab w:val="left" w:pos="5580"/>
        </w:tabs>
        <w:wordWrap/>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7"/>
        <w:widowControl w:val="0"/>
        <w:tabs>
          <w:tab w:val="left" w:pos="5580"/>
        </w:tabs>
        <w:wordWrap/>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7"/>
        <w:widowControl w:val="0"/>
        <w:tabs>
          <w:tab w:val="left" w:pos="5580"/>
        </w:tabs>
        <w:wordWrap/>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7"/>
        <w:widowControl w:val="0"/>
        <w:tabs>
          <w:tab w:val="left" w:pos="5580"/>
        </w:tabs>
        <w:wordWrap/>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7"/>
        <w:widowControl w:val="0"/>
        <w:tabs>
          <w:tab w:val="left" w:pos="5580"/>
        </w:tabs>
        <w:wordWrap/>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w:t>
      </w:r>
      <w:r>
        <w:rPr>
          <w:rFonts w:hint="eastAsia" w:hAnsi="宋体"/>
          <w:color w:val="FF0000"/>
          <w:szCs w:val="21"/>
          <w:highlight w:val="none"/>
          <w:lang w:eastAsia="zh-CN"/>
        </w:rPr>
        <w:t>）</w:t>
      </w:r>
    </w:p>
    <w:p>
      <w:pPr>
        <w:pStyle w:val="27"/>
        <w:tabs>
          <w:tab w:val="left" w:pos="5580"/>
        </w:tabs>
        <w:spacing w:line="360" w:lineRule="auto"/>
        <w:rPr>
          <w:rFonts w:hint="eastAsia" w:hAnsi="宋体" w:cs="宋体"/>
          <w:szCs w:val="21"/>
          <w:highlight w:val="none"/>
        </w:rPr>
      </w:pPr>
    </w:p>
    <w:p>
      <w:pPr>
        <w:pStyle w:val="27"/>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47" w:name="_Toc480942355"/>
      <w:bookmarkStart w:id="348" w:name="_Ref467988543"/>
      <w:bookmarkStart w:id="349" w:name="_Toc520356224"/>
      <w:bookmarkStart w:id="350" w:name="_Toc415222530"/>
      <w:bookmarkStart w:id="351" w:name="_Toc13093"/>
      <w:bookmarkStart w:id="352" w:name="_Toc216582819"/>
      <w:bookmarkStart w:id="353" w:name="_Toc109736074"/>
      <w:r>
        <w:rPr>
          <w:rFonts w:hint="eastAsia" w:ascii="宋体" w:hAnsi="宋体" w:eastAsia="宋体"/>
          <w:sz w:val="21"/>
          <w:szCs w:val="21"/>
          <w:highlight w:val="none"/>
        </w:rPr>
        <w:br w:type="page"/>
      </w:r>
    </w:p>
    <w:p>
      <w:pPr>
        <w:pStyle w:val="3"/>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47"/>
      <w:bookmarkEnd w:id="348"/>
      <w:bookmarkEnd w:id="349"/>
      <w:r>
        <w:rPr>
          <w:rFonts w:hint="eastAsia" w:ascii="宋体" w:hAnsi="宋体" w:eastAsia="宋体"/>
          <w:sz w:val="21"/>
          <w:szCs w:val="21"/>
          <w:highlight w:val="none"/>
        </w:rPr>
        <w:t>）</w:t>
      </w:r>
      <w:bookmarkEnd w:id="350"/>
      <w:bookmarkEnd w:id="351"/>
      <w:bookmarkEnd w:id="352"/>
      <w:bookmarkEnd w:id="353"/>
    </w:p>
    <w:p>
      <w:pPr>
        <w:pStyle w:val="27"/>
        <w:tabs>
          <w:tab w:val="left" w:pos="5580"/>
        </w:tabs>
        <w:spacing w:line="360" w:lineRule="auto"/>
        <w:ind w:left="1080" w:leftChars="257" w:hanging="540"/>
        <w:rPr>
          <w:rFonts w:hint="eastAsia" w:hAnsi="宋体"/>
          <w:szCs w:val="21"/>
          <w:highlight w:val="none"/>
        </w:rPr>
      </w:pPr>
    </w:p>
    <w:p>
      <w:pPr>
        <w:widowControl w:val="0"/>
        <w:wordWrap/>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pPr>
        <w:widowControl w:val="0"/>
        <w:wordWrap/>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widowControl w:val="0"/>
        <w:wordWrap/>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widowControl w:val="0"/>
        <w:wordWrap/>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widowControl w:val="0"/>
        <w:wordWrap/>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widowControl w:val="0"/>
        <w:wordWrap/>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widowControl w:val="0"/>
        <w:wordWrap/>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widowControl w:val="0"/>
        <w:wordWrap/>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7"/>
        <w:tabs>
          <w:tab w:val="left" w:pos="5580"/>
        </w:tabs>
        <w:spacing w:line="360" w:lineRule="auto"/>
        <w:ind w:left="1080" w:leftChars="257" w:hanging="540"/>
        <w:rPr>
          <w:rFonts w:hint="eastAsia" w:hAnsi="宋体"/>
          <w:b/>
          <w:szCs w:val="21"/>
          <w:highlight w:val="none"/>
        </w:rPr>
      </w:pPr>
    </w:p>
    <w:p>
      <w:pPr>
        <w:pStyle w:val="27"/>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7"/>
        <w:widowControl w:val="0"/>
        <w:tabs>
          <w:tab w:val="left" w:pos="5580"/>
        </w:tabs>
        <w:wordWrap/>
        <w:adjustRightInd/>
        <w:snapToGrid/>
        <w:spacing w:line="360" w:lineRule="auto"/>
        <w:jc w:val="center"/>
        <w:textAlignment w:val="auto"/>
        <w:outlineLvl w:val="2"/>
        <w:rPr>
          <w:rFonts w:hint="default" w:hAnsi="宋体" w:eastAsia="宋体"/>
          <w:b/>
          <w:szCs w:val="21"/>
          <w:highlight w:val="none"/>
          <w:lang w:val="en-US" w:eastAsia="zh-CN"/>
        </w:rPr>
      </w:pPr>
      <w:bookmarkStart w:id="354"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54"/>
      <w:bookmarkStart w:id="355" w:name="_Hlt520274911"/>
      <w:bookmarkEnd w:id="355"/>
      <w:r>
        <w:rPr>
          <w:rFonts w:hint="eastAsia" w:hAnsi="宋体"/>
          <w:b/>
          <w:szCs w:val="21"/>
          <w:highlight w:val="none"/>
          <w:lang w:val="en-US" w:eastAsia="zh-CN"/>
        </w:rPr>
        <w:t>供应商资格证明材料</w:t>
      </w:r>
    </w:p>
    <w:p>
      <w:pPr>
        <w:pStyle w:val="27"/>
        <w:tabs>
          <w:tab w:val="left" w:pos="5580"/>
        </w:tabs>
        <w:spacing w:line="360" w:lineRule="auto"/>
        <w:ind w:left="1080" w:leftChars="257" w:hanging="540"/>
        <w:jc w:val="center"/>
        <w:rPr>
          <w:rFonts w:hint="eastAsia" w:hAnsi="宋体"/>
          <w:b/>
          <w:szCs w:val="21"/>
          <w:highlight w:val="none"/>
        </w:rPr>
      </w:pPr>
    </w:p>
    <w:tbl>
      <w:tblPr>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r>
              <w:rPr>
                <w:rFonts w:hint="eastAsia" w:ascii="宋体" w:hAnsi="宋体" w:eastAsia="宋体"/>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r>
              <w:rPr>
                <w:rFonts w:hint="eastAsia" w:ascii="宋体" w:hAnsi="宋体" w:eastAsia="宋体"/>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val="1"/>
              <w:spacing w:line="440" w:lineRule="exact"/>
              <w:jc w:val="center"/>
              <w:rPr>
                <w:rFonts w:hint="eastAsia" w:ascii="宋体" w:hAnsi="宋体" w:eastAsia="宋体"/>
                <w:szCs w:val="21"/>
              </w:rPr>
            </w:pPr>
          </w:p>
        </w:tc>
      </w:tr>
      <w:tr>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val="1"/>
              <w:spacing w:line="440" w:lineRule="exact"/>
              <w:jc w:val="center"/>
              <w:rPr>
                <w:rFonts w:hint="default" w:ascii="宋体" w:hAnsi="宋体" w:eastAsia="宋体"/>
                <w:szCs w:val="21"/>
                <w:lang w:val="en-US" w:eastAsia="zh-CN"/>
              </w:rPr>
            </w:pPr>
            <w:r>
              <w:rPr>
                <w:rFonts w:hint="eastAsia" w:ascii="宋体" w:hAnsi="宋体" w:eastAsia="宋体"/>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r>
              <w:rPr>
                <w:rFonts w:hint="eastAsia" w:ascii="宋体" w:hAnsi="宋体" w:eastAsia="宋体"/>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val="1"/>
              <w:spacing w:line="440" w:lineRule="exact"/>
              <w:jc w:val="center"/>
              <w:rPr>
                <w:rFonts w:hint="eastAsia" w:ascii="宋体" w:hAnsi="宋体" w:eastAsia="宋体"/>
                <w:szCs w:val="21"/>
              </w:rPr>
            </w:pPr>
          </w:p>
        </w:tc>
      </w:tr>
      <w:tr>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r>
              <w:rPr>
                <w:rFonts w:hint="eastAsia" w:ascii="宋体" w:hAnsi="宋体" w:eastAsia="宋体"/>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r>
              <w:rPr>
                <w:rFonts w:hint="eastAsia" w:ascii="宋体" w:hAnsi="宋体" w:eastAsia="宋体"/>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val="1"/>
              <w:spacing w:line="440" w:lineRule="exact"/>
              <w:jc w:val="center"/>
              <w:rPr>
                <w:rFonts w:hint="eastAsia" w:ascii="宋体" w:hAnsi="宋体" w:eastAsia="宋体"/>
                <w:szCs w:val="21"/>
              </w:rPr>
            </w:pPr>
          </w:p>
        </w:tc>
      </w:tr>
      <w:tr>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r>
              <w:rPr>
                <w:rFonts w:hint="eastAsia" w:ascii="宋体" w:hAnsi="宋体" w:eastAsia="宋体"/>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r>
              <w:rPr>
                <w:rFonts w:hint="eastAsia" w:ascii="宋体" w:hAnsi="宋体" w:eastAsia="宋体"/>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val="1"/>
              <w:spacing w:line="440" w:lineRule="exact"/>
              <w:jc w:val="center"/>
              <w:rPr>
                <w:rFonts w:hint="eastAsia" w:ascii="宋体" w:hAnsi="宋体" w:eastAsia="宋体"/>
                <w:szCs w:val="21"/>
              </w:rPr>
            </w:pPr>
          </w:p>
        </w:tc>
      </w:tr>
      <w:tr>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r>
              <w:rPr>
                <w:rFonts w:hint="eastAsia" w:ascii="宋体" w:hAnsi="宋体" w:eastAsia="宋体"/>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val="1"/>
              <w:spacing w:line="440" w:lineRule="exact"/>
              <w:jc w:val="center"/>
              <w:rPr>
                <w:rFonts w:hint="eastAsia" w:ascii="宋体" w:hAnsi="宋体" w:eastAsia="宋体"/>
                <w:szCs w:val="21"/>
              </w:rPr>
            </w:pPr>
          </w:p>
        </w:tc>
      </w:tr>
      <w:tr>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r>
              <w:rPr>
                <w:rFonts w:hint="eastAsia" w:ascii="宋体" w:hAnsi="宋体" w:eastAsia="宋体"/>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r>
              <w:rPr>
                <w:rFonts w:hint="eastAsia" w:ascii="宋体" w:hAnsi="宋体" w:eastAsia="宋体"/>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r>
              <w:rPr>
                <w:rFonts w:hint="eastAsia" w:ascii="宋体" w:hAnsi="宋体" w:eastAsia="宋体"/>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val="1"/>
              <w:spacing w:line="440" w:lineRule="exact"/>
              <w:jc w:val="center"/>
              <w:rPr>
                <w:rFonts w:hint="eastAsia" w:ascii="宋体" w:hAnsi="宋体" w:eastAsia="宋体"/>
                <w:szCs w:val="21"/>
              </w:rPr>
            </w:pPr>
            <w:r>
              <w:rPr>
                <w:rFonts w:hint="eastAsia" w:ascii="宋体" w:hAnsi="宋体" w:eastAsia="宋体"/>
                <w:szCs w:val="21"/>
              </w:rPr>
              <w:t>有效期</w:t>
            </w:r>
          </w:p>
        </w:tc>
      </w:tr>
      <w:tr>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val="1"/>
              <w:spacing w:line="440" w:lineRule="exact"/>
              <w:jc w:val="center"/>
              <w:rPr>
                <w:rFonts w:hint="eastAsia" w:ascii="宋体" w:hAnsi="宋体" w:eastAsia="宋体"/>
                <w:szCs w:val="21"/>
              </w:rPr>
            </w:pPr>
          </w:p>
        </w:tc>
      </w:tr>
      <w:tr>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val="1"/>
              <w:spacing w:line="440" w:lineRule="exact"/>
              <w:jc w:val="center"/>
              <w:rPr>
                <w:rFonts w:hint="eastAsia" w:ascii="宋体" w:hAnsi="宋体" w:eastAsia="宋体"/>
                <w:szCs w:val="21"/>
              </w:rPr>
            </w:pPr>
          </w:p>
        </w:tc>
      </w:tr>
      <w:tr>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val="1"/>
              <w:spacing w:line="440" w:lineRule="exact"/>
              <w:jc w:val="center"/>
              <w:rPr>
                <w:rFonts w:hint="eastAsia" w:ascii="宋体" w:hAnsi="宋体" w:eastAsia="宋体"/>
                <w:szCs w:val="21"/>
              </w:rPr>
            </w:pPr>
          </w:p>
        </w:tc>
      </w:tr>
      <w:tr>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val="1"/>
              <w:spacing w:line="440" w:lineRule="exact"/>
              <w:jc w:val="center"/>
              <w:rPr>
                <w:rFonts w:hint="eastAsia" w:ascii="宋体" w:hAnsi="宋体" w:eastAsia="宋体"/>
                <w:szCs w:val="21"/>
              </w:rPr>
            </w:pPr>
          </w:p>
        </w:tc>
      </w:tr>
      <w:tr>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val="1"/>
              <w:spacing w:line="440" w:lineRule="exact"/>
              <w:jc w:val="center"/>
              <w:rPr>
                <w:rFonts w:hint="eastAsia" w:ascii="宋体" w:hAnsi="宋体" w:eastAsia="宋体"/>
                <w:szCs w:val="21"/>
              </w:rPr>
            </w:pPr>
          </w:p>
        </w:tc>
      </w:tr>
      <w:tr>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val="1"/>
              <w:spacing w:line="440" w:lineRule="exact"/>
              <w:jc w:val="center"/>
              <w:rPr>
                <w:rFonts w:hint="eastAsia" w:ascii="宋体" w:hAnsi="宋体" w:eastAsia="宋体"/>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val="1"/>
              <w:spacing w:line="440" w:lineRule="exact"/>
              <w:jc w:val="center"/>
              <w:rPr>
                <w:rFonts w:hint="eastAsia" w:ascii="宋体" w:hAnsi="宋体" w:eastAsia="宋体"/>
                <w:szCs w:val="21"/>
              </w:rPr>
            </w:pPr>
          </w:p>
        </w:tc>
      </w:tr>
      <w:tr>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val="1"/>
              <w:spacing w:line="440" w:lineRule="exact"/>
              <w:jc w:val="center"/>
              <w:rPr>
                <w:rFonts w:hint="eastAsia" w:ascii="宋体" w:hAnsi="宋体" w:eastAsia="宋体"/>
                <w:szCs w:val="21"/>
              </w:rPr>
            </w:pPr>
            <w:r>
              <w:rPr>
                <w:rFonts w:hint="eastAsia" w:ascii="宋体" w:hAnsi="宋体" w:eastAsia="宋体"/>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val="1"/>
              <w:spacing w:line="440" w:lineRule="exact"/>
              <w:rPr>
                <w:rFonts w:ascii="宋体" w:hAnsi="宋体" w:eastAsia="宋体"/>
                <w:b/>
                <w:bCs/>
              </w:rPr>
            </w:pPr>
            <w:r>
              <w:rPr>
                <w:rFonts w:hint="eastAsia" w:ascii="宋体" w:hAnsi="宋体" w:eastAsia="宋体"/>
                <w:b/>
                <w:bCs/>
                <w:szCs w:val="21"/>
              </w:rPr>
              <w:t>后</w:t>
            </w:r>
            <w:r>
              <w:rPr>
                <w:rFonts w:ascii="宋体" w:hAnsi="宋体" w:eastAsia="宋体"/>
                <w:b/>
                <w:bCs/>
                <w:szCs w:val="21"/>
              </w:rPr>
              <w:t>附</w:t>
            </w:r>
            <w:r>
              <w:rPr>
                <w:rFonts w:hint="eastAsia" w:ascii="宋体" w:hAnsi="宋体" w:eastAsia="宋体"/>
                <w:b/>
                <w:bCs/>
                <w:szCs w:val="21"/>
              </w:rPr>
              <w:t>营业执照</w:t>
            </w:r>
            <w:r>
              <w:rPr>
                <w:rFonts w:hint="eastAsia" w:ascii="宋体" w:hAnsi="宋体" w:eastAsia="宋体"/>
                <w:b/>
                <w:bCs/>
              </w:rPr>
              <w:t>、资质证书、信誉、获奖情况等相关证明材料</w:t>
            </w:r>
            <w:r>
              <w:rPr>
                <w:rFonts w:ascii="宋体" w:hAnsi="宋体" w:eastAsia="宋体"/>
                <w:b/>
                <w:bCs/>
              </w:rPr>
              <w:t>。</w:t>
            </w:r>
          </w:p>
          <w:p>
            <w:pPr>
              <w:topLinePunct w:val="1"/>
              <w:spacing w:line="440" w:lineRule="exact"/>
              <w:rPr>
                <w:rFonts w:hint="eastAsia" w:ascii="宋体" w:hAnsi="宋体" w:eastAsia="宋体"/>
                <w:b/>
                <w:bCs/>
                <w:lang w:eastAsia="zh-CN"/>
              </w:rPr>
            </w:pPr>
            <w:r>
              <w:rPr>
                <w:rFonts w:hint="eastAsia" w:ascii="宋体" w:hAnsi="宋体" w:eastAsia="宋体"/>
                <w:b/>
                <w:bCs/>
                <w:color w:val="FF0000"/>
                <w:lang w:eastAsia="zh-CN"/>
              </w:rPr>
              <w:t>（</w:t>
            </w:r>
            <w:r>
              <w:rPr>
                <w:rFonts w:hint="eastAsia" w:ascii="宋体" w:hAnsi="宋体" w:eastAsia="宋体"/>
                <w:b/>
                <w:bCs/>
                <w:color w:val="FF0000"/>
                <w:lang w:val="en-US" w:eastAsia="zh-CN"/>
              </w:rPr>
              <w:t>本项目营业执照为必须，其余供应商酌情提供。证书复印件加盖公章</w:t>
            </w:r>
            <w:r>
              <w:rPr>
                <w:rFonts w:hint="eastAsia" w:ascii="宋体" w:hAnsi="宋体" w:eastAsia="宋体"/>
                <w:b/>
                <w:bCs/>
                <w:color w:val="FF0000"/>
                <w:lang w:eastAsia="zh-CN"/>
              </w:rPr>
              <w:t>）</w:t>
            </w:r>
          </w:p>
        </w:tc>
      </w:tr>
    </w:tbl>
    <w:p>
      <w:pPr>
        <w:pStyle w:val="27"/>
        <w:tabs>
          <w:tab w:val="left" w:pos="5580"/>
        </w:tabs>
        <w:spacing w:line="360" w:lineRule="auto"/>
        <w:ind w:left="1080" w:leftChars="257" w:hanging="540"/>
        <w:rPr>
          <w:rFonts w:hint="eastAsia" w:hAnsi="宋体"/>
          <w:b/>
          <w:szCs w:val="21"/>
          <w:highlight w:val="none"/>
        </w:rPr>
      </w:pPr>
    </w:p>
    <w:p>
      <w:pPr>
        <w:pStyle w:val="27"/>
        <w:tabs>
          <w:tab w:val="left" w:pos="5580"/>
        </w:tabs>
        <w:spacing w:line="360" w:lineRule="auto"/>
        <w:ind w:left="1080" w:leftChars="257" w:hanging="540"/>
        <w:rPr>
          <w:rFonts w:hint="eastAsia" w:hAnsi="宋体"/>
          <w:b/>
          <w:szCs w:val="21"/>
          <w:highlight w:val="none"/>
        </w:rPr>
      </w:pPr>
    </w:p>
    <w:p>
      <w:pPr>
        <w:pStyle w:val="27"/>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56" w:name="_Hlt520271212"/>
      <w:bookmarkEnd w:id="356"/>
      <w:bookmarkStart w:id="357" w:name="_Hlt520273711"/>
      <w:bookmarkEnd w:id="357"/>
      <w:bookmarkStart w:id="358" w:name="_Hlt520274065"/>
      <w:bookmarkEnd w:id="358"/>
      <w:bookmarkStart w:id="359" w:name="_Hlt520273973"/>
      <w:bookmarkEnd w:id="359"/>
      <w:bookmarkStart w:id="360" w:name="_Hlt520350957"/>
      <w:bookmarkEnd w:id="360"/>
      <w:bookmarkStart w:id="361" w:name="_Hlt520343392"/>
      <w:bookmarkEnd w:id="361"/>
      <w:bookmarkStart w:id="362" w:name="_Hlt520343000"/>
      <w:bookmarkEnd w:id="362"/>
      <w:bookmarkStart w:id="363" w:name="_Hlt520274121"/>
      <w:bookmarkEnd w:id="363"/>
      <w:bookmarkStart w:id="364" w:name="_Hlt520350918"/>
      <w:bookmarkEnd w:id="364"/>
      <w:bookmarkStart w:id="365" w:name="_Hlt520274407"/>
      <w:bookmarkEnd w:id="365"/>
      <w:bookmarkStart w:id="366" w:name="_Hlt520274393"/>
      <w:bookmarkEnd w:id="366"/>
      <w:bookmarkStart w:id="367" w:name="_Toc2581"/>
      <w:bookmarkStart w:id="368" w:name="_Toc520125061"/>
      <w:bookmarkStart w:id="369" w:name="_Ref467988479"/>
      <w:bookmarkStart w:id="370" w:name="_Ref467988485"/>
      <w:bookmarkStart w:id="371" w:name="_Toc520356228"/>
      <w:bookmarkStart w:id="372" w:name="_Toc520125062"/>
      <w:bookmarkStart w:id="373" w:name="_Ref467990058"/>
      <w:bookmarkStart w:id="374" w:name="_Ref467990101"/>
      <w:bookmarkStart w:id="375" w:name="_Ref467990100"/>
      <w:bookmarkStart w:id="376" w:name="_Toc480942357"/>
      <w:bookmarkStart w:id="377" w:name="_Ref467988471"/>
      <w:bookmarkStart w:id="378" w:name="_Toc480942358"/>
      <w:bookmarkStart w:id="379" w:name="_Toc520356229"/>
      <w:bookmarkStart w:id="380" w:name="_Ref467990064"/>
    </w:p>
    <w:p>
      <w:pPr>
        <w:pStyle w:val="27"/>
        <w:widowControl w:val="0"/>
        <w:tabs>
          <w:tab w:val="left" w:pos="5580"/>
        </w:tabs>
        <w:wordWrap/>
        <w:adjustRightInd/>
        <w:snapToGrid/>
        <w:spacing w:line="360" w:lineRule="auto"/>
        <w:jc w:val="center"/>
        <w:textAlignment w:val="auto"/>
        <w:outlineLvl w:val="2"/>
        <w:rPr>
          <w:rFonts w:hint="eastAsia" w:ascii="宋体" w:hAnsi="宋体" w:eastAsia="宋体" w:cs="Times New Roman"/>
          <w:b/>
          <w:szCs w:val="21"/>
          <w:highlight w:val="none"/>
        </w:rPr>
      </w:pPr>
    </w:p>
    <w:p>
      <w:pPr>
        <w:pStyle w:val="27"/>
        <w:widowControl w:val="0"/>
        <w:tabs>
          <w:tab w:val="left" w:pos="5580"/>
        </w:tabs>
        <w:wordWrap/>
        <w:adjustRightInd/>
        <w:snapToGrid/>
        <w:spacing w:line="360" w:lineRule="auto"/>
        <w:jc w:val="center"/>
        <w:textAlignment w:val="auto"/>
        <w:outlineLvl w:val="2"/>
        <w:rPr>
          <w:rFonts w:hint="eastAsia" w:ascii="宋体" w:hAnsi="宋体" w:eastAsia="宋体" w:cs="Times New Roman"/>
          <w:b/>
          <w:szCs w:val="21"/>
          <w:highlight w:val="none"/>
        </w:rPr>
      </w:pPr>
    </w:p>
    <w:p>
      <w:pPr>
        <w:pStyle w:val="27"/>
        <w:widowControl w:val="0"/>
        <w:tabs>
          <w:tab w:val="left" w:pos="5580"/>
        </w:tabs>
        <w:wordWrap/>
        <w:adjustRightInd/>
        <w:snapToGrid/>
        <w:spacing w:line="360" w:lineRule="auto"/>
        <w:jc w:val="center"/>
        <w:textAlignment w:val="auto"/>
        <w:outlineLvl w:val="2"/>
        <w:rPr>
          <w:rFonts w:hint="eastAsia" w:ascii="宋体" w:hAnsi="宋体" w:eastAsia="宋体" w:cs="Times New Roman"/>
          <w:b/>
          <w:szCs w:val="21"/>
          <w:highlight w:val="none"/>
        </w:rPr>
      </w:pPr>
    </w:p>
    <w:p>
      <w:pPr>
        <w:pStyle w:val="27"/>
        <w:widowControl w:val="0"/>
        <w:tabs>
          <w:tab w:val="left" w:pos="5580"/>
        </w:tabs>
        <w:wordWrap/>
        <w:adjustRightInd/>
        <w:snapToGrid/>
        <w:spacing w:line="360" w:lineRule="auto"/>
        <w:jc w:val="both"/>
        <w:textAlignment w:val="auto"/>
        <w:outlineLvl w:val="2"/>
        <w:rPr>
          <w:rFonts w:hint="eastAsia" w:ascii="宋体" w:hAnsi="宋体" w:eastAsia="宋体" w:cs="Times New Roman"/>
          <w:b/>
          <w:szCs w:val="21"/>
          <w:highlight w:val="none"/>
        </w:rPr>
      </w:pPr>
    </w:p>
    <w:p>
      <w:pPr>
        <w:pStyle w:val="3"/>
        <w:pageBreakBefore/>
        <w:tabs>
          <w:tab w:val="left" w:pos="5580"/>
        </w:tabs>
        <w:spacing w:beforeLines="50" w:after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W w:w="96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56"/>
        <w:gridCol w:w="2330"/>
        <w:gridCol w:w="4392"/>
      </w:tblGrid>
      <w:tr>
        <w:trPr>
          <w:jc w:val="center"/>
        </w:trPr>
        <w:tc>
          <w:tcPr>
            <w:tcW w:w="2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p>
        </w:tc>
      </w:tr>
      <w:tr>
        <w:trPr>
          <w:jc w:val="center"/>
        </w:trPr>
        <w:tc>
          <w:tcPr>
            <w:tcW w:w="295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p>
        </w:tc>
      </w:tr>
      <w:tr>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r>
      <w:tr>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r>
      <w:tr>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r>
      <w:tr>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r>
      <w:tr>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r>
      <w:tr>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r>
      <w:tr>
        <w:trPr>
          <w:jc w:val="center"/>
        </w:trPr>
        <w:tc>
          <w:tcPr>
            <w:tcW w:w="2956"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r>
      <w:tr>
        <w:trPr>
          <w:jc w:val="center"/>
        </w:trPr>
        <w:tc>
          <w:tcPr>
            <w:tcW w:w="295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r>
      <w:tr>
        <w:trPr>
          <w:jc w:val="center"/>
        </w:trPr>
        <w:tc>
          <w:tcPr>
            <w:tcW w:w="295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pPr>
        <w:pStyle w:val="27"/>
        <w:widowControl w:val="0"/>
        <w:tabs>
          <w:tab w:val="left" w:pos="5580"/>
        </w:tabs>
        <w:wordWrap/>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67"/>
    </w:p>
    <w:p>
      <w:pPr>
        <w:pStyle w:val="27"/>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7"/>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7"/>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7"/>
        <w:tabs>
          <w:tab w:val="left" w:pos="5580"/>
        </w:tabs>
        <w:spacing w:line="360" w:lineRule="auto"/>
        <w:rPr>
          <w:rFonts w:hint="eastAsia" w:hAnsi="宋体"/>
          <w:szCs w:val="21"/>
          <w:highlight w:val="none"/>
        </w:rPr>
      </w:pPr>
    </w:p>
    <w:p>
      <w:pPr>
        <w:pStyle w:val="27"/>
        <w:tabs>
          <w:tab w:val="left" w:pos="5580"/>
        </w:tabs>
        <w:spacing w:line="360" w:lineRule="auto"/>
        <w:ind w:left="1080" w:leftChars="257" w:hanging="540"/>
        <w:rPr>
          <w:rFonts w:hint="eastAsia" w:hAnsi="宋体"/>
          <w:szCs w:val="21"/>
          <w:highlight w:val="none"/>
        </w:rPr>
      </w:pPr>
    </w:p>
    <w:p>
      <w:pPr>
        <w:pStyle w:val="27"/>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7"/>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7"/>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7"/>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7"/>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7"/>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7"/>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7"/>
        <w:tabs>
          <w:tab w:val="left" w:pos="5580"/>
        </w:tabs>
        <w:spacing w:line="360" w:lineRule="auto"/>
        <w:ind w:left="-540" w:leftChars="-257" w:firstLine="787" w:firstLineChars="375"/>
        <w:rPr>
          <w:rFonts w:hint="eastAsia" w:hAnsi="宋体"/>
          <w:szCs w:val="21"/>
          <w:highlight w:val="none"/>
        </w:rPr>
      </w:pPr>
    </w:p>
    <w:p>
      <w:pPr>
        <w:pStyle w:val="27"/>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7"/>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7"/>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7"/>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7"/>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7"/>
        <w:tabs>
          <w:tab w:val="left" w:pos="5580"/>
        </w:tabs>
        <w:spacing w:line="360" w:lineRule="auto"/>
        <w:ind w:left="1080" w:leftChars="257" w:hanging="540"/>
        <w:rPr>
          <w:rFonts w:hint="eastAsia" w:hAnsi="宋体"/>
          <w:szCs w:val="21"/>
          <w:highlight w:val="none"/>
        </w:rPr>
      </w:pPr>
    </w:p>
    <w:p>
      <w:pPr>
        <w:pStyle w:val="27"/>
        <w:tabs>
          <w:tab w:val="left" w:pos="5580"/>
        </w:tabs>
        <w:spacing w:line="360" w:lineRule="auto"/>
        <w:ind w:left="1080" w:leftChars="257" w:hanging="540"/>
        <w:rPr>
          <w:rFonts w:hint="eastAsia" w:hAnsi="宋体"/>
          <w:szCs w:val="21"/>
          <w:highlight w:val="none"/>
        </w:rPr>
      </w:pPr>
    </w:p>
    <w:p>
      <w:pPr>
        <w:widowControl w:val="0"/>
        <w:tabs>
          <w:tab w:val="left" w:pos="5580"/>
        </w:tabs>
        <w:wordWrap/>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81" w:name="_Toc27092"/>
      <w:r>
        <w:rPr>
          <w:rFonts w:hint="eastAsia" w:ascii="宋体" w:hAnsi="宋体" w:eastAsia="宋体" w:cs="Times New Roman"/>
          <w:b/>
          <w:kern w:val="2"/>
          <w:sz w:val="21"/>
          <w:szCs w:val="21"/>
          <w:highlight w:val="none"/>
          <w:lang w:val="en-US" w:eastAsia="zh-CN" w:bidi="ar-SA"/>
        </w:rPr>
        <w:t>附件5-3   生产厂商授权书</w:t>
      </w:r>
      <w:bookmarkEnd w:id="381"/>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widowControl/>
        <w:numPr>
          <w:numId w:val="0"/>
        </w:numPr>
        <w:wordWrap/>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pPr>
        <w:tabs>
          <w:tab w:val="left" w:pos="853"/>
        </w:tabs>
        <w:jc w:val="left"/>
        <w:rPr>
          <w:rFonts w:hint="default"/>
          <w:highlight w:val="none"/>
          <w:lang w:val="en-US" w:eastAsia="zh-CN"/>
        </w:rPr>
      </w:pPr>
    </w:p>
    <w:bookmarkEnd w:id="368"/>
    <w:bookmarkEnd w:id="369"/>
    <w:bookmarkEnd w:id="370"/>
    <w:bookmarkEnd w:id="371"/>
    <w:bookmarkEnd w:id="372"/>
    <w:bookmarkEnd w:id="373"/>
    <w:bookmarkEnd w:id="374"/>
    <w:bookmarkEnd w:id="375"/>
    <w:bookmarkEnd w:id="376"/>
    <w:bookmarkEnd w:id="377"/>
    <w:bookmarkEnd w:id="378"/>
    <w:bookmarkEnd w:id="379"/>
    <w:bookmarkEnd w:id="380"/>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7"/>
        <w:widowControl w:val="0"/>
        <w:tabs>
          <w:tab w:val="left" w:pos="5580"/>
        </w:tabs>
        <w:wordWrap/>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82"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82"/>
    </w:p>
    <w:p>
      <w:pPr>
        <w:pStyle w:val="27"/>
        <w:tabs>
          <w:tab w:val="left" w:pos="5580"/>
        </w:tabs>
        <w:spacing w:line="360" w:lineRule="auto"/>
        <w:ind w:left="1080" w:leftChars="257" w:hanging="540"/>
        <w:jc w:val="center"/>
        <w:rPr>
          <w:rFonts w:hint="eastAsia" w:hAnsi="宋体"/>
          <w:b/>
          <w:szCs w:val="21"/>
          <w:highlight w:val="none"/>
        </w:rPr>
      </w:pPr>
    </w:p>
    <w:p>
      <w:pPr>
        <w:pStyle w:val="27"/>
        <w:tabs>
          <w:tab w:val="left" w:pos="5580"/>
        </w:tabs>
        <w:spacing w:line="360" w:lineRule="auto"/>
        <w:ind w:left="540"/>
        <w:rPr>
          <w:rFonts w:hint="eastAsia" w:hAnsi="宋体"/>
          <w:b/>
          <w:szCs w:val="21"/>
          <w:highlight w:val="none"/>
        </w:rPr>
      </w:pPr>
    </w:p>
    <w:p>
      <w:pPr>
        <w:widowControl w:val="0"/>
        <w:wordWrap/>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16"/>
        <w:rPr>
          <w:rFonts w:hint="eastAsia"/>
        </w:rPr>
      </w:pPr>
    </w:p>
    <w:p>
      <w:pPr>
        <w:tabs>
          <w:tab w:val="left" w:pos="5580"/>
        </w:tabs>
        <w:spacing w:line="360" w:lineRule="auto"/>
        <w:ind w:left="1080" w:leftChars="257" w:hanging="540"/>
        <w:rPr>
          <w:rFonts w:hint="eastAsia" w:ascii="宋体" w:hAnsi="宋体"/>
          <w:szCs w:val="21"/>
          <w:highlight w:val="none"/>
        </w:rPr>
      </w:pPr>
    </w:p>
    <w:p>
      <w:pPr>
        <w:pStyle w:val="27"/>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7"/>
        <w:widowControl w:val="0"/>
        <w:tabs>
          <w:tab w:val="left" w:pos="5580"/>
        </w:tabs>
        <w:wordWrap/>
        <w:adjustRightInd/>
        <w:snapToGrid/>
        <w:spacing w:line="360" w:lineRule="auto"/>
        <w:jc w:val="center"/>
        <w:textAlignment w:val="auto"/>
        <w:outlineLvl w:val="2"/>
        <w:rPr>
          <w:rFonts w:hint="eastAsia" w:ascii="宋体" w:hAnsi="宋体" w:eastAsia="宋体" w:cs="Times New Roman"/>
          <w:b/>
          <w:szCs w:val="21"/>
          <w:highlight w:val="none"/>
        </w:rPr>
      </w:pPr>
      <w:bookmarkStart w:id="383"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83"/>
    </w:p>
    <w:p>
      <w:pPr>
        <w:pStyle w:val="27"/>
        <w:tabs>
          <w:tab w:val="left" w:pos="5580"/>
        </w:tabs>
        <w:spacing w:line="360" w:lineRule="auto"/>
        <w:ind w:left="1080" w:leftChars="257" w:hanging="540"/>
        <w:rPr>
          <w:rFonts w:hint="eastAsia" w:hAnsi="宋体"/>
          <w:szCs w:val="21"/>
          <w:highlight w:val="none"/>
        </w:rPr>
      </w:pPr>
    </w:p>
    <w:p>
      <w:pPr>
        <w:pStyle w:val="27"/>
        <w:tabs>
          <w:tab w:val="left" w:pos="5580"/>
        </w:tabs>
        <w:spacing w:line="360" w:lineRule="auto"/>
        <w:ind w:left="1080" w:leftChars="257" w:hanging="540"/>
        <w:rPr>
          <w:rFonts w:hint="eastAsia" w:hAnsi="宋体"/>
          <w:szCs w:val="21"/>
          <w:highlight w:val="none"/>
        </w:rPr>
      </w:pPr>
    </w:p>
    <w:p>
      <w:pPr>
        <w:pStyle w:val="27"/>
        <w:tabs>
          <w:tab w:val="left" w:pos="5580"/>
        </w:tabs>
        <w:spacing w:line="360" w:lineRule="auto"/>
        <w:ind w:left="1080" w:leftChars="257" w:hanging="540"/>
        <w:rPr>
          <w:rFonts w:hint="eastAsia" w:hAnsi="宋体"/>
          <w:szCs w:val="21"/>
          <w:highlight w:val="none"/>
        </w:rPr>
      </w:pPr>
    </w:p>
    <w:p>
      <w:pPr>
        <w:pStyle w:val="27"/>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widowControl w:val="0"/>
        <w:wordWrap/>
        <w:adjustRightInd/>
        <w:snapToGrid/>
        <w:spacing w:line="360" w:lineRule="auto"/>
        <w:jc w:val="center"/>
        <w:textAlignment w:val="auto"/>
        <w:outlineLvl w:val="9"/>
        <w:rPr>
          <w:rFonts w:hint="eastAsia" w:ascii="宋体" w:hAnsi="宋体"/>
          <w:b/>
          <w:szCs w:val="21"/>
          <w:highlight w:val="none"/>
        </w:rPr>
      </w:pPr>
    </w:p>
    <w:p>
      <w:pPr>
        <w:widowControl w:val="0"/>
        <w:wordWrap/>
        <w:adjustRightInd/>
        <w:snapToGrid/>
        <w:spacing w:line="360" w:lineRule="auto"/>
        <w:jc w:val="center"/>
        <w:textAlignment w:val="auto"/>
        <w:outlineLvl w:val="2"/>
        <w:rPr>
          <w:rFonts w:hint="eastAsia" w:ascii="宋体" w:hAnsi="宋体"/>
          <w:b/>
          <w:szCs w:val="21"/>
          <w:highlight w:val="none"/>
        </w:rPr>
      </w:pPr>
      <w:bookmarkStart w:id="384"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84"/>
    </w:p>
    <w:p>
      <w:pPr>
        <w:pStyle w:val="27"/>
        <w:tabs>
          <w:tab w:val="left" w:pos="5580"/>
        </w:tabs>
        <w:spacing w:line="360" w:lineRule="auto"/>
        <w:ind w:left="1080" w:leftChars="257" w:hanging="540"/>
        <w:jc w:val="center"/>
        <w:rPr>
          <w:rFonts w:hint="eastAsia" w:hAnsi="宋体"/>
          <w:b/>
          <w:szCs w:val="21"/>
          <w:highlight w:val="none"/>
        </w:rPr>
      </w:pPr>
    </w:p>
    <w:p>
      <w:pPr>
        <w:pStyle w:val="27"/>
        <w:tabs>
          <w:tab w:val="left" w:pos="5580"/>
        </w:tabs>
        <w:spacing w:line="360" w:lineRule="auto"/>
        <w:ind w:left="1080" w:leftChars="257" w:hanging="540"/>
        <w:rPr>
          <w:rFonts w:hint="eastAsia" w:hAnsi="宋体"/>
          <w:szCs w:val="21"/>
          <w:highlight w:val="none"/>
        </w:rPr>
      </w:pPr>
    </w:p>
    <w:p>
      <w:pPr>
        <w:pStyle w:val="27"/>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both"/>
        <w:rPr>
          <w:rFonts w:hint="eastAsia" w:ascii="宋体" w:hAnsi="宋体"/>
          <w:szCs w:val="21"/>
          <w:highlight w:val="none"/>
        </w:rPr>
      </w:pPr>
    </w:p>
    <w:p>
      <w:pPr>
        <w:pStyle w:val="4"/>
        <w:pageBreakBefore/>
        <w:widowControl w:val="0"/>
        <w:tabs>
          <w:tab w:val="left" w:pos="5580"/>
        </w:tabs>
        <w:wordWrap/>
        <w:adjustRightInd/>
        <w:snapToGrid/>
        <w:spacing w:beforeLines="50" w:afterLines="50" w:line="360" w:lineRule="auto"/>
        <w:jc w:val="center"/>
        <w:textAlignment w:val="auto"/>
        <w:rPr>
          <w:rFonts w:hint="eastAsia" w:ascii="宋体" w:hAnsi="宋体"/>
          <w:sz w:val="21"/>
          <w:szCs w:val="21"/>
          <w:highlight w:val="none"/>
        </w:rPr>
      </w:pPr>
      <w:bookmarkStart w:id="385" w:name="_Toc77685377"/>
      <w:bookmarkStart w:id="386" w:name="_Toc25918"/>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85"/>
      <w:bookmarkEnd w:id="386"/>
    </w:p>
    <w:p>
      <w:pPr>
        <w:pStyle w:val="16"/>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tbl>
      <w:tblPr>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2035"/>
        <w:gridCol w:w="3043"/>
        <w:gridCol w:w="1641"/>
        <w:gridCol w:w="1827"/>
      </w:tblGrid>
      <w:tr>
        <w:trPr>
          <w:trHeight w:val="818" w:hRule="atLeast"/>
          <w:jc w:val="center"/>
        </w:trPr>
        <w:tc>
          <w:tcPr>
            <w:tcW w:w="1124" w:type="dxa"/>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2035" w:type="dxa"/>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3043" w:type="dxa"/>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1641" w:type="dxa"/>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1827" w:type="dxa"/>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rPr>
          <w:trHeight w:val="401" w:hRule="atLeast"/>
          <w:jc w:val="center"/>
        </w:trPr>
        <w:tc>
          <w:tcPr>
            <w:tcW w:w="1124" w:type="dxa"/>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2035" w:type="dxa"/>
            <w:vAlign w:val="center"/>
          </w:tcPr>
          <w:p>
            <w:pPr>
              <w:spacing w:line="360" w:lineRule="auto"/>
              <w:jc w:val="center"/>
              <w:rPr>
                <w:rFonts w:hint="eastAsia" w:ascii="宋体" w:hAnsi="宋体"/>
                <w:b/>
                <w:bCs/>
                <w:szCs w:val="21"/>
                <w:highlight w:val="none"/>
              </w:rPr>
            </w:pPr>
          </w:p>
        </w:tc>
        <w:tc>
          <w:tcPr>
            <w:tcW w:w="3043" w:type="dxa"/>
            <w:vAlign w:val="center"/>
          </w:tcPr>
          <w:p>
            <w:pPr>
              <w:spacing w:line="360" w:lineRule="auto"/>
              <w:jc w:val="center"/>
              <w:rPr>
                <w:rFonts w:hint="eastAsia" w:ascii="宋体" w:hAnsi="宋体"/>
                <w:b/>
                <w:bCs/>
                <w:szCs w:val="21"/>
                <w:highlight w:val="none"/>
              </w:rPr>
            </w:pPr>
          </w:p>
        </w:tc>
        <w:tc>
          <w:tcPr>
            <w:tcW w:w="1641" w:type="dxa"/>
            <w:vAlign w:val="center"/>
          </w:tcPr>
          <w:p>
            <w:pPr>
              <w:spacing w:line="360" w:lineRule="auto"/>
              <w:jc w:val="center"/>
              <w:rPr>
                <w:rFonts w:hint="eastAsia" w:ascii="宋体" w:hAnsi="宋体"/>
                <w:b/>
                <w:bCs/>
                <w:szCs w:val="21"/>
                <w:highlight w:val="none"/>
              </w:rPr>
            </w:pPr>
          </w:p>
        </w:tc>
        <w:tc>
          <w:tcPr>
            <w:tcW w:w="1827" w:type="dxa"/>
            <w:vAlign w:val="center"/>
          </w:tcPr>
          <w:p>
            <w:pPr>
              <w:spacing w:line="360" w:lineRule="auto"/>
              <w:jc w:val="center"/>
              <w:rPr>
                <w:rFonts w:hint="eastAsia" w:ascii="宋体" w:hAnsi="宋体"/>
                <w:b/>
                <w:bCs/>
                <w:szCs w:val="21"/>
                <w:highlight w:val="none"/>
              </w:rPr>
            </w:pPr>
          </w:p>
        </w:tc>
      </w:tr>
      <w:tr>
        <w:trPr>
          <w:trHeight w:val="415" w:hRule="atLeast"/>
          <w:jc w:val="center"/>
        </w:trPr>
        <w:tc>
          <w:tcPr>
            <w:tcW w:w="1124" w:type="dxa"/>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2035" w:type="dxa"/>
            <w:vAlign w:val="center"/>
          </w:tcPr>
          <w:p>
            <w:pPr>
              <w:spacing w:line="360" w:lineRule="auto"/>
              <w:jc w:val="center"/>
              <w:rPr>
                <w:rFonts w:hint="eastAsia" w:ascii="宋体" w:hAnsi="宋体"/>
                <w:b/>
                <w:bCs/>
                <w:szCs w:val="21"/>
                <w:highlight w:val="none"/>
              </w:rPr>
            </w:pPr>
          </w:p>
        </w:tc>
        <w:tc>
          <w:tcPr>
            <w:tcW w:w="3043" w:type="dxa"/>
            <w:vAlign w:val="center"/>
          </w:tcPr>
          <w:p>
            <w:pPr>
              <w:spacing w:line="360" w:lineRule="auto"/>
              <w:jc w:val="center"/>
              <w:rPr>
                <w:rFonts w:hint="eastAsia" w:ascii="宋体" w:hAnsi="宋体"/>
                <w:b/>
                <w:bCs/>
                <w:szCs w:val="21"/>
                <w:highlight w:val="none"/>
              </w:rPr>
            </w:pPr>
          </w:p>
        </w:tc>
        <w:tc>
          <w:tcPr>
            <w:tcW w:w="1641" w:type="dxa"/>
            <w:vAlign w:val="center"/>
          </w:tcPr>
          <w:p>
            <w:pPr>
              <w:spacing w:line="360" w:lineRule="auto"/>
              <w:jc w:val="center"/>
              <w:rPr>
                <w:rFonts w:hint="eastAsia" w:ascii="宋体" w:hAnsi="宋体"/>
                <w:b/>
                <w:bCs/>
                <w:szCs w:val="21"/>
                <w:highlight w:val="none"/>
              </w:rPr>
            </w:pPr>
          </w:p>
        </w:tc>
        <w:tc>
          <w:tcPr>
            <w:tcW w:w="1827" w:type="dxa"/>
            <w:vAlign w:val="center"/>
          </w:tcPr>
          <w:p>
            <w:pPr>
              <w:spacing w:line="360" w:lineRule="auto"/>
              <w:jc w:val="center"/>
              <w:rPr>
                <w:rFonts w:hint="eastAsia" w:ascii="宋体" w:hAnsi="宋体"/>
                <w:b/>
                <w:bCs/>
                <w:szCs w:val="21"/>
                <w:highlight w:val="none"/>
              </w:rPr>
            </w:pPr>
          </w:p>
        </w:tc>
      </w:tr>
      <w:tr>
        <w:trPr>
          <w:trHeight w:val="401" w:hRule="atLeast"/>
          <w:jc w:val="center"/>
        </w:trPr>
        <w:tc>
          <w:tcPr>
            <w:tcW w:w="1124" w:type="dxa"/>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2035" w:type="dxa"/>
            <w:vAlign w:val="center"/>
          </w:tcPr>
          <w:p>
            <w:pPr>
              <w:spacing w:line="360" w:lineRule="auto"/>
              <w:jc w:val="center"/>
              <w:rPr>
                <w:rFonts w:hint="eastAsia" w:ascii="宋体" w:hAnsi="宋体"/>
                <w:b/>
                <w:bCs/>
                <w:szCs w:val="21"/>
                <w:highlight w:val="none"/>
              </w:rPr>
            </w:pPr>
          </w:p>
        </w:tc>
        <w:tc>
          <w:tcPr>
            <w:tcW w:w="3043" w:type="dxa"/>
            <w:vAlign w:val="center"/>
          </w:tcPr>
          <w:p>
            <w:pPr>
              <w:spacing w:line="360" w:lineRule="auto"/>
              <w:jc w:val="center"/>
              <w:rPr>
                <w:rFonts w:hint="eastAsia" w:ascii="宋体" w:hAnsi="宋体"/>
                <w:b/>
                <w:bCs/>
                <w:szCs w:val="21"/>
                <w:highlight w:val="none"/>
              </w:rPr>
            </w:pPr>
          </w:p>
        </w:tc>
        <w:tc>
          <w:tcPr>
            <w:tcW w:w="1641" w:type="dxa"/>
            <w:vAlign w:val="center"/>
          </w:tcPr>
          <w:p>
            <w:pPr>
              <w:spacing w:line="360" w:lineRule="auto"/>
              <w:jc w:val="center"/>
              <w:rPr>
                <w:rFonts w:hint="eastAsia" w:ascii="宋体" w:hAnsi="宋体"/>
                <w:b/>
                <w:bCs/>
                <w:szCs w:val="21"/>
                <w:highlight w:val="none"/>
              </w:rPr>
            </w:pPr>
          </w:p>
        </w:tc>
        <w:tc>
          <w:tcPr>
            <w:tcW w:w="1827" w:type="dxa"/>
            <w:vAlign w:val="center"/>
          </w:tcPr>
          <w:p>
            <w:pPr>
              <w:spacing w:line="360" w:lineRule="auto"/>
              <w:jc w:val="center"/>
              <w:rPr>
                <w:rFonts w:hint="eastAsia" w:ascii="宋体" w:hAnsi="宋体"/>
                <w:b/>
                <w:bCs/>
                <w:szCs w:val="21"/>
                <w:highlight w:val="none"/>
              </w:rPr>
            </w:pPr>
          </w:p>
        </w:tc>
      </w:tr>
      <w:tr>
        <w:trPr>
          <w:trHeight w:val="415" w:hRule="atLeast"/>
          <w:jc w:val="center"/>
        </w:trPr>
        <w:tc>
          <w:tcPr>
            <w:tcW w:w="1124" w:type="dxa"/>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2035" w:type="dxa"/>
            <w:vAlign w:val="center"/>
          </w:tcPr>
          <w:p>
            <w:pPr>
              <w:spacing w:line="360" w:lineRule="auto"/>
              <w:jc w:val="center"/>
              <w:rPr>
                <w:rFonts w:hint="eastAsia" w:ascii="宋体" w:hAnsi="宋体"/>
                <w:b/>
                <w:bCs/>
                <w:szCs w:val="21"/>
                <w:highlight w:val="none"/>
              </w:rPr>
            </w:pPr>
          </w:p>
        </w:tc>
        <w:tc>
          <w:tcPr>
            <w:tcW w:w="3043" w:type="dxa"/>
            <w:vAlign w:val="center"/>
          </w:tcPr>
          <w:p>
            <w:pPr>
              <w:spacing w:line="360" w:lineRule="auto"/>
              <w:jc w:val="center"/>
              <w:rPr>
                <w:rFonts w:hint="eastAsia" w:ascii="宋体" w:hAnsi="宋体"/>
                <w:b/>
                <w:bCs/>
                <w:szCs w:val="21"/>
                <w:highlight w:val="none"/>
              </w:rPr>
            </w:pPr>
          </w:p>
        </w:tc>
        <w:tc>
          <w:tcPr>
            <w:tcW w:w="1641" w:type="dxa"/>
            <w:vAlign w:val="center"/>
          </w:tcPr>
          <w:p>
            <w:pPr>
              <w:spacing w:line="360" w:lineRule="auto"/>
              <w:jc w:val="center"/>
              <w:rPr>
                <w:rFonts w:hint="eastAsia" w:ascii="宋体" w:hAnsi="宋体"/>
                <w:b/>
                <w:bCs/>
                <w:szCs w:val="21"/>
                <w:highlight w:val="none"/>
              </w:rPr>
            </w:pPr>
          </w:p>
        </w:tc>
        <w:tc>
          <w:tcPr>
            <w:tcW w:w="1827" w:type="dxa"/>
            <w:vAlign w:val="center"/>
          </w:tcPr>
          <w:p>
            <w:pPr>
              <w:spacing w:line="360" w:lineRule="auto"/>
              <w:jc w:val="center"/>
              <w:rPr>
                <w:rFonts w:hint="eastAsia" w:ascii="宋体" w:hAnsi="宋体"/>
                <w:b/>
                <w:bCs/>
                <w:szCs w:val="21"/>
                <w:highlight w:val="none"/>
              </w:rPr>
            </w:pPr>
          </w:p>
        </w:tc>
      </w:tr>
      <w:tr>
        <w:trPr>
          <w:trHeight w:val="401" w:hRule="atLeast"/>
          <w:jc w:val="center"/>
        </w:trPr>
        <w:tc>
          <w:tcPr>
            <w:tcW w:w="1124" w:type="dxa"/>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2035" w:type="dxa"/>
            <w:vAlign w:val="center"/>
          </w:tcPr>
          <w:p>
            <w:pPr>
              <w:spacing w:line="360" w:lineRule="auto"/>
              <w:jc w:val="center"/>
              <w:rPr>
                <w:rFonts w:hint="eastAsia" w:ascii="宋体" w:hAnsi="宋体"/>
                <w:b/>
                <w:bCs/>
                <w:szCs w:val="21"/>
                <w:highlight w:val="none"/>
              </w:rPr>
            </w:pPr>
          </w:p>
        </w:tc>
        <w:tc>
          <w:tcPr>
            <w:tcW w:w="3043" w:type="dxa"/>
            <w:vAlign w:val="center"/>
          </w:tcPr>
          <w:p>
            <w:pPr>
              <w:spacing w:line="360" w:lineRule="auto"/>
              <w:jc w:val="center"/>
              <w:rPr>
                <w:rFonts w:hint="eastAsia" w:ascii="宋体" w:hAnsi="宋体"/>
                <w:b/>
                <w:bCs/>
                <w:szCs w:val="21"/>
                <w:highlight w:val="none"/>
              </w:rPr>
            </w:pPr>
          </w:p>
        </w:tc>
        <w:tc>
          <w:tcPr>
            <w:tcW w:w="1641" w:type="dxa"/>
            <w:vAlign w:val="center"/>
          </w:tcPr>
          <w:p>
            <w:pPr>
              <w:spacing w:line="360" w:lineRule="auto"/>
              <w:jc w:val="center"/>
              <w:rPr>
                <w:rFonts w:hint="eastAsia" w:ascii="宋体" w:hAnsi="宋体"/>
                <w:b/>
                <w:bCs/>
                <w:szCs w:val="21"/>
                <w:highlight w:val="none"/>
              </w:rPr>
            </w:pPr>
          </w:p>
        </w:tc>
        <w:tc>
          <w:tcPr>
            <w:tcW w:w="1827" w:type="dxa"/>
            <w:vAlign w:val="center"/>
          </w:tcPr>
          <w:p>
            <w:pPr>
              <w:spacing w:line="360" w:lineRule="auto"/>
              <w:jc w:val="center"/>
              <w:rPr>
                <w:rFonts w:hint="eastAsia" w:ascii="宋体" w:hAnsi="宋体"/>
                <w:b/>
                <w:bCs/>
                <w:szCs w:val="21"/>
                <w:highlight w:val="none"/>
              </w:rPr>
            </w:pPr>
          </w:p>
        </w:tc>
      </w:tr>
      <w:tr>
        <w:trPr>
          <w:trHeight w:val="401" w:hRule="atLeast"/>
          <w:jc w:val="center"/>
        </w:trPr>
        <w:tc>
          <w:tcPr>
            <w:tcW w:w="1124" w:type="dxa"/>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2035" w:type="dxa"/>
            <w:vAlign w:val="center"/>
          </w:tcPr>
          <w:p>
            <w:pPr>
              <w:spacing w:line="360" w:lineRule="auto"/>
              <w:jc w:val="center"/>
              <w:rPr>
                <w:rFonts w:hint="eastAsia" w:ascii="宋体" w:hAnsi="宋体"/>
                <w:b/>
                <w:bCs/>
                <w:szCs w:val="21"/>
                <w:highlight w:val="none"/>
              </w:rPr>
            </w:pPr>
          </w:p>
        </w:tc>
        <w:tc>
          <w:tcPr>
            <w:tcW w:w="3043" w:type="dxa"/>
            <w:vAlign w:val="center"/>
          </w:tcPr>
          <w:p>
            <w:pPr>
              <w:spacing w:line="360" w:lineRule="auto"/>
              <w:jc w:val="center"/>
              <w:rPr>
                <w:rFonts w:hint="eastAsia" w:ascii="宋体" w:hAnsi="宋体"/>
                <w:b/>
                <w:bCs/>
                <w:szCs w:val="21"/>
                <w:highlight w:val="none"/>
              </w:rPr>
            </w:pPr>
          </w:p>
        </w:tc>
        <w:tc>
          <w:tcPr>
            <w:tcW w:w="1641" w:type="dxa"/>
            <w:vAlign w:val="center"/>
          </w:tcPr>
          <w:p>
            <w:pPr>
              <w:spacing w:line="360" w:lineRule="auto"/>
              <w:jc w:val="center"/>
              <w:rPr>
                <w:rFonts w:hint="eastAsia" w:ascii="宋体" w:hAnsi="宋体"/>
                <w:b/>
                <w:bCs/>
                <w:szCs w:val="21"/>
                <w:highlight w:val="none"/>
              </w:rPr>
            </w:pPr>
          </w:p>
        </w:tc>
        <w:tc>
          <w:tcPr>
            <w:tcW w:w="1827" w:type="dxa"/>
            <w:vAlign w:val="center"/>
          </w:tcPr>
          <w:p>
            <w:pPr>
              <w:spacing w:line="360" w:lineRule="auto"/>
              <w:jc w:val="center"/>
              <w:rPr>
                <w:rFonts w:hint="eastAsia" w:ascii="宋体" w:hAnsi="宋体"/>
                <w:b/>
                <w:bCs/>
                <w:szCs w:val="21"/>
                <w:highlight w:val="none"/>
              </w:rPr>
            </w:pPr>
          </w:p>
        </w:tc>
      </w:tr>
      <w:tr>
        <w:trPr>
          <w:trHeight w:val="401" w:hRule="atLeast"/>
          <w:jc w:val="center"/>
        </w:trPr>
        <w:tc>
          <w:tcPr>
            <w:tcW w:w="1124" w:type="dxa"/>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2035" w:type="dxa"/>
            <w:vAlign w:val="center"/>
          </w:tcPr>
          <w:p>
            <w:pPr>
              <w:spacing w:line="360" w:lineRule="auto"/>
              <w:jc w:val="center"/>
              <w:rPr>
                <w:rFonts w:hint="eastAsia" w:ascii="宋体" w:hAnsi="宋体"/>
                <w:b/>
                <w:bCs/>
                <w:szCs w:val="21"/>
                <w:highlight w:val="none"/>
              </w:rPr>
            </w:pPr>
          </w:p>
        </w:tc>
        <w:tc>
          <w:tcPr>
            <w:tcW w:w="3043" w:type="dxa"/>
            <w:vAlign w:val="center"/>
          </w:tcPr>
          <w:p>
            <w:pPr>
              <w:spacing w:line="360" w:lineRule="auto"/>
              <w:jc w:val="center"/>
              <w:rPr>
                <w:rFonts w:hint="eastAsia" w:ascii="宋体" w:hAnsi="宋体"/>
                <w:b/>
                <w:bCs/>
                <w:szCs w:val="21"/>
                <w:highlight w:val="none"/>
              </w:rPr>
            </w:pPr>
          </w:p>
        </w:tc>
        <w:tc>
          <w:tcPr>
            <w:tcW w:w="1641" w:type="dxa"/>
            <w:vAlign w:val="center"/>
          </w:tcPr>
          <w:p>
            <w:pPr>
              <w:spacing w:line="360" w:lineRule="auto"/>
              <w:jc w:val="center"/>
              <w:rPr>
                <w:rFonts w:hint="eastAsia" w:ascii="宋体" w:hAnsi="宋体"/>
                <w:b/>
                <w:bCs/>
                <w:szCs w:val="21"/>
                <w:highlight w:val="none"/>
              </w:rPr>
            </w:pPr>
          </w:p>
        </w:tc>
        <w:tc>
          <w:tcPr>
            <w:tcW w:w="1827" w:type="dxa"/>
            <w:vAlign w:val="center"/>
          </w:tcPr>
          <w:p>
            <w:pPr>
              <w:spacing w:line="360" w:lineRule="auto"/>
              <w:jc w:val="center"/>
              <w:rPr>
                <w:rFonts w:hint="eastAsia" w:ascii="宋体" w:hAnsi="宋体"/>
                <w:b/>
                <w:bCs/>
                <w:szCs w:val="21"/>
                <w:highlight w:val="none"/>
              </w:rPr>
            </w:pPr>
          </w:p>
        </w:tc>
      </w:tr>
    </w:tbl>
    <w:p>
      <w:pPr>
        <w:pStyle w:val="27"/>
        <w:tabs>
          <w:tab w:val="left" w:pos="5580"/>
        </w:tabs>
        <w:spacing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widowControl w:val="0"/>
        <w:wordWrap/>
        <w:adjustRightInd/>
        <w:snapToGrid/>
        <w:spacing w:line="360" w:lineRule="auto"/>
        <w:jc w:val="center"/>
        <w:textAlignment w:val="auto"/>
        <w:outlineLvl w:val="2"/>
        <w:rPr>
          <w:rFonts w:hint="eastAsia" w:ascii="宋体" w:hAnsi="宋体"/>
          <w:b/>
          <w:bCs/>
          <w:szCs w:val="21"/>
          <w:highlight w:val="none"/>
        </w:rPr>
      </w:pPr>
      <w:bookmarkStart w:id="387"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387"/>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7"/>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7"/>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7"/>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7"/>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widowControl w:val="0"/>
        <w:wordWrap/>
        <w:adjustRightInd/>
        <w:snapToGrid/>
        <w:jc w:val="center"/>
        <w:textAlignment w:val="auto"/>
        <w:outlineLvl w:val="1"/>
        <w:rPr>
          <w:rFonts w:hint="eastAsia" w:ascii="宋体" w:hAnsi="宋体"/>
          <w:b/>
          <w:szCs w:val="21"/>
          <w:highlight w:val="none"/>
        </w:rPr>
      </w:pPr>
      <w:bookmarkStart w:id="388"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388"/>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7"/>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7"/>
        <w:spacing w:line="360" w:lineRule="auto"/>
        <w:rPr>
          <w:rFonts w:hint="eastAsia" w:hAnsi="宋体" w:cs="楷体_GB2312"/>
          <w:kern w:val="0"/>
          <w:szCs w:val="21"/>
          <w:highlight w:val="none"/>
        </w:rPr>
      </w:pPr>
    </w:p>
    <w:p>
      <w:pPr>
        <w:pStyle w:val="27"/>
        <w:spacing w:line="360" w:lineRule="auto"/>
        <w:rPr>
          <w:rFonts w:hint="eastAsia" w:hAnsi="宋体" w:cs="楷体_GB2312"/>
          <w:kern w:val="0"/>
          <w:szCs w:val="21"/>
          <w:highlight w:val="none"/>
        </w:rPr>
      </w:pPr>
    </w:p>
    <w:p>
      <w:pPr>
        <w:pStyle w:val="27"/>
        <w:spacing w:line="360" w:lineRule="auto"/>
        <w:rPr>
          <w:rFonts w:hint="eastAsia" w:hAnsi="宋体" w:cs="楷体_GB2312"/>
          <w:kern w:val="0"/>
          <w:szCs w:val="21"/>
          <w:highlight w:val="none"/>
        </w:rPr>
      </w:pPr>
    </w:p>
    <w:p>
      <w:pPr>
        <w:pStyle w:val="27"/>
        <w:spacing w:line="360" w:lineRule="auto"/>
        <w:rPr>
          <w:rFonts w:hint="eastAsia" w:hAnsi="宋体" w:cs="楷体_GB2312"/>
          <w:kern w:val="0"/>
          <w:szCs w:val="21"/>
          <w:highlight w:val="none"/>
        </w:rPr>
      </w:pPr>
    </w:p>
    <w:p>
      <w:pPr>
        <w:pStyle w:val="27"/>
        <w:spacing w:line="360" w:lineRule="auto"/>
        <w:rPr>
          <w:rFonts w:hint="eastAsia" w:hAnsi="宋体" w:cs="楷体_GB2312"/>
          <w:kern w:val="0"/>
          <w:szCs w:val="21"/>
          <w:highlight w:val="none"/>
        </w:rPr>
      </w:pPr>
    </w:p>
    <w:p>
      <w:pPr>
        <w:pStyle w:val="27"/>
        <w:spacing w:line="360" w:lineRule="auto"/>
        <w:rPr>
          <w:rFonts w:hint="eastAsia" w:hAnsi="宋体" w:cs="楷体_GB2312"/>
          <w:kern w:val="0"/>
          <w:szCs w:val="21"/>
          <w:highlight w:val="none"/>
        </w:rPr>
      </w:pPr>
    </w:p>
    <w:p>
      <w:pPr>
        <w:pStyle w:val="3"/>
        <w:pageBreakBefore/>
        <w:widowControl w:val="0"/>
        <w:tabs>
          <w:tab w:val="left" w:pos="5580"/>
        </w:tabs>
        <w:wordWrap/>
        <w:adjustRightInd/>
        <w:snapToGrid/>
        <w:spacing w:beforeLines="50" w:afterLines="50" w:line="360" w:lineRule="auto"/>
        <w:jc w:val="center"/>
        <w:textAlignment w:val="auto"/>
        <w:rPr>
          <w:rFonts w:ascii="宋体" w:hAnsi="宋体" w:eastAsia="宋体"/>
          <w:sz w:val="21"/>
          <w:szCs w:val="21"/>
          <w:highlight w:val="none"/>
        </w:rPr>
      </w:pPr>
      <w:bookmarkStart w:id="389" w:name="_Toc15610"/>
      <w:bookmarkStart w:id="390" w:name="_Toc193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389"/>
      <w:bookmarkEnd w:id="390"/>
    </w:p>
    <w:p>
      <w:pPr>
        <w:pStyle w:val="27"/>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包括上年度产品生产规模、产品情况、质量等</w:t>
      </w:r>
      <w:r>
        <w:rPr>
          <w:rFonts w:hint="eastAsia"/>
          <w:highlight w:val="none"/>
        </w:rPr>
        <w:t>）</w:t>
      </w:r>
    </w:p>
    <w:p>
      <w:pPr>
        <w:pStyle w:val="27"/>
        <w:spacing w:line="360" w:lineRule="auto"/>
        <w:rPr>
          <w:rFonts w:hint="eastAsia" w:hAnsi="宋体" w:cs="楷体_GB2312"/>
          <w:kern w:val="0"/>
          <w:szCs w:val="21"/>
          <w:highlight w:val="none"/>
        </w:rPr>
      </w:pPr>
    </w:p>
    <w:p>
      <w:pPr>
        <w:pStyle w:val="3"/>
        <w:keepNext/>
        <w:keepLines/>
        <w:widowControl w:val="0"/>
        <w:tabs>
          <w:tab w:val="left" w:pos="5580"/>
        </w:tabs>
        <w:wordWrap/>
        <w:adjustRightInd/>
        <w:snapToGrid/>
        <w:spacing w:beforeLines="50" w:afterLines="50" w:line="360" w:lineRule="auto"/>
        <w:jc w:val="center"/>
        <w:textAlignment w:val="auto"/>
        <w:rPr>
          <w:rFonts w:hint="eastAsia" w:ascii="宋体" w:hAnsi="宋体" w:eastAsia="宋体"/>
          <w:sz w:val="21"/>
          <w:szCs w:val="21"/>
          <w:highlight w:val="none"/>
        </w:rPr>
        <w:sectPr>
          <w:headerReference r:id="rId11" w:type="default"/>
          <w:footerReference r:id="rId12" w:type="default"/>
          <w:pgSz w:w="11906" w:h="16838"/>
          <w:pgMar w:top="1440" w:right="1080" w:bottom="1440" w:left="1080" w:header="454" w:footer="624" w:gutter="284"/>
          <w:pgNumType w:fmt="decimal"/>
          <w:cols w:space="720" w:num="1"/>
          <w:titlePg/>
          <w:docGrid w:linePitch="319"/>
        </w:sectPr>
      </w:pPr>
      <w:bookmarkStart w:id="391" w:name="_Toc3766"/>
    </w:p>
    <w:p>
      <w:pPr>
        <w:pStyle w:val="3"/>
        <w:keepNext/>
        <w:keepLines/>
        <w:widowControl w:val="0"/>
        <w:tabs>
          <w:tab w:val="left" w:pos="5580"/>
        </w:tabs>
        <w:wordWrap/>
        <w:adjustRightInd/>
        <w:snapToGrid/>
        <w:spacing w:beforeLines="5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391"/>
    </w:p>
    <w:p>
      <w:pPr>
        <w:spacing w:before="50" w:after="50" w:line="360" w:lineRule="auto"/>
        <w:jc w:val="center"/>
        <w:rPr>
          <w:rFonts w:hint="eastAsia"/>
          <w:highlight w:val="none"/>
        </w:rPr>
      </w:pPr>
      <w:r>
        <w:rPr>
          <w:rFonts w:hint="eastAsia"/>
          <w:highlight w:val="none"/>
        </w:rPr>
        <w:t>（详细方案根据项目具体情况自拟）</w:t>
      </w:r>
    </w:p>
    <w:p>
      <w:pPr>
        <w:pStyle w:val="2"/>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2"/>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titlePg/>
          <w:docGrid w:linePitch="319"/>
        </w:sectPr>
      </w:pPr>
      <w:r>
        <w:rPr>
          <w:rFonts w:hint="eastAsia" w:ascii="宋体" w:hAnsi="宋体" w:cs="宋体"/>
          <w:sz w:val="28"/>
          <w:szCs w:val="28"/>
          <w:highlight w:val="none"/>
          <w:lang w:eastAsia="zh-CN"/>
        </w:rPr>
        <w:tab/>
      </w:r>
    </w:p>
    <w:p>
      <w:pPr>
        <w:rPr>
          <w:rFonts w:hint="eastAsia"/>
          <w:highlight w:val="none"/>
          <w:lang w:eastAsia="zh-CN"/>
        </w:rPr>
      </w:pPr>
    </w:p>
    <w:p>
      <w:pPr>
        <w:pStyle w:val="3"/>
        <w:tabs>
          <w:tab w:val="left" w:pos="5580"/>
        </w:tabs>
        <w:spacing w:beforeLines="50" w:afterLines="50" w:line="360" w:lineRule="auto"/>
        <w:jc w:val="center"/>
        <w:rPr>
          <w:rFonts w:ascii="宋体" w:hAnsi="宋体" w:eastAsia="宋体"/>
          <w:sz w:val="21"/>
          <w:szCs w:val="21"/>
          <w:highlight w:val="none"/>
        </w:rPr>
      </w:pPr>
      <w:bookmarkStart w:id="392"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392"/>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titlePg/>
          <w:docGrid w:linePitch="319"/>
        </w:sectPr>
      </w:pPr>
    </w:p>
    <w:p>
      <w:pPr>
        <w:widowControl/>
        <w:wordWrap/>
        <w:adjustRightInd/>
        <w:snapToGrid/>
        <w:jc w:val="center"/>
        <w:textAlignment w:val="center"/>
        <w:outlineLvl w:val="1"/>
        <w:rPr>
          <w:rFonts w:hint="eastAsia" w:ascii="宋体" w:hAnsi="宋体" w:cs="宋体"/>
          <w:b/>
          <w:bCs/>
          <w:szCs w:val="21"/>
          <w:highlight w:val="none"/>
        </w:rPr>
      </w:pPr>
      <w:bookmarkStart w:id="393" w:name="_Toc10658"/>
      <w:r>
        <w:rPr>
          <w:rStyle w:val="208"/>
          <w:rFonts w:hint="eastAsia"/>
          <w:b/>
          <w:color w:val="auto"/>
          <w:sz w:val="21"/>
          <w:szCs w:val="21"/>
          <w:highlight w:val="none"/>
        </w:rPr>
        <w:t>附件</w:t>
      </w:r>
      <w:r>
        <w:rPr>
          <w:rStyle w:val="208"/>
          <w:rFonts w:hint="eastAsia" w:eastAsia="宋体"/>
          <w:b/>
          <w:color w:val="auto"/>
          <w:sz w:val="21"/>
          <w:szCs w:val="21"/>
          <w:highlight w:val="none"/>
          <w:lang w:val="en-US" w:eastAsia="zh-CN"/>
        </w:rPr>
        <w:t>10</w:t>
      </w:r>
      <w:r>
        <w:rPr>
          <w:rStyle w:val="208"/>
          <w:rFonts w:hint="eastAsia"/>
          <w:b/>
          <w:color w:val="auto"/>
          <w:sz w:val="21"/>
          <w:szCs w:val="21"/>
          <w:highlight w:val="none"/>
        </w:rPr>
        <w:t xml:space="preserve"> 不参与围标串标承诺书</w:t>
      </w:r>
      <w:bookmarkEnd w:id="393"/>
    </w:p>
    <w:p>
      <w:pPr>
        <w:pStyle w:val="103"/>
        <w:spacing w:after="120"/>
        <w:ind w:firstLine="422"/>
        <w:rPr>
          <w:rFonts w:hint="eastAsia" w:ascii="宋体" w:hAnsi="宋体" w:eastAsia="宋体"/>
          <w:b/>
          <w:bCs/>
          <w:kern w:val="0"/>
          <w:sz w:val="21"/>
          <w:szCs w:val="21"/>
          <w:highlight w:val="none"/>
          <w:lang w:val="en-US"/>
        </w:rPr>
      </w:pPr>
    </w:p>
    <w:p>
      <w:pPr>
        <w:widowControl/>
        <w:spacing w:line="360" w:lineRule="auto"/>
        <w:jc w:val="left"/>
        <w:textAlignment w:val="center"/>
        <w:rPr>
          <w:rFonts w:hint="eastAsia" w:ascii="宋体" w:hAnsi="宋体" w:eastAsia="宋体" w:cs="宋体"/>
          <w:kern w:val="0"/>
          <w:szCs w:val="21"/>
          <w:highlight w:val="none"/>
          <w:lang w:eastAsia="zh-CN"/>
        </w:rPr>
      </w:pPr>
      <w:r>
        <w:rPr>
          <w:rFonts w:hint="eastAsia" w:ascii="宋体" w:hAnsi="宋体" w:cs="宋体"/>
          <w:kern w:val="0"/>
          <w:szCs w:val="21"/>
          <w:highlight w:val="none"/>
        </w:rPr>
        <w:t xml:space="preserve">    本人作为经授权的投标人代表，清楚知晓我单位参与的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rPr>
      </w:pPr>
      <w:r>
        <w:rPr>
          <w:rFonts w:hint="eastAsia" w:ascii="宋体" w:hAnsi="宋体" w:cs="宋体"/>
          <w:kern w:val="0"/>
          <w:szCs w:val="21"/>
          <w:highlight w:val="none"/>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rPr>
      </w:pPr>
      <w:r>
        <w:rPr>
          <w:rFonts w:hint="eastAsia" w:ascii="宋体" w:hAnsi="宋体" w:cs="宋体"/>
          <w:kern w:val="0"/>
          <w:szCs w:val="21"/>
          <w:highlight w:val="none"/>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103"/>
        <w:spacing w:after="120"/>
        <w:ind w:firstLine="480"/>
        <w:rPr>
          <w:rFonts w:hint="eastAsia"/>
          <w:highlight w:val="none"/>
        </w:rPr>
      </w:pPr>
    </w:p>
    <w:p>
      <w:pPr>
        <w:pStyle w:val="103"/>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103"/>
        <w:spacing w:after="120"/>
        <w:ind w:firstLine="480"/>
        <w:rPr>
          <w:rFonts w:hint="eastAsia"/>
          <w:highlight w:val="none"/>
        </w:rPr>
        <w:sectPr>
          <w:pgSz w:w="11906" w:h="16838"/>
          <w:pgMar w:top="1440" w:right="1080" w:bottom="1440" w:left="1080" w:header="454" w:footer="624" w:gutter="284"/>
          <w:pgNumType w:fmt="decimal"/>
          <w:cols w:space="720" w:num="1"/>
          <w:titlePg/>
          <w:docGrid w:linePitch="319"/>
        </w:sectPr>
      </w:pPr>
    </w:p>
    <w:p>
      <w:pPr>
        <w:pStyle w:val="2"/>
        <w:keepNext/>
        <w:keepLines/>
        <w:widowControl w:val="0"/>
        <w:wordWrap/>
        <w:autoSpaceDE w:val="0"/>
        <w:autoSpaceDN w:val="0"/>
        <w:adjustRightInd w:val="0"/>
        <w:snapToGrid/>
        <w:spacing w:before="0" w:after="0" w:line="360" w:lineRule="auto"/>
        <w:jc w:val="center"/>
        <w:textAlignment w:val="auto"/>
        <w:rPr>
          <w:rFonts w:hint="eastAsia" w:ascii="宋体" w:hAnsi="宋体" w:cs="宋体"/>
          <w:sz w:val="28"/>
          <w:szCs w:val="28"/>
        </w:rPr>
      </w:pPr>
      <w:r>
        <w:rPr>
          <w:rFonts w:hint="eastAsia" w:ascii="宋体" w:hAnsi="宋体" w:cs="宋体"/>
          <w:sz w:val="28"/>
          <w:szCs w:val="28"/>
        </w:rPr>
        <w:t>第五章 评标方法和标准</w:t>
      </w:r>
      <w:bookmarkEnd w:id="315"/>
      <w:bookmarkEnd w:id="316"/>
      <w:bookmarkEnd w:id="317"/>
      <w:bookmarkEnd w:id="318"/>
      <w:bookmarkEnd w:id="319"/>
      <w:bookmarkEnd w:id="320"/>
    </w:p>
    <w:p>
      <w:pPr>
        <w:pStyle w:val="16"/>
        <w:spacing w:line="360" w:lineRule="auto"/>
        <w:ind w:firstLine="472" w:firstLineChars="225"/>
        <w:rPr>
          <w:rFonts w:hint="eastAsia" w:ascii="宋体" w:hAnsi="宋体" w:cs="宋体"/>
          <w:szCs w:val="21"/>
        </w:rPr>
      </w:pPr>
      <w:r>
        <w:rPr>
          <w:rFonts w:hint="eastAsia" w:ascii="宋体" w:hAnsi="宋体" w:cs="宋体"/>
          <w:szCs w:val="21"/>
        </w:rPr>
        <w:t>本项目将按照招标文件第一章投标人须知中“五 开标及评标”、“六 确定中标”及本章的规定评标。</w:t>
      </w:r>
    </w:p>
    <w:tbl>
      <w:tblPr>
        <w:tblW w:w="92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2"/>
        <w:gridCol w:w="2335"/>
        <w:gridCol w:w="4473"/>
        <w:gridCol w:w="1257"/>
      </w:tblGrid>
      <w:tr>
        <w:trPr>
          <w:trHeight w:val="744" w:hRule="atLeast"/>
        </w:trPr>
        <w:tc>
          <w:tcPr>
            <w:tcW w:w="9287" w:type="dxa"/>
            <w:gridSpan w:val="4"/>
            <w:tcBorders>
              <w:top w:val="single" w:color="000000" w:sz="4" w:space="0"/>
              <w:left w:val="single" w:color="000000" w:sz="4" w:space="0"/>
              <w:bottom w:val="single" w:color="000000" w:sz="4" w:space="0"/>
              <w:right w:val="nil"/>
            </w:tcBorders>
            <w:vAlign w:val="center"/>
          </w:tcPr>
          <w:p>
            <w:pPr>
              <w:widowControl/>
              <w:jc w:val="center"/>
              <w:textAlignment w:val="center"/>
              <w:rPr>
                <w:rFonts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国药集团扬州威克生物工程有限公司评分标准</w:t>
            </w:r>
          </w:p>
        </w:tc>
      </w:tr>
      <w:tr>
        <w:trPr>
          <w:trHeight w:val="744"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val="0"/>
                <w:iCs w:val="0"/>
                <w:color w:val="000000"/>
                <w:sz w:val="21"/>
                <w:szCs w:val="21"/>
                <w:u w:val="none"/>
              </w:rPr>
            </w:pPr>
          </w:p>
        </w:tc>
        <w:tc>
          <w:tcPr>
            <w:tcW w:w="23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评审内容</w:t>
            </w:r>
          </w:p>
        </w:tc>
        <w:tc>
          <w:tcPr>
            <w:tcW w:w="44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评审细则</w:t>
            </w:r>
          </w:p>
        </w:tc>
        <w:tc>
          <w:tcPr>
            <w:tcW w:w="12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分值</w:t>
            </w:r>
          </w:p>
        </w:tc>
      </w:tr>
      <w:tr>
        <w:trPr>
          <w:trHeight w:val="2100" w:hRule="atLeast"/>
        </w:trPr>
        <w:tc>
          <w:tcPr>
            <w:tcW w:w="122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技术部分</w:t>
            </w:r>
          </w:p>
        </w:tc>
        <w:tc>
          <w:tcPr>
            <w:tcW w:w="23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对招标文件技术规格要求以及现场交流需求满足的响应程度以及产品整体性能质量</w:t>
            </w:r>
          </w:p>
        </w:tc>
        <w:tc>
          <w:tcPr>
            <w:tcW w:w="44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全部符合招标文件技术要求得20分。优于技术指标酌情加分，最高得分25分。</w:t>
            </w:r>
            <w:r>
              <w:rPr>
                <w:rFonts w:hint="eastAsia" w:ascii="微软雅黑" w:hAnsi="微软雅黑" w:eastAsia="微软雅黑" w:cs="微软雅黑"/>
                <w:i w:val="0"/>
                <w:iCs w:val="0"/>
                <w:color w:val="000000"/>
                <w:kern w:val="0"/>
                <w:sz w:val="21"/>
                <w:szCs w:val="21"/>
                <w:u w:val="none"/>
                <w:lang w:val="en-US" w:eastAsia="zh-CN"/>
              </w:rPr>
              <w:br/>
            </w:r>
            <w:r>
              <w:rPr>
                <w:rFonts w:hint="eastAsia" w:ascii="微软雅黑" w:hAnsi="微软雅黑" w:eastAsia="微软雅黑" w:cs="微软雅黑"/>
                <w:i w:val="0"/>
                <w:iCs w:val="0"/>
                <w:color w:val="000000"/>
                <w:kern w:val="0"/>
                <w:sz w:val="21"/>
                <w:szCs w:val="21"/>
                <w:u w:val="none"/>
                <w:lang w:val="en-US" w:eastAsia="zh-CN"/>
              </w:rPr>
              <w:t>根据技术指标的重要性，一项一般技术指标不满足技术要求酌情扣1-5分。</w:t>
            </w:r>
          </w:p>
        </w:tc>
        <w:tc>
          <w:tcPr>
            <w:tcW w:w="12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25</w:t>
            </w:r>
          </w:p>
        </w:tc>
      </w:tr>
      <w:tr>
        <w:trPr>
          <w:trHeight w:val="1820" w:hRule="atLeast"/>
        </w:trPr>
        <w:tc>
          <w:tcPr>
            <w:tcW w:w="122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val="0"/>
                <w:iCs w:val="0"/>
                <w:color w:val="000000"/>
                <w:sz w:val="21"/>
                <w:szCs w:val="21"/>
                <w:u w:val="none"/>
              </w:rPr>
            </w:pPr>
          </w:p>
        </w:tc>
        <w:tc>
          <w:tcPr>
            <w:tcW w:w="23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项目实施计划及售后服务</w:t>
            </w:r>
          </w:p>
        </w:tc>
        <w:tc>
          <w:tcPr>
            <w:tcW w:w="44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投标人对于：</w:t>
            </w:r>
            <w:r>
              <w:rPr>
                <w:rFonts w:hint="eastAsia" w:ascii="微软雅黑" w:hAnsi="微软雅黑" w:eastAsia="微软雅黑" w:cs="微软雅黑"/>
                <w:i w:val="0"/>
                <w:iCs w:val="0"/>
                <w:color w:val="000000"/>
                <w:kern w:val="0"/>
                <w:sz w:val="21"/>
                <w:szCs w:val="21"/>
                <w:u w:val="none"/>
                <w:lang w:val="en-US" w:eastAsia="zh-CN"/>
              </w:rPr>
              <w:br/>
            </w:r>
            <w:r>
              <w:rPr>
                <w:rFonts w:hint="eastAsia" w:ascii="微软雅黑" w:hAnsi="微软雅黑" w:eastAsia="微软雅黑" w:cs="微软雅黑"/>
                <w:i w:val="0"/>
                <w:iCs w:val="0"/>
                <w:color w:val="000000"/>
                <w:kern w:val="0"/>
                <w:sz w:val="21"/>
                <w:szCs w:val="21"/>
                <w:u w:val="none"/>
                <w:lang w:val="en-US" w:eastAsia="zh-CN"/>
              </w:rPr>
              <w:t>1、自有实验室（5分）；</w:t>
            </w:r>
            <w:r>
              <w:rPr>
                <w:rFonts w:hint="eastAsia" w:ascii="微软雅黑" w:hAnsi="微软雅黑" w:eastAsia="微软雅黑" w:cs="微软雅黑"/>
                <w:i w:val="0"/>
                <w:iCs w:val="0"/>
                <w:color w:val="000000"/>
                <w:kern w:val="0"/>
                <w:sz w:val="21"/>
                <w:szCs w:val="21"/>
                <w:u w:val="none"/>
                <w:lang w:val="en-US" w:eastAsia="zh-CN"/>
              </w:rPr>
              <w:br/>
            </w:r>
            <w:r>
              <w:rPr>
                <w:rFonts w:hint="eastAsia" w:ascii="微软雅黑" w:hAnsi="微软雅黑" w:eastAsia="微软雅黑" w:cs="微软雅黑"/>
                <w:i w:val="0"/>
                <w:iCs w:val="0"/>
                <w:color w:val="000000"/>
                <w:kern w:val="0"/>
                <w:sz w:val="21"/>
                <w:szCs w:val="21"/>
                <w:u w:val="none"/>
                <w:lang w:val="en-US" w:eastAsia="zh-CN"/>
              </w:rPr>
              <w:t>2、检测人员资质（5分）；</w:t>
            </w:r>
            <w:r>
              <w:rPr>
                <w:rFonts w:hint="eastAsia" w:ascii="微软雅黑" w:hAnsi="微软雅黑" w:eastAsia="微软雅黑" w:cs="微软雅黑"/>
                <w:i w:val="0"/>
                <w:iCs w:val="0"/>
                <w:color w:val="000000"/>
                <w:kern w:val="0"/>
                <w:sz w:val="21"/>
                <w:szCs w:val="21"/>
                <w:u w:val="none"/>
                <w:lang w:val="en-US" w:eastAsia="zh-CN"/>
              </w:rPr>
              <w:br/>
            </w:r>
            <w:r>
              <w:rPr>
                <w:rFonts w:hint="eastAsia" w:ascii="微软雅黑" w:hAnsi="微软雅黑" w:eastAsia="微软雅黑" w:cs="微软雅黑"/>
                <w:i w:val="0"/>
                <w:iCs w:val="0"/>
                <w:color w:val="000000"/>
                <w:kern w:val="0"/>
                <w:sz w:val="21"/>
                <w:szCs w:val="21"/>
                <w:u w:val="none"/>
                <w:lang w:val="en-US" w:eastAsia="zh-CN"/>
              </w:rPr>
              <w:t>3、报告具有“CMA”标识（5分）。</w:t>
            </w:r>
          </w:p>
        </w:tc>
        <w:tc>
          <w:tcPr>
            <w:tcW w:w="12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15</w:t>
            </w:r>
          </w:p>
        </w:tc>
      </w:tr>
      <w:tr>
        <w:trPr>
          <w:trHeight w:val="1440" w:hRule="atLeast"/>
        </w:trPr>
        <w:tc>
          <w:tcPr>
            <w:tcW w:w="122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商务部分</w:t>
            </w:r>
          </w:p>
        </w:tc>
        <w:tc>
          <w:tcPr>
            <w:tcW w:w="23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投标商综合实力</w:t>
            </w:r>
          </w:p>
        </w:tc>
        <w:tc>
          <w:tcPr>
            <w:tcW w:w="44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生产商的品牌、市场占有率、供应链管理能力、服务诚信自述和质量信誉等综合实力。</w:t>
            </w:r>
            <w:r>
              <w:rPr>
                <w:rFonts w:hint="eastAsia" w:ascii="微软雅黑" w:hAnsi="微软雅黑" w:eastAsia="微软雅黑" w:cs="微软雅黑"/>
                <w:i w:val="0"/>
                <w:iCs w:val="0"/>
                <w:color w:val="000000"/>
                <w:kern w:val="0"/>
                <w:sz w:val="21"/>
                <w:szCs w:val="21"/>
                <w:u w:val="none"/>
                <w:lang w:val="en-US" w:eastAsia="zh-CN"/>
              </w:rPr>
              <w:br/>
            </w:r>
            <w:r>
              <w:rPr>
                <w:rFonts w:hint="eastAsia" w:ascii="微软雅黑" w:hAnsi="微软雅黑" w:eastAsia="微软雅黑" w:cs="微软雅黑"/>
                <w:i w:val="0"/>
                <w:iCs w:val="0"/>
                <w:color w:val="000000"/>
                <w:kern w:val="0"/>
                <w:sz w:val="21"/>
                <w:szCs w:val="21"/>
                <w:u w:val="none"/>
                <w:lang w:val="en-US" w:eastAsia="zh-CN"/>
              </w:rPr>
              <w:t>综合对比各投标人综合实力（5分）、以往业绩情况（每项业绩1分，总分5分）。</w:t>
            </w:r>
          </w:p>
        </w:tc>
        <w:tc>
          <w:tcPr>
            <w:tcW w:w="12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10</w:t>
            </w:r>
          </w:p>
        </w:tc>
      </w:tr>
      <w:tr>
        <w:trPr>
          <w:trHeight w:val="1940" w:hRule="atLeast"/>
        </w:trPr>
        <w:tc>
          <w:tcPr>
            <w:tcW w:w="122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val="0"/>
                <w:iCs w:val="0"/>
                <w:color w:val="000000"/>
                <w:sz w:val="21"/>
                <w:szCs w:val="21"/>
                <w:u w:val="none"/>
              </w:rPr>
            </w:pPr>
          </w:p>
        </w:tc>
        <w:tc>
          <w:tcPr>
            <w:tcW w:w="23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对招标文件的商务响应情况</w:t>
            </w:r>
          </w:p>
        </w:tc>
        <w:tc>
          <w:tcPr>
            <w:tcW w:w="44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招标文件相关要求响应情况，其中：</w:t>
            </w:r>
            <w:r>
              <w:rPr>
                <w:rFonts w:hint="eastAsia" w:ascii="微软雅黑" w:hAnsi="微软雅黑" w:eastAsia="微软雅黑" w:cs="微软雅黑"/>
                <w:i w:val="0"/>
                <w:iCs w:val="0"/>
                <w:color w:val="000000"/>
                <w:kern w:val="0"/>
                <w:sz w:val="21"/>
                <w:szCs w:val="21"/>
                <w:u w:val="none"/>
                <w:lang w:val="en-US" w:eastAsia="zh-CN"/>
              </w:rPr>
              <w:br/>
            </w:r>
            <w:r>
              <w:rPr>
                <w:rFonts w:hint="eastAsia" w:ascii="微软雅黑" w:hAnsi="微软雅黑" w:eastAsia="微软雅黑" w:cs="微软雅黑"/>
                <w:i w:val="0"/>
                <w:iCs w:val="0"/>
                <w:color w:val="000000"/>
                <w:kern w:val="0"/>
                <w:sz w:val="21"/>
                <w:szCs w:val="21"/>
                <w:u w:val="none"/>
                <w:lang w:val="en-US" w:eastAsia="zh-CN"/>
              </w:rPr>
              <w:t>1、标书制作（2分）；</w:t>
            </w:r>
            <w:r>
              <w:rPr>
                <w:rFonts w:hint="eastAsia" w:ascii="微软雅黑" w:hAnsi="微软雅黑" w:eastAsia="微软雅黑" w:cs="微软雅黑"/>
                <w:i w:val="0"/>
                <w:iCs w:val="0"/>
                <w:color w:val="000000"/>
                <w:kern w:val="0"/>
                <w:sz w:val="21"/>
                <w:szCs w:val="21"/>
                <w:u w:val="none"/>
                <w:lang w:val="en-US" w:eastAsia="zh-CN"/>
              </w:rPr>
              <w:br/>
            </w:r>
            <w:r>
              <w:rPr>
                <w:rFonts w:hint="eastAsia" w:ascii="微软雅黑" w:hAnsi="微软雅黑" w:eastAsia="微软雅黑" w:cs="微软雅黑"/>
                <w:i w:val="0"/>
                <w:iCs w:val="0"/>
                <w:color w:val="000000"/>
                <w:kern w:val="0"/>
                <w:sz w:val="21"/>
                <w:szCs w:val="21"/>
                <w:u w:val="none"/>
                <w:lang w:val="en-US" w:eastAsia="zh-CN"/>
              </w:rPr>
              <w:t>2、标书内容（2分）；</w:t>
            </w:r>
            <w:r>
              <w:rPr>
                <w:rFonts w:hint="eastAsia" w:ascii="微软雅黑" w:hAnsi="微软雅黑" w:eastAsia="微软雅黑" w:cs="微软雅黑"/>
                <w:i w:val="0"/>
                <w:iCs w:val="0"/>
                <w:color w:val="000000"/>
                <w:kern w:val="0"/>
                <w:sz w:val="21"/>
                <w:szCs w:val="21"/>
                <w:u w:val="none"/>
                <w:lang w:val="en-US" w:eastAsia="zh-CN"/>
              </w:rPr>
              <w:br/>
            </w:r>
            <w:r>
              <w:rPr>
                <w:rFonts w:hint="eastAsia" w:ascii="微软雅黑" w:hAnsi="微软雅黑" w:eastAsia="微软雅黑" w:cs="微软雅黑"/>
                <w:i w:val="0"/>
                <w:iCs w:val="0"/>
                <w:color w:val="000000"/>
                <w:kern w:val="0"/>
                <w:sz w:val="21"/>
                <w:szCs w:val="21"/>
                <w:u w:val="none"/>
                <w:lang w:val="en-US" w:eastAsia="zh-CN"/>
              </w:rPr>
              <w:t>3、单项报价说明文件（4分）；</w:t>
            </w:r>
            <w:r>
              <w:rPr>
                <w:rFonts w:hint="eastAsia" w:ascii="微软雅黑" w:hAnsi="微软雅黑" w:eastAsia="微软雅黑" w:cs="微软雅黑"/>
                <w:i w:val="0"/>
                <w:iCs w:val="0"/>
                <w:color w:val="000000"/>
                <w:kern w:val="0"/>
                <w:sz w:val="21"/>
                <w:szCs w:val="21"/>
                <w:u w:val="none"/>
                <w:lang w:val="en-US" w:eastAsia="zh-CN"/>
              </w:rPr>
              <w:br/>
            </w:r>
            <w:r>
              <w:rPr>
                <w:rFonts w:hint="eastAsia" w:ascii="微软雅黑" w:hAnsi="微软雅黑" w:eastAsia="微软雅黑" w:cs="微软雅黑"/>
                <w:i w:val="0"/>
                <w:iCs w:val="0"/>
                <w:color w:val="000000"/>
                <w:kern w:val="0"/>
                <w:sz w:val="21"/>
                <w:szCs w:val="21"/>
                <w:u w:val="none"/>
                <w:lang w:val="en-US" w:eastAsia="zh-CN"/>
              </w:rPr>
              <w:t>4、投标商务响应（2分）。</w:t>
            </w:r>
          </w:p>
        </w:tc>
        <w:tc>
          <w:tcPr>
            <w:tcW w:w="12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10</w:t>
            </w:r>
          </w:p>
        </w:tc>
      </w:tr>
      <w:tr>
        <w:trPr>
          <w:trHeight w:val="690"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价格得分</w:t>
            </w:r>
          </w:p>
        </w:tc>
        <w:tc>
          <w:tcPr>
            <w:tcW w:w="23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按照公司招标管理办法执行</w:t>
            </w:r>
          </w:p>
        </w:tc>
        <w:tc>
          <w:tcPr>
            <w:tcW w:w="44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i w:val="0"/>
                <w:iCs w:val="0"/>
                <w:color w:val="000000"/>
                <w:kern w:val="0"/>
                <w:sz w:val="21"/>
                <w:szCs w:val="21"/>
                <w:highlight w:val="none"/>
                <w:u w:val="none"/>
                <w:lang w:val="en-US" w:eastAsia="zh-CN"/>
              </w:rPr>
            </w:pPr>
            <w:r>
              <w:rPr>
                <w:rFonts w:hint="eastAsia" w:ascii="微软雅黑" w:hAnsi="微软雅黑" w:eastAsia="微软雅黑" w:cs="微软雅黑"/>
                <w:i w:val="0"/>
                <w:iCs w:val="0"/>
                <w:color w:val="000000"/>
                <w:kern w:val="0"/>
                <w:sz w:val="21"/>
                <w:szCs w:val="21"/>
                <w:highlight w:val="none"/>
                <w:u w:val="none"/>
                <w:lang w:val="en-US" w:eastAsia="zh-CN"/>
              </w:rPr>
              <w:t>1.基准价的确定。</w:t>
            </w:r>
          </w:p>
          <w:p>
            <w:pPr>
              <w:widowControl/>
              <w:jc w:val="left"/>
              <w:textAlignment w:val="center"/>
              <w:rPr>
                <w:rFonts w:hint="eastAsia" w:ascii="微软雅黑" w:hAnsi="微软雅黑" w:eastAsia="微软雅黑" w:cs="微软雅黑"/>
                <w:i w:val="0"/>
                <w:iCs w:val="0"/>
                <w:color w:val="000000"/>
                <w:kern w:val="0"/>
                <w:sz w:val="21"/>
                <w:szCs w:val="21"/>
                <w:highlight w:val="none"/>
                <w:u w:val="none"/>
                <w:lang w:val="en-US" w:eastAsia="zh-CN"/>
              </w:rPr>
            </w:pPr>
            <w:r>
              <w:rPr>
                <w:rFonts w:hint="eastAsia" w:ascii="微软雅黑" w:hAnsi="微软雅黑" w:eastAsia="微软雅黑" w:cs="微软雅黑"/>
                <w:i w:val="0"/>
                <w:iCs w:val="0"/>
                <w:color w:val="000000"/>
                <w:kern w:val="0"/>
                <w:sz w:val="21"/>
                <w:szCs w:val="21"/>
                <w:highlight w:val="none"/>
                <w:u w:val="none"/>
                <w:lang w:val="en-US" w:eastAsia="zh-CN"/>
              </w:rPr>
              <w:t>实质性响应招标文件要求且价格最低的投标报价为评标基准价。</w:t>
            </w:r>
          </w:p>
          <w:p>
            <w:pPr>
              <w:widowControl/>
              <w:jc w:val="left"/>
              <w:textAlignment w:val="center"/>
              <w:rPr>
                <w:rFonts w:hint="eastAsia" w:ascii="微软雅黑" w:hAnsi="微软雅黑" w:eastAsia="微软雅黑" w:cs="微软雅黑"/>
                <w:i w:val="0"/>
                <w:iCs w:val="0"/>
                <w:color w:val="000000"/>
                <w:kern w:val="0"/>
                <w:sz w:val="21"/>
                <w:szCs w:val="21"/>
                <w:highlight w:val="none"/>
                <w:u w:val="none"/>
                <w:lang w:val="en-US" w:eastAsia="zh-CN"/>
              </w:rPr>
            </w:pPr>
            <w:r>
              <w:rPr>
                <w:rFonts w:hint="eastAsia" w:ascii="微软雅黑" w:hAnsi="微软雅黑" w:eastAsia="微软雅黑" w:cs="微软雅黑"/>
                <w:i w:val="0"/>
                <w:iCs w:val="0"/>
                <w:color w:val="000000"/>
                <w:kern w:val="0"/>
                <w:sz w:val="21"/>
                <w:szCs w:val="21"/>
                <w:highlight w:val="none"/>
                <w:u w:val="none"/>
                <w:lang w:val="en-US" w:eastAsia="zh-CN"/>
              </w:rPr>
              <w:t>2.评标价格得分计算。</w:t>
            </w:r>
          </w:p>
          <w:p>
            <w:pPr>
              <w:widowControl/>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0%）×100</w:t>
            </w:r>
          </w:p>
          <w:p>
            <w:pPr>
              <w:widowControl/>
              <w:jc w:val="left"/>
              <w:textAlignment w:val="center"/>
              <w:rPr>
                <w:rFonts w:hint="eastAsia" w:ascii="微软雅黑" w:hAnsi="微软雅黑" w:eastAsia="微软雅黑" w:cs="微软雅黑"/>
                <w:i w:val="0"/>
                <w:iCs w:val="0"/>
                <w:color w:val="000000"/>
                <w:sz w:val="21"/>
                <w:szCs w:val="21"/>
                <w:u w:val="none"/>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0分。</w:t>
            </w:r>
          </w:p>
        </w:tc>
        <w:tc>
          <w:tcPr>
            <w:tcW w:w="12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40</w:t>
            </w:r>
          </w:p>
        </w:tc>
      </w:tr>
      <w:tr>
        <w:trPr>
          <w:trHeight w:val="684"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合计</w:t>
            </w:r>
          </w:p>
        </w:tc>
        <w:tc>
          <w:tcPr>
            <w:tcW w:w="2335" w:type="dxa"/>
            <w:tcBorders>
              <w:top w:val="single" w:color="000000" w:sz="4" w:space="0"/>
              <w:left w:val="single" w:color="000000" w:sz="4" w:space="0"/>
              <w:bottom w:val="single" w:color="000000" w:sz="4" w:space="0"/>
              <w:right w:val="single" w:color="000000" w:sz="4" w:space="0"/>
            </w:tcBorders>
            <w:vAlign w:val="bottom"/>
          </w:tcPr>
          <w:p>
            <w:pPr>
              <w:rPr>
                <w:rFonts w:hint="eastAsia" w:ascii="等线" w:hAnsi="等线" w:eastAsia="等线" w:cs="等线"/>
                <w:i w:val="0"/>
                <w:iCs w:val="0"/>
                <w:color w:val="000000"/>
                <w:sz w:val="21"/>
                <w:szCs w:val="21"/>
                <w:u w:val="none"/>
              </w:rPr>
            </w:pPr>
          </w:p>
        </w:tc>
        <w:tc>
          <w:tcPr>
            <w:tcW w:w="4473" w:type="dxa"/>
            <w:tcBorders>
              <w:top w:val="single" w:color="000000" w:sz="4" w:space="0"/>
              <w:left w:val="single" w:color="000000" w:sz="4" w:space="0"/>
              <w:bottom w:val="single" w:color="000000" w:sz="4" w:space="0"/>
              <w:right w:val="single" w:color="000000" w:sz="4" w:space="0"/>
            </w:tcBorders>
            <w:vAlign w:val="bottom"/>
          </w:tcPr>
          <w:p>
            <w:pPr>
              <w:rPr>
                <w:rFonts w:hint="eastAsia" w:ascii="等线" w:hAnsi="等线" w:eastAsia="等线" w:cs="等线"/>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rPr>
              <w:t>100</w:t>
            </w:r>
          </w:p>
        </w:tc>
      </w:tr>
    </w:tbl>
    <w:p>
      <w:pPr>
        <w:widowControl/>
        <w:jc w:val="center"/>
        <w:rPr>
          <w:rFonts w:hint="eastAsia" w:ascii="宋体" w:hAnsi="宋体" w:cs="宋体"/>
          <w:b/>
          <w:bCs/>
          <w:sz w:val="28"/>
          <w:szCs w:val="28"/>
        </w:rPr>
      </w:pPr>
      <w:bookmarkStart w:id="394" w:name="_Toc24902"/>
      <w:bookmarkStart w:id="395" w:name="_Toc109736076"/>
    </w:p>
    <w:p>
      <w:pPr>
        <w:widowControl/>
        <w:jc w:val="center"/>
        <w:rPr>
          <w:rFonts w:hint="eastAsia" w:ascii="Times New Roman" w:hAnsi="Times New Roman" w:eastAsia="宋体" w:cs="Times New Roman"/>
          <w:b/>
          <w:kern w:val="0"/>
          <w:sz w:val="32"/>
          <w:szCs w:val="32"/>
        </w:rPr>
      </w:pPr>
      <w:r>
        <w:rPr>
          <w:rFonts w:hint="eastAsia" w:ascii="宋体" w:hAnsi="宋体" w:cs="宋体"/>
          <w:b/>
          <w:bCs/>
          <w:sz w:val="28"/>
          <w:szCs w:val="28"/>
        </w:rPr>
        <w:t>第六章  货物技术要求</w:t>
      </w:r>
      <w:bookmarkEnd w:id="394"/>
      <w:bookmarkEnd w:id="395"/>
      <w:bookmarkStart w:id="396" w:name="_Toc512327974"/>
      <w:bookmarkStart w:id="397" w:name="_Toc61418267"/>
      <w:bookmarkStart w:id="398" w:name="_Toc188181412"/>
    </w:p>
    <w:bookmarkEnd w:id="396"/>
    <w:bookmarkEnd w:id="397"/>
    <w:bookmarkEnd w:id="398"/>
    <w:p/>
    <w:p>
      <w:pPr>
        <w:ind w:firstLine="210" w:firstLineChars="100"/>
      </w:pPr>
      <w:r>
        <w:rPr>
          <w:rFonts w:hint="eastAsia"/>
        </w:rPr>
        <w:t>01.</w:t>
      </w:r>
      <w:r>
        <w:t xml:space="preserve"> </w:t>
      </w:r>
      <w:r>
        <w:rPr>
          <w:rFonts w:hint="eastAsia"/>
          <w:lang w:val="en-US" w:eastAsia="zh-CN"/>
        </w:rPr>
        <w:t>总体</w:t>
      </w:r>
      <w:r>
        <w:rPr>
          <w:rFonts w:hint="eastAsia"/>
        </w:rPr>
        <w:t>要求</w:t>
      </w:r>
    </w:p>
    <w:tbl>
      <w:tblPr>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5670"/>
        <w:gridCol w:w="1276"/>
      </w:tblGrid>
      <w:tr>
        <w:tc>
          <w:tcPr>
            <w:tcW w:w="8080" w:type="dxa"/>
            <w:gridSpan w:val="3"/>
            <w:tcBorders>
              <w:top w:val="nil"/>
              <w:left w:val="nil"/>
              <w:bottom w:val="single" w:color="auto" w:sz="4" w:space="0"/>
              <w:right w:val="nil"/>
            </w:tcBorders>
            <w:vAlign w:val="top"/>
          </w:tcPr>
          <w:p>
            <w:pPr>
              <w:jc w:val="left"/>
            </w:pPr>
            <w:r>
              <w:rPr>
                <w:rFonts w:hint="eastAsia"/>
              </w:rPr>
              <w:t>01.</w:t>
            </w:r>
            <w:r>
              <w:t xml:space="preserve"> URS</w:t>
            </w:r>
            <w:r>
              <w:rPr>
                <w:rFonts w:hint="eastAsia"/>
              </w:rPr>
              <w:t xml:space="preserve">01 </w:t>
            </w:r>
            <w:r>
              <w:rPr>
                <w:rFonts w:hint="eastAsia"/>
                <w:lang w:val="en-US" w:eastAsia="zh-CN"/>
              </w:rPr>
              <w:t>投标</w:t>
            </w:r>
            <w:r>
              <w:rPr>
                <w:rFonts w:hint="eastAsia"/>
              </w:rPr>
              <w:t>要求</w:t>
            </w:r>
          </w:p>
        </w:tc>
      </w:tr>
      <w:tr>
        <w:tc>
          <w:tcPr>
            <w:tcW w:w="1134" w:type="dxa"/>
            <w:tcBorders>
              <w:top w:val="single" w:color="auto" w:sz="4" w:space="0"/>
            </w:tcBorders>
            <w:shd w:val="clear" w:color="auto" w:fill="7E7E7E"/>
            <w:vAlign w:val="top"/>
          </w:tcPr>
          <w:p>
            <w:r>
              <w:rPr>
                <w:rFonts w:hint="eastAsia"/>
              </w:rPr>
              <w:t>需求编号</w:t>
            </w:r>
          </w:p>
        </w:tc>
        <w:tc>
          <w:tcPr>
            <w:tcW w:w="5670" w:type="dxa"/>
            <w:tcBorders>
              <w:top w:val="single" w:color="auto" w:sz="4" w:space="0"/>
            </w:tcBorders>
            <w:shd w:val="clear" w:color="auto" w:fill="7E7E7E"/>
            <w:vAlign w:val="top"/>
          </w:tcPr>
          <w:p>
            <w:pPr>
              <w:jc w:val="center"/>
            </w:pPr>
            <w:r>
              <w:t>需求说明</w:t>
            </w:r>
          </w:p>
        </w:tc>
        <w:tc>
          <w:tcPr>
            <w:tcW w:w="1276" w:type="dxa"/>
            <w:tcBorders>
              <w:top w:val="single" w:color="auto" w:sz="4" w:space="0"/>
            </w:tcBorders>
            <w:shd w:val="clear" w:color="auto" w:fill="7E7E7E"/>
            <w:vAlign w:val="top"/>
          </w:tcPr>
          <w:p>
            <w:r>
              <w:t>必须</w:t>
            </w:r>
            <w:r>
              <w:rPr>
                <w:rFonts w:hint="eastAsia"/>
              </w:rPr>
              <w:t>/期望</w:t>
            </w:r>
          </w:p>
        </w:tc>
      </w:tr>
      <w:tr>
        <w:tc>
          <w:tcPr>
            <w:tcW w:w="1134" w:type="dxa"/>
            <w:vAlign w:val="top"/>
          </w:tcPr>
          <w:p>
            <w:pPr>
              <w:jc w:val="center"/>
            </w:pPr>
            <w:r>
              <w:t>URS</w:t>
            </w:r>
            <w:r>
              <w:rPr>
                <w:rFonts w:hint="eastAsia"/>
              </w:rPr>
              <w:t>01-01</w:t>
            </w:r>
          </w:p>
        </w:tc>
        <w:tc>
          <w:tcPr>
            <w:tcW w:w="5670" w:type="dxa"/>
            <w:vAlign w:val="top"/>
          </w:tcPr>
          <w:p>
            <w:pPr>
              <w:rPr>
                <w:rFonts w:hint="eastAsia" w:ascii="Arial" w:hAnsi="Arial" w:cs="Arial"/>
                <w:color w:val="333333"/>
                <w:szCs w:val="21"/>
                <w:shd w:val="clear" w:color="auto" w:fill="FFFFFF"/>
                <w:lang w:val="en-US" w:eastAsia="zh-CN"/>
              </w:rPr>
            </w:pPr>
            <w:r>
              <w:rPr>
                <w:rFonts w:hint="eastAsia"/>
                <w:lang w:val="en-US" w:eastAsia="zh-CN"/>
              </w:rPr>
              <w:t>合同中环保检测报告期限为2025年9月-2026年12月</w:t>
            </w:r>
          </w:p>
        </w:tc>
        <w:tc>
          <w:tcPr>
            <w:tcW w:w="1276" w:type="dxa"/>
            <w:vAlign w:val="top"/>
          </w:tcPr>
          <w:p>
            <w:pPr>
              <w:jc w:val="center"/>
            </w:pPr>
            <w:r>
              <w:t>必须</w:t>
            </w:r>
          </w:p>
        </w:tc>
      </w:tr>
      <w:tr>
        <w:tc>
          <w:tcPr>
            <w:tcW w:w="1134" w:type="dxa"/>
            <w:vAlign w:val="top"/>
          </w:tcPr>
          <w:p>
            <w:pPr>
              <w:jc w:val="center"/>
            </w:pPr>
            <w:r>
              <w:t>URS</w:t>
            </w:r>
            <w:r>
              <w:rPr>
                <w:rFonts w:hint="eastAsia"/>
              </w:rPr>
              <w:t>01-0</w:t>
            </w:r>
            <w:r>
              <w:rPr>
                <w:rFonts w:hint="eastAsia"/>
                <w:lang w:val="en-US" w:eastAsia="zh-CN"/>
              </w:rPr>
              <w:t>2</w:t>
            </w:r>
          </w:p>
        </w:tc>
        <w:tc>
          <w:tcPr>
            <w:tcW w:w="5670" w:type="dxa"/>
            <w:vAlign w:val="top"/>
          </w:tcPr>
          <w:p>
            <w:pPr>
              <w:rPr>
                <w:rFonts w:ascii="宋体" w:hAnsi="宋体"/>
                <w:szCs w:val="21"/>
              </w:rPr>
            </w:pPr>
            <w:r>
              <w:rPr>
                <w:rFonts w:hint="eastAsia" w:ascii="Arial" w:hAnsi="Arial" w:cs="Arial"/>
                <w:color w:val="333333"/>
                <w:szCs w:val="21"/>
                <w:shd w:val="clear" w:color="auto" w:fill="FFFFFF"/>
                <w:lang w:val="en-US" w:eastAsia="zh-CN"/>
              </w:rPr>
              <w:t>检测内容和频次符合《自行检测方案》和《排污许可证》的规定要求</w:t>
            </w:r>
            <w:r>
              <w:rPr>
                <w:rFonts w:ascii="Arial" w:hAnsi="Arial" w:cs="Arial"/>
                <w:color w:val="333333"/>
                <w:szCs w:val="21"/>
                <w:shd w:val="clear" w:color="auto" w:fill="FFFFFF"/>
              </w:rPr>
              <w:t>。</w:t>
            </w:r>
          </w:p>
        </w:tc>
        <w:tc>
          <w:tcPr>
            <w:tcW w:w="1276" w:type="dxa"/>
            <w:vAlign w:val="top"/>
          </w:tcPr>
          <w:p>
            <w:pPr>
              <w:jc w:val="center"/>
            </w:pPr>
            <w:r>
              <w:t>必须</w:t>
            </w:r>
          </w:p>
        </w:tc>
      </w:tr>
      <w:tr>
        <w:tc>
          <w:tcPr>
            <w:tcW w:w="1134" w:type="dxa"/>
            <w:vAlign w:val="top"/>
          </w:tcPr>
          <w:p>
            <w:pPr>
              <w:jc w:val="center"/>
            </w:pPr>
            <w:r>
              <w:t>URS</w:t>
            </w:r>
            <w:r>
              <w:rPr>
                <w:rFonts w:hint="eastAsia"/>
              </w:rPr>
              <w:t>01-0</w:t>
            </w:r>
            <w:r>
              <w:rPr>
                <w:rFonts w:hint="eastAsia"/>
                <w:lang w:val="en-US" w:eastAsia="zh-CN"/>
              </w:rPr>
              <w:t>3</w:t>
            </w:r>
          </w:p>
        </w:tc>
        <w:tc>
          <w:tcPr>
            <w:tcW w:w="5670" w:type="dxa"/>
            <w:vAlign w:val="top"/>
          </w:tcPr>
          <w:p>
            <w:pPr>
              <w:rPr>
                <w:rFonts w:ascii="宋体" w:hAnsi="宋体"/>
                <w:szCs w:val="21"/>
              </w:rPr>
            </w:pPr>
            <w:r>
              <w:rPr>
                <w:rFonts w:hint="eastAsia"/>
                <w:lang w:val="en-US" w:eastAsia="zh-CN"/>
              </w:rPr>
              <w:t>投标方有检测实验室，除急性毒性和总有机碳外不可外包检测</w:t>
            </w:r>
            <w:r>
              <w:rPr>
                <w:rFonts w:ascii="Arial" w:hAnsi="Arial" w:cs="Arial"/>
                <w:color w:val="333333"/>
                <w:szCs w:val="21"/>
                <w:shd w:val="clear" w:color="auto" w:fill="FFFFFF"/>
              </w:rPr>
              <w:t>。</w:t>
            </w:r>
          </w:p>
        </w:tc>
        <w:tc>
          <w:tcPr>
            <w:tcW w:w="1276" w:type="dxa"/>
            <w:vAlign w:val="top"/>
          </w:tcPr>
          <w:p>
            <w:pPr>
              <w:jc w:val="center"/>
            </w:pPr>
            <w:r>
              <w:t>必须</w:t>
            </w:r>
          </w:p>
        </w:tc>
      </w:tr>
      <w:tr>
        <w:tc>
          <w:tcPr>
            <w:tcW w:w="1134" w:type="dxa"/>
            <w:vAlign w:val="top"/>
          </w:tcPr>
          <w:p>
            <w:pPr>
              <w:jc w:val="center"/>
            </w:pPr>
            <w:r>
              <w:t>URS</w:t>
            </w:r>
            <w:r>
              <w:rPr>
                <w:rFonts w:hint="eastAsia"/>
              </w:rPr>
              <w:t>01-0</w:t>
            </w:r>
            <w:r>
              <w:rPr>
                <w:rFonts w:hint="eastAsia"/>
                <w:lang w:val="en-US" w:eastAsia="zh-CN"/>
              </w:rPr>
              <w:t>4</w:t>
            </w:r>
          </w:p>
        </w:tc>
        <w:tc>
          <w:tcPr>
            <w:tcW w:w="5670" w:type="dxa"/>
            <w:vAlign w:val="top"/>
          </w:tcPr>
          <w:p>
            <w:pPr>
              <w:widowControl/>
              <w:shd w:val="clear" w:color="auto" w:fill="FFFFFF"/>
              <w:spacing w:before="100" w:beforeAutospacing="1" w:after="100" w:afterAutospacing="1"/>
              <w:jc w:val="left"/>
              <w:rPr>
                <w:rFonts w:ascii="Arial" w:hAnsi="Arial" w:eastAsia="宋体" w:cs="Arial"/>
                <w:color w:val="333333"/>
                <w:kern w:val="0"/>
                <w:szCs w:val="21"/>
              </w:rPr>
            </w:pPr>
            <w:r>
              <w:rPr>
                <w:rFonts w:hint="eastAsia"/>
                <w:lang w:val="en-US" w:eastAsia="zh-CN"/>
              </w:rPr>
              <w:t>投标方需出具检测资质证明文件，检测报告有“CMA”标识并被属地主管部门认可</w:t>
            </w:r>
            <w:r>
              <w:rPr>
                <w:rFonts w:ascii="Arial" w:hAnsi="Arial" w:eastAsia="宋体" w:cs="Arial"/>
                <w:color w:val="333333"/>
                <w:kern w:val="0"/>
                <w:szCs w:val="21"/>
              </w:rPr>
              <w:t>。</w:t>
            </w:r>
          </w:p>
        </w:tc>
        <w:tc>
          <w:tcPr>
            <w:tcW w:w="1276" w:type="dxa"/>
            <w:vAlign w:val="top"/>
          </w:tcPr>
          <w:p>
            <w:pPr>
              <w:jc w:val="center"/>
            </w:pPr>
            <w:r>
              <w:t>必须</w:t>
            </w:r>
          </w:p>
        </w:tc>
      </w:tr>
      <w:tr>
        <w:tc>
          <w:tcPr>
            <w:tcW w:w="1134" w:type="dxa"/>
            <w:vAlign w:val="top"/>
          </w:tcPr>
          <w:p>
            <w:pPr>
              <w:jc w:val="center"/>
            </w:pPr>
            <w:r>
              <w:t>URS</w:t>
            </w:r>
            <w:r>
              <w:rPr>
                <w:rFonts w:hint="eastAsia"/>
              </w:rPr>
              <w:t>01-0</w:t>
            </w:r>
            <w:r>
              <w:rPr>
                <w:rFonts w:hint="eastAsia"/>
                <w:lang w:val="en-US" w:eastAsia="zh-CN"/>
              </w:rPr>
              <w:t>5</w:t>
            </w:r>
          </w:p>
        </w:tc>
        <w:tc>
          <w:tcPr>
            <w:tcW w:w="5670" w:type="dxa"/>
            <w:vAlign w:val="top"/>
          </w:tcPr>
          <w:p>
            <w:pPr>
              <w:rPr>
                <w:rFonts w:ascii="宋体" w:hAnsi="宋体"/>
                <w:szCs w:val="21"/>
              </w:rPr>
            </w:pPr>
            <w:r>
              <w:rPr>
                <w:rFonts w:hint="eastAsia"/>
                <w:lang w:val="en-US" w:eastAsia="zh-CN"/>
              </w:rPr>
              <w:t>检测项检测结果超标时，该项目在检测期内免费2次复测</w:t>
            </w:r>
            <w:r>
              <w:rPr>
                <w:rFonts w:ascii="Arial" w:hAnsi="Arial" w:cs="Arial"/>
                <w:color w:val="333333"/>
                <w:szCs w:val="21"/>
                <w:shd w:val="clear" w:color="auto" w:fill="FFFFFF"/>
              </w:rPr>
              <w:t>。</w:t>
            </w:r>
          </w:p>
        </w:tc>
        <w:tc>
          <w:tcPr>
            <w:tcW w:w="1276" w:type="dxa"/>
            <w:vAlign w:val="top"/>
          </w:tcPr>
          <w:p>
            <w:pPr>
              <w:jc w:val="center"/>
            </w:pPr>
            <w:r>
              <w:t>必须</w:t>
            </w:r>
          </w:p>
        </w:tc>
      </w:tr>
      <w:tr>
        <w:trPr>
          <w:trHeight w:val="247" w:hRule="atLeast"/>
        </w:trPr>
        <w:tc>
          <w:tcPr>
            <w:tcW w:w="1134" w:type="dxa"/>
            <w:vAlign w:val="top"/>
          </w:tcPr>
          <w:p>
            <w:pPr>
              <w:jc w:val="center"/>
            </w:pPr>
            <w:r>
              <w:t>URS</w:t>
            </w:r>
            <w:r>
              <w:rPr>
                <w:rFonts w:hint="eastAsia"/>
              </w:rPr>
              <w:t>01-0</w:t>
            </w:r>
            <w:r>
              <w:rPr>
                <w:rFonts w:hint="eastAsia"/>
                <w:lang w:val="en-US" w:eastAsia="zh-CN"/>
              </w:rPr>
              <w:t>6</w:t>
            </w:r>
          </w:p>
        </w:tc>
        <w:tc>
          <w:tcPr>
            <w:tcW w:w="5670" w:type="dxa"/>
            <w:vAlign w:val="top"/>
          </w:tcPr>
          <w:p>
            <w:pPr>
              <w:rPr>
                <w:rFonts w:ascii="宋体" w:hAnsi="宋体"/>
                <w:szCs w:val="21"/>
              </w:rPr>
            </w:pPr>
            <w:r>
              <w:rPr>
                <w:rFonts w:hint="eastAsia" w:ascii="Arial" w:hAnsi="Arial" w:cs="Arial"/>
                <w:color w:val="333333"/>
                <w:szCs w:val="21"/>
                <w:shd w:val="clear" w:color="auto" w:fill="FFFFFF"/>
                <w:lang w:val="en-US" w:eastAsia="zh-CN"/>
              </w:rPr>
              <w:t>检测人员和实验室具有相应检测能力</w:t>
            </w:r>
            <w:r>
              <w:rPr>
                <w:rFonts w:ascii="Arial" w:hAnsi="Arial" w:cs="Arial"/>
                <w:color w:val="333333"/>
                <w:szCs w:val="21"/>
                <w:shd w:val="clear" w:color="auto" w:fill="FFFFFF"/>
              </w:rPr>
              <w:t>。</w:t>
            </w:r>
          </w:p>
        </w:tc>
        <w:tc>
          <w:tcPr>
            <w:tcW w:w="1276" w:type="dxa"/>
            <w:vAlign w:val="top"/>
          </w:tcPr>
          <w:p>
            <w:pPr>
              <w:jc w:val="center"/>
            </w:pPr>
            <w:r>
              <w:t>必须</w:t>
            </w:r>
          </w:p>
        </w:tc>
      </w:tr>
      <w:tr>
        <w:tc>
          <w:tcPr>
            <w:tcW w:w="1134" w:type="dxa"/>
            <w:vAlign w:val="top"/>
          </w:tcPr>
          <w:p>
            <w:pPr>
              <w:jc w:val="center"/>
            </w:pPr>
            <w:r>
              <w:t>URS</w:t>
            </w:r>
            <w:r>
              <w:rPr>
                <w:rFonts w:hint="eastAsia"/>
              </w:rPr>
              <w:t>01-0</w:t>
            </w:r>
            <w:r>
              <w:rPr>
                <w:rFonts w:hint="eastAsia"/>
                <w:lang w:val="en-US" w:eastAsia="zh-CN"/>
              </w:rPr>
              <w:t>7</w:t>
            </w:r>
          </w:p>
        </w:tc>
        <w:tc>
          <w:tcPr>
            <w:tcW w:w="5670" w:type="dxa"/>
            <w:vAlign w:val="top"/>
          </w:tcPr>
          <w:p>
            <w:pPr>
              <w:rPr>
                <w:rFonts w:ascii="宋体" w:hAnsi="宋体"/>
                <w:szCs w:val="21"/>
              </w:rPr>
            </w:pPr>
            <w:r>
              <w:rPr>
                <w:rFonts w:hint="eastAsia"/>
                <w:lang w:val="en-US" w:eastAsia="zh-CN"/>
              </w:rPr>
              <w:t>有属地主管部门第三方检测资格的单位优先</w:t>
            </w:r>
            <w:r>
              <w:rPr>
                <w:rFonts w:ascii="Arial" w:hAnsi="Arial" w:cs="Arial"/>
                <w:color w:val="333333"/>
                <w:szCs w:val="21"/>
                <w:shd w:val="clear" w:color="auto" w:fill="FFFFFF"/>
              </w:rPr>
              <w:t>。</w:t>
            </w:r>
          </w:p>
        </w:tc>
        <w:tc>
          <w:tcPr>
            <w:tcW w:w="1276" w:type="dxa"/>
            <w:vAlign w:val="top"/>
          </w:tcPr>
          <w:p>
            <w:pPr>
              <w:jc w:val="center"/>
            </w:pPr>
          </w:p>
        </w:tc>
      </w:tr>
    </w:tbl>
    <w:p>
      <w:pPr>
        <w:ind w:firstLine="210" w:firstLineChars="100"/>
        <w:rPr>
          <w:rFonts w:hint="eastAsia"/>
        </w:rPr>
      </w:pPr>
    </w:p>
    <w:p>
      <w:pPr>
        <w:ind w:firstLine="210" w:firstLineChars="100"/>
      </w:pPr>
      <w:r>
        <w:rPr>
          <w:rFonts w:hint="eastAsia"/>
        </w:rPr>
        <w:t>02.</w:t>
      </w:r>
      <w:r>
        <w:t xml:space="preserve"> URS</w:t>
      </w:r>
      <w:r>
        <w:rPr>
          <w:rFonts w:hint="eastAsia"/>
        </w:rPr>
        <w:t xml:space="preserve">02 </w:t>
      </w:r>
      <w:r>
        <w:rPr>
          <w:rFonts w:hint="eastAsia"/>
          <w:lang w:val="en-US" w:eastAsia="zh-CN"/>
        </w:rPr>
        <w:t>检测频次要求</w:t>
      </w:r>
    </w:p>
    <w:tbl>
      <w:tblPr>
        <w:tblW w:w="82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145"/>
        <w:gridCol w:w="1145"/>
        <w:gridCol w:w="2506"/>
        <w:gridCol w:w="1650"/>
        <w:gridCol w:w="600"/>
        <w:gridCol w:w="1185"/>
      </w:tblGrid>
      <w:tr>
        <w:trPr>
          <w:trHeight w:val="72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类别</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检测项目</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分析方法</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频次、天数</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样品总数</w:t>
            </w:r>
          </w:p>
        </w:tc>
        <w:tc>
          <w:tcPr>
            <w:tcW w:w="118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总价（元）</w:t>
            </w:r>
          </w:p>
        </w:tc>
      </w:tr>
      <w:tr>
        <w:trPr>
          <w:trHeight w:val="1080" w:hRule="atLeast"/>
        </w:trPr>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DA001灭活车间废气排气筒</w:t>
            </w:r>
            <w:r>
              <w:rPr>
                <w:rFonts w:hint="default" w:ascii="宋体" w:hAnsi="宋体"/>
                <w:sz w:val="24"/>
              </w:rPr>
              <w:fldChar w:fldCharType="begin"/>
            </w:r>
            <w:r>
              <w:rPr>
                <w:rFonts w:hint="default" w:ascii="宋体" w:hAnsi="宋体"/>
                <w:sz w:val="24"/>
              </w:rPr>
              <w:instrText xml:space="preserve">INCLUDEPICTURE "file:///C:\\Users\\Administrator\\AppData\\Local\\Temp\\ksohtml\\clip_image5.png"</w:instrText>
            </w:r>
            <w:r>
              <w:rPr>
                <w:rFonts w:hint="default" w:ascii="宋体" w:hAnsi="宋体"/>
                <w:sz w:val="24"/>
              </w:rPr>
              <w:fldChar w:fldCharType="separate"/>
            </w:r>
            <w:r>
              <w:rPr>
                <w:rFonts w:hint="default" w:ascii="宋体" w:hAnsi="宋体" w:eastAsia="宋体" w:cs="Times New Roman"/>
                <w:kern w:val="2"/>
                <w:sz w:val="24"/>
                <w:szCs w:val="24"/>
                <w:lang w:val="en-US" w:eastAsia="zh-CN" w:bidi="ar-SA"/>
              </w:rPr>
              <w:pict>
                <v:shape id="_x0000_i1028" o:spid="_x0000_s1032" type="#_x0000_t75" style="height:39.75pt;width:54.75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r>
              <w:rPr>
                <w:rFonts w:hint="default" w:ascii="宋体" w:hAnsi="宋体"/>
                <w:sz w:val="24"/>
              </w:rPr>
              <w:fldChar w:fldCharType="end"/>
            </w:r>
            <w:r>
              <w:rPr>
                <w:rFonts w:hint="default" w:ascii="宋体" w:hAnsi="宋体" w:eastAsia="宋体"/>
                <w:b w:val="0"/>
                <w:i w:val="0"/>
                <w:color w:val="000000"/>
                <w:sz w:val="22"/>
                <w:u w:val="none"/>
                <w:lang w:eastAsia="zh-CN"/>
              </w:rPr>
              <w:t xml:space="preserve"> </w:t>
            </w:r>
            <w:r>
              <w:rPr>
                <w:rFonts w:hint="default" w:ascii="宋体" w:hAnsi="宋体"/>
                <w:sz w:val="24"/>
              </w:rPr>
              <w:fldChar w:fldCharType="begin"/>
            </w:r>
            <w:r>
              <w:rPr>
                <w:rFonts w:hint="default" w:ascii="宋体" w:hAnsi="宋体"/>
                <w:sz w:val="24"/>
              </w:rPr>
              <w:instrText xml:space="preserve">INCLUDEPICTURE "file:///C:\\Users\\Administrator\\AppData\\Local\\Temp\\ksohtml\\clip_image6.png"</w:instrText>
            </w:r>
            <w:r>
              <w:rPr>
                <w:rFonts w:hint="default" w:ascii="宋体" w:hAnsi="宋体"/>
                <w:sz w:val="24"/>
              </w:rPr>
              <w:fldChar w:fldCharType="separate"/>
            </w:r>
            <w:r>
              <w:rPr>
                <w:rFonts w:hint="default" w:ascii="宋体" w:hAnsi="宋体" w:eastAsia="宋体" w:cs="Times New Roman"/>
                <w:kern w:val="2"/>
                <w:sz w:val="24"/>
                <w:szCs w:val="24"/>
                <w:lang w:val="en-US" w:eastAsia="zh-CN" w:bidi="ar-SA"/>
              </w:rPr>
              <w:pict>
                <v:shape id="_x0000_i1029" o:spid="_x0000_s1033" type="#_x0000_t75" style="height:39.75pt;width:54.75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r>
              <w:rPr>
                <w:rFonts w:hint="default" w:ascii="宋体" w:hAnsi="宋体"/>
                <w:sz w:val="24"/>
              </w:rPr>
              <w:fldChar w:fldCharType="end"/>
            </w:r>
            <w:r>
              <w:rPr>
                <w:rFonts w:hint="default" w:ascii="宋体" w:hAnsi="宋体" w:eastAsia="宋体"/>
                <w:b w:val="0"/>
                <w:i w:val="0"/>
                <w:color w:val="000000"/>
                <w:sz w:val="22"/>
                <w:u w:val="none"/>
                <w:lang w:eastAsia="zh-CN"/>
              </w:rPr>
              <w:t xml:space="preserve"> </w:t>
            </w:r>
            <w:r>
              <w:rPr>
                <w:rFonts w:hint="default" w:ascii="宋体" w:hAnsi="宋体"/>
                <w:sz w:val="24"/>
              </w:rPr>
              <w:fldChar w:fldCharType="begin"/>
            </w:r>
            <w:r>
              <w:rPr>
                <w:rFonts w:hint="default" w:ascii="宋体" w:hAnsi="宋体"/>
                <w:sz w:val="24"/>
              </w:rPr>
              <w:instrText xml:space="preserve">INCLUDEPICTURE "file:///C:\\Users\\Administrator\\AppData\\Local\\Temp\\ksohtml\\clip_image7.png"</w:instrText>
            </w:r>
            <w:r>
              <w:rPr>
                <w:rFonts w:hint="default" w:ascii="宋体" w:hAnsi="宋体"/>
                <w:sz w:val="24"/>
              </w:rPr>
              <w:fldChar w:fldCharType="separate"/>
            </w:r>
            <w:r>
              <w:rPr>
                <w:rFonts w:hint="default" w:ascii="宋体" w:hAnsi="宋体" w:eastAsia="宋体" w:cs="Times New Roman"/>
                <w:kern w:val="2"/>
                <w:sz w:val="24"/>
                <w:szCs w:val="24"/>
                <w:lang w:val="en-US" w:eastAsia="zh-CN" w:bidi="ar-SA"/>
              </w:rPr>
              <w:pict>
                <v:shape id="_x0000_i1030" o:spid="_x0000_s1034" type="#_x0000_t75" style="height:39.75pt;width:54.75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r>
              <w:rPr>
                <w:rFonts w:hint="default" w:ascii="宋体" w:hAnsi="宋体"/>
                <w:sz w:val="24"/>
              </w:rPr>
              <w:fldChar w:fldCharType="end"/>
            </w:r>
            <w:r>
              <w:rPr>
                <w:rFonts w:hint="default" w:ascii="宋体" w:hAnsi="宋体" w:eastAsia="宋体"/>
                <w:b w:val="0"/>
                <w:i w:val="0"/>
                <w:color w:val="000000"/>
                <w:sz w:val="22"/>
                <w:u w:val="none"/>
                <w:lang w:eastAsia="zh-CN"/>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 xml:space="preserve">臭气浓度   </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空气质量 恶臭的测定 三点比较式臭袋法GB/T 14675-1993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10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氨（氨气）</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环境空气和废气 氨的测定 纳氏试剂分光光度法HJ 533-2009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189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硫化氢</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亚甲基蓝分光光度法 《空气和废气监测分析方法》(第四版)（国家环境保护总局）（2003年）3.1.11.2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135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非甲烷总烃</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固定污染源废气 总烃、甲烷和非甲烷总烃的测定 气相色谱法HJ 38- 2017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12次/1年 1点*1次*3样品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1080" w:hRule="atLeast"/>
        </w:trPr>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DA002动物车间废气排气筒</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臭气浓度</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空气质量 恶臭的测定 三点比较式臭袋法GB/T 14675-1993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10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氨（氨气）</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环境空气和废气 氨的测定 纳氏试剂分光光度法HJ 533-2009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189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硫化氢</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亚甲基蓝分光光度法 《空气和废气监测分析方法》(第四版)（国家环境保护总局）（2003年）3.1.11.2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DA003危废库排气筒</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非甲烷总烃</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固定污染源废气 总烃、甲烷和非甲烷总烃的测定 气相色谱法HJ 38- 2017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DA004有机肥原料生产排气筒</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臭气浓度</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空气质量 恶臭的测定 三点比较式臭袋法GB/T 14675-1993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氨（氨气）</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环境空气和废气 氨的测定 纳氏试剂分光光度法HJ 533-2009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氮氧化物</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固定污染源废气 氮氧化物的测定  定电位电解法HJ 693-2014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二氧化硫</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固定污染源排气中二氧化硫的测定 定电位电解法HJ/T 57-2000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硫化氢</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亚甲基蓝分光光度法 《空气和废气监测分析方法》(第四版)（国家环境保护总局）（2003年）3.1.11.2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颗粒物</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Times New Roman" w:hAnsi="宋体"/>
                <w:b w:val="0"/>
                <w:i w:val="0"/>
                <w:color w:val="000000"/>
                <w:sz w:val="18"/>
                <w:u w:val="none"/>
              </w:rPr>
            </w:pPr>
            <w:r>
              <w:rPr>
                <w:rFonts w:hint="default" w:ascii="Times New Roman" w:hAnsi="宋体"/>
                <w:b w:val="0"/>
                <w:i w:val="0"/>
                <w:color w:val="000000"/>
                <w:sz w:val="18"/>
                <w:u w:val="none"/>
              </w:rPr>
              <w:t xml:space="preserve">HJ 836-2017 </w:t>
            </w:r>
            <w:r>
              <w:rPr>
                <w:rFonts w:hint="default" w:ascii="宋体" w:hAnsi="宋体" w:eastAsia="宋体"/>
                <w:b w:val="0"/>
                <w:i w:val="0"/>
                <w:color w:val="000000"/>
                <w:sz w:val="18"/>
                <w:u w:val="none"/>
                <w:lang w:eastAsia="zh-CN"/>
              </w:rPr>
              <w:t>《固定污染源废气 低浓度颗粒物的测定 重量法》</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DA005活苗车间废气排气筒</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臭气浓度</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空气质量 恶臭的测定 三点比较式臭袋法GB/T 14675-1993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氨（氨气）</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环境空气和废气 氨的测定 纳氏试剂分光光度法HJ 533-2009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硫化氢</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亚甲基蓝分光光度法 《空气和废气监测分析方法》(第四版)（国家环境保护总局）（2003年）3.1.11.2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非甲烷总烃</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固定污染源废气 总烃、甲烷和非甲烷总烃的测定 气相色谱法HJ 38- 2017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12次/1年 1点*1次*3样品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DA006污水处理站废气排气筒</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臭气浓度</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空气质量 恶臭的测定 三点比较式臭袋法GB/T 14675-1993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氨（氨气）</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环境空气和废气 氨的测定 纳氏试剂分光光度法HJ 533-2009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硫化氢</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亚甲基蓝分光光度法 《空气和废气监测分析方法》(第四版)（国家环境保护总局）（2003年）3.1.11.2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废水</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色度</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生活饮用水标准检验方法 感官性状和物理指标 铂-钴标准比色法GB/T 5750.4-2006     1.1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1点*3次*1样品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333333"/>
                <w:sz w:val="21"/>
                <w:u w:val="none"/>
                <w:lang w:eastAsia="zh-CN"/>
              </w:rPr>
            </w:pPr>
            <w:r>
              <w:rPr>
                <w:rFonts w:hint="default" w:ascii="宋体" w:hAnsi="宋体" w:eastAsia="宋体"/>
                <w:b w:val="0"/>
                <w:i w:val="0"/>
                <w:color w:val="333333"/>
                <w:sz w:val="21"/>
                <w:u w:val="none"/>
                <w:lang w:eastAsia="zh-CN"/>
              </w:rPr>
              <w:t>急性毒性</w:t>
            </w:r>
          </w:p>
        </w:tc>
        <w:tc>
          <w:tcPr>
            <w:tcW w:w="250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Times New Roman" w:hAnsi="宋体"/>
                <w:b w:val="0"/>
                <w:i w:val="0"/>
                <w:color w:val="000000"/>
                <w:sz w:val="18"/>
                <w:u w:val="none"/>
                <w:shd w:val="clear" w:color="auto" w:fill="FFFFFF"/>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1点*3次*1样品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333333"/>
                <w:sz w:val="21"/>
                <w:u w:val="none"/>
                <w:lang w:eastAsia="zh-CN"/>
              </w:rPr>
            </w:pPr>
            <w:r>
              <w:rPr>
                <w:rFonts w:hint="default" w:ascii="宋体" w:hAnsi="宋体" w:eastAsia="宋体"/>
                <w:b w:val="0"/>
                <w:i w:val="0"/>
                <w:color w:val="333333"/>
                <w:sz w:val="21"/>
                <w:u w:val="none"/>
                <w:lang w:eastAsia="zh-CN"/>
              </w:rPr>
              <w:t>总有机碳</w:t>
            </w:r>
          </w:p>
        </w:tc>
        <w:tc>
          <w:tcPr>
            <w:tcW w:w="250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Times New Roman" w:hAnsi="宋体"/>
                <w:b w:val="0"/>
                <w:i w:val="0"/>
                <w:color w:val="000000"/>
                <w:sz w:val="18"/>
                <w:u w:val="none"/>
                <w:shd w:val="clear" w:color="auto" w:fill="FFFFFF"/>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1点*3次*1样品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石油类</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水质 石油类和动植物油类的测定 红外分光光度法HJ 637-2018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1点*3次*1样品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动植物油</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水质 石油类和动植物油类的测定 红外分光光度法HJ 637-2018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1点*3次*1样品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悬浮物</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水质 悬浮物的测定 重量法GB/T 11901-1989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4次/1年 1点*3次*1样品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333333"/>
                <w:sz w:val="21"/>
                <w:u w:val="none"/>
                <w:lang w:eastAsia="zh-CN"/>
              </w:rPr>
            </w:pPr>
            <w:r>
              <w:rPr>
                <w:rFonts w:hint="default" w:ascii="宋体" w:hAnsi="宋体" w:eastAsia="宋体"/>
                <w:b w:val="0"/>
                <w:i w:val="0"/>
                <w:color w:val="333333"/>
                <w:sz w:val="21"/>
                <w:u w:val="none"/>
                <w:lang w:eastAsia="zh-CN"/>
              </w:rPr>
              <w:t>粪大肠菌群</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4次/1年 1点*3次*1样品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总氮（以N计</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水质 总氮的测定 碱性过硫酸钾消解紫外分光光度法HJ 636-2012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4次/1年 1点*3次*1样品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总磷（以P计）</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水质 总磷的测定 钼酸铵分光光度法GB/T 11893-1989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4次/1年 1点*3次*1样品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挥发酚</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水质 挥发酚的测定 4-氨基安替比林分光光度法HJ 503-2009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4次/1年 1点*3次*1样品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甲醛</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水质 甲醛的测定 乙酰丙酮分光光度法HJ 601-2011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4次/1年 1点*3次*1样品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333333"/>
                <w:sz w:val="21"/>
                <w:u w:val="none"/>
                <w:lang w:eastAsia="zh-CN"/>
              </w:rPr>
            </w:pPr>
            <w:r>
              <w:rPr>
                <w:rFonts w:hint="default" w:ascii="宋体" w:hAnsi="宋体" w:eastAsia="宋体"/>
                <w:b w:val="0"/>
                <w:i w:val="0"/>
                <w:color w:val="333333"/>
                <w:sz w:val="21"/>
                <w:u w:val="none"/>
                <w:lang w:eastAsia="zh-CN"/>
              </w:rPr>
              <w:t>总余氯（以</w:t>
            </w:r>
            <w:r>
              <w:rPr>
                <w:rFonts w:hint="default" w:ascii="Arial" w:hAnsi="宋体"/>
                <w:b w:val="0"/>
                <w:i w:val="0"/>
                <w:color w:val="333333"/>
                <w:sz w:val="21"/>
                <w:u w:val="none"/>
              </w:rPr>
              <w:t>Cl</w:t>
            </w:r>
            <w:r>
              <w:rPr>
                <w:rFonts w:hint="default" w:ascii="宋体" w:hAnsi="宋体" w:eastAsia="宋体"/>
                <w:b w:val="0"/>
                <w:i w:val="0"/>
                <w:color w:val="333333"/>
                <w:sz w:val="21"/>
                <w:u w:val="none"/>
                <w:lang w:eastAsia="zh-CN"/>
              </w:rPr>
              <w:t>计）</w:t>
            </w:r>
          </w:p>
        </w:tc>
        <w:tc>
          <w:tcPr>
            <w:tcW w:w="250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6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4次/1年 1点*3次*1样品</w:t>
            </w:r>
          </w:p>
        </w:tc>
        <w:tc>
          <w:tcPr>
            <w:tcW w:w="600" w:type="dxa"/>
            <w:vAlign w:val="center"/>
          </w:tcPr>
          <w:p>
            <w:pPr>
              <w:autoSpaceDN w:val="0"/>
              <w:jc w:val="center"/>
              <w:textAlignment w:val="center"/>
              <w:rPr>
                <w:rFonts w:hint="default" w:ascii="宋体" w:hAnsi="宋体" w:eastAsia="宋体"/>
                <w:b w:val="0"/>
                <w:i w:val="0"/>
                <w:color w:val="000000"/>
                <w:sz w:val="24"/>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333333"/>
                <w:sz w:val="21"/>
                <w:u w:val="none"/>
                <w:lang w:val="en-US" w:eastAsia="zh-CN"/>
              </w:rPr>
            </w:pPr>
            <w:r>
              <w:rPr>
                <w:rFonts w:hint="eastAsia" w:ascii="宋体" w:hAnsi="宋体"/>
                <w:b w:val="0"/>
                <w:i w:val="0"/>
                <w:color w:val="333333"/>
                <w:sz w:val="21"/>
                <w:u w:val="none"/>
                <w:lang w:val="en-US" w:eastAsia="zh-CN"/>
              </w:rPr>
              <w:t>五日生化需氧量</w:t>
            </w:r>
          </w:p>
        </w:tc>
        <w:tc>
          <w:tcPr>
            <w:tcW w:w="250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6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val="en-US" w:eastAsia="zh-CN"/>
              </w:rPr>
            </w:pPr>
            <w:r>
              <w:rPr>
                <w:rFonts w:hint="eastAsia" w:ascii="宋体" w:hAnsi="宋体"/>
                <w:b w:val="0"/>
                <w:i w:val="0"/>
                <w:color w:val="000000"/>
                <w:sz w:val="20"/>
                <w:u w:val="none"/>
                <w:lang w:val="en-US" w:eastAsia="zh-CN"/>
              </w:rPr>
              <w:t>4次/1年 1点</w:t>
            </w:r>
            <w:r>
              <w:rPr>
                <w:rFonts w:hint="default" w:ascii="宋体" w:hAnsi="宋体" w:eastAsia="宋体"/>
                <w:b w:val="0"/>
                <w:i w:val="0"/>
                <w:color w:val="000000"/>
                <w:sz w:val="20"/>
                <w:u w:val="none"/>
                <w:lang w:eastAsia="zh-CN"/>
              </w:rPr>
              <w:t>*3次*1样品</w:t>
            </w:r>
          </w:p>
        </w:tc>
        <w:tc>
          <w:tcPr>
            <w:tcW w:w="600" w:type="dxa"/>
            <w:vAlign w:val="center"/>
          </w:tcPr>
          <w:p>
            <w:pPr>
              <w:autoSpaceDN w:val="0"/>
              <w:jc w:val="center"/>
              <w:textAlignment w:val="center"/>
              <w:rPr>
                <w:rFonts w:hint="default" w:ascii="宋体" w:hAnsi="宋体" w:eastAsia="宋体"/>
                <w:b w:val="0"/>
                <w:i w:val="0"/>
                <w:color w:val="000000"/>
                <w:sz w:val="24"/>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厂区内门或窗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颗粒物</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环境空气 总悬浮颗粒物的测定 重量法GB/T 15432-1995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1点*3次*1样品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非甲烷总烃</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环境空气 总烃、甲烷和非甲烷总烃的测定 直接进样-气相色谱法HJ 604-2017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1点*1次*3样品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厂界无组织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臭气浓度</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空气质量 恶臭的测定 三点比较式臭袋法GB/T 14675-1993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4点*3次*1样品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氨（氨气）</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环境空气和废气 氨的测定 纳氏试剂分光光度法HJ 533-2009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4点*3次*1样品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硫化氢</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亚甲基蓝分光光度法 《空气和废气监测分析方法》(第四版)（国家环境保护总局）（2003年）5.4.10.3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4点*3次*1样品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Arial" w:hAnsi="宋体"/>
                <w:b w:val="0"/>
                <w:i w:val="0"/>
                <w:color w:val="333333"/>
                <w:sz w:val="21"/>
                <w:u w:val="none"/>
              </w:rPr>
            </w:pPr>
            <w:r>
              <w:rPr>
                <w:rFonts w:hint="default" w:ascii="Arial" w:hAnsi="宋体"/>
                <w:b w:val="0"/>
                <w:i w:val="0"/>
                <w:color w:val="333333"/>
                <w:sz w:val="21"/>
                <w:u w:val="none"/>
              </w:rPr>
              <w:t>非甲烷总烃</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环境空气 总烃、甲烷和非甲烷总烃的测定 直接进样-气相色谱法HJ 604-2017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2次/1年 4点*1次*3样品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sz w:val="24"/>
              </w:rPr>
            </w:pPr>
            <w:r>
              <w:rPr>
                <w:rFonts w:hint="default" w:ascii="宋体" w:hAnsi="宋体" w:eastAsia="宋体"/>
                <w:b w:val="0"/>
                <w:i w:val="0"/>
                <w:color w:val="000000"/>
                <w:sz w:val="22"/>
                <w:u w:val="none"/>
                <w:lang w:eastAsia="zh-CN"/>
              </w:rPr>
              <w:t>雨水</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eastAsia" w:ascii="Arial" w:hAnsi="宋体" w:eastAsia="宋体"/>
                <w:b w:val="0"/>
                <w:i w:val="0"/>
                <w:color w:val="333333"/>
                <w:sz w:val="21"/>
                <w:u w:val="none"/>
                <w:lang w:val="en-US" w:eastAsia="zh-CN"/>
              </w:rPr>
            </w:pPr>
            <w:r>
              <w:rPr>
                <w:rFonts w:hint="eastAsia" w:ascii="Arial" w:hAnsi="宋体"/>
                <w:b w:val="0"/>
                <w:i w:val="0"/>
                <w:color w:val="333333"/>
                <w:sz w:val="21"/>
                <w:u w:val="none"/>
                <w:lang w:val="en-US" w:eastAsia="zh-CN"/>
              </w:rPr>
              <w:t>PH值</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val="en-US" w:eastAsia="zh-CN"/>
              </w:rPr>
            </w:pPr>
            <w:r>
              <w:rPr>
                <w:rFonts w:hint="eastAsia" w:ascii="宋体" w:hAnsi="宋体"/>
                <w:b w:val="0"/>
                <w:i w:val="0"/>
                <w:color w:val="000000"/>
                <w:sz w:val="22"/>
                <w:u w:val="none"/>
                <w:lang w:val="en-US" w:eastAsia="zh-CN"/>
              </w:rPr>
              <w:t>水质PH值的测定  玻璃电极法GB/T 6920-1986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2次/1年 </w:t>
            </w:r>
            <w:r>
              <w:rPr>
                <w:rFonts w:hint="eastAsia" w:ascii="宋体" w:hAnsi="宋体"/>
                <w:b w:val="0"/>
                <w:i w:val="0"/>
                <w:color w:val="000000"/>
                <w:sz w:val="20"/>
                <w:u w:val="none"/>
                <w:lang w:val="en-US" w:eastAsia="zh-CN"/>
              </w:rPr>
              <w:t>1</w:t>
            </w:r>
            <w:r>
              <w:rPr>
                <w:rFonts w:hint="default" w:ascii="宋体" w:hAnsi="宋体" w:eastAsia="宋体"/>
                <w:b w:val="0"/>
                <w:i w:val="0"/>
                <w:color w:val="000000"/>
                <w:sz w:val="20"/>
                <w:u w:val="none"/>
                <w:lang w:eastAsia="zh-CN"/>
              </w:rPr>
              <w:t>点*</w:t>
            </w:r>
            <w:r>
              <w:rPr>
                <w:rFonts w:hint="eastAsia" w:ascii="宋体" w:hAnsi="宋体"/>
                <w:b w:val="0"/>
                <w:i w:val="0"/>
                <w:color w:val="000000"/>
                <w:sz w:val="20"/>
                <w:u w:val="none"/>
                <w:lang w:val="en-US" w:eastAsia="zh-CN"/>
              </w:rPr>
              <w:t>3</w:t>
            </w:r>
            <w:r>
              <w:rPr>
                <w:rFonts w:hint="default" w:ascii="宋体" w:hAnsi="宋体" w:eastAsia="宋体"/>
                <w:b w:val="0"/>
                <w:i w:val="0"/>
                <w:color w:val="000000"/>
                <w:sz w:val="20"/>
                <w:u w:val="none"/>
                <w:lang w:eastAsia="zh-CN"/>
              </w:rPr>
              <w:t>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val="en-US"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left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eastAsia" w:ascii="Arial" w:hAnsi="宋体" w:eastAsia="宋体"/>
                <w:b w:val="0"/>
                <w:i w:val="0"/>
                <w:color w:val="333333"/>
                <w:sz w:val="21"/>
                <w:u w:val="none"/>
                <w:lang w:val="en-US" w:eastAsia="zh-CN"/>
              </w:rPr>
            </w:pPr>
            <w:r>
              <w:rPr>
                <w:rFonts w:hint="eastAsia" w:ascii="Arial" w:hAnsi="宋体"/>
                <w:b w:val="0"/>
                <w:i w:val="0"/>
                <w:color w:val="333333"/>
                <w:sz w:val="21"/>
                <w:u w:val="none"/>
                <w:lang w:val="en-US" w:eastAsia="zh-CN"/>
              </w:rPr>
              <w:t>化学需氧量</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val="en-US" w:eastAsia="zh-CN"/>
              </w:rPr>
            </w:pPr>
            <w:r>
              <w:rPr>
                <w:rFonts w:hint="eastAsia" w:ascii="宋体" w:hAnsi="宋体"/>
                <w:b w:val="0"/>
                <w:i w:val="0"/>
                <w:color w:val="000000"/>
                <w:sz w:val="22"/>
                <w:u w:val="none"/>
                <w:lang w:val="en-US" w:eastAsia="zh-CN"/>
              </w:rPr>
              <w:t>水质 化学需氧量的测定重酸盐法HJ 828-2017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2次/1年 </w:t>
            </w:r>
            <w:r>
              <w:rPr>
                <w:rFonts w:hint="eastAsia" w:ascii="宋体" w:hAnsi="宋体"/>
                <w:b w:val="0"/>
                <w:i w:val="0"/>
                <w:color w:val="000000"/>
                <w:sz w:val="20"/>
                <w:u w:val="none"/>
                <w:lang w:val="en-US" w:eastAsia="zh-CN"/>
              </w:rPr>
              <w:t>1</w:t>
            </w:r>
            <w:r>
              <w:rPr>
                <w:rFonts w:hint="default" w:ascii="宋体" w:hAnsi="宋体" w:eastAsia="宋体"/>
                <w:b w:val="0"/>
                <w:i w:val="0"/>
                <w:color w:val="000000"/>
                <w:sz w:val="20"/>
                <w:u w:val="none"/>
                <w:lang w:eastAsia="zh-CN"/>
              </w:rPr>
              <w:t>点*</w:t>
            </w:r>
            <w:r>
              <w:rPr>
                <w:rFonts w:hint="eastAsia" w:ascii="宋体" w:hAnsi="宋体"/>
                <w:b w:val="0"/>
                <w:i w:val="0"/>
                <w:color w:val="000000"/>
                <w:sz w:val="20"/>
                <w:u w:val="none"/>
                <w:lang w:val="en-US" w:eastAsia="zh-CN"/>
              </w:rPr>
              <w:t>3</w:t>
            </w:r>
            <w:r>
              <w:rPr>
                <w:rFonts w:hint="default" w:ascii="宋体" w:hAnsi="宋体" w:eastAsia="宋体"/>
                <w:b w:val="0"/>
                <w:i w:val="0"/>
                <w:color w:val="000000"/>
                <w:sz w:val="20"/>
                <w:u w:val="none"/>
                <w:lang w:eastAsia="zh-CN"/>
              </w:rPr>
              <w:t>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val="en-US"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eastAsia" w:ascii="Arial" w:hAnsi="宋体" w:eastAsia="宋体"/>
                <w:b w:val="0"/>
                <w:i w:val="0"/>
                <w:color w:val="333333"/>
                <w:sz w:val="21"/>
                <w:u w:val="none"/>
                <w:lang w:val="en-US" w:eastAsia="zh-CN"/>
              </w:rPr>
            </w:pPr>
            <w:r>
              <w:rPr>
                <w:rFonts w:hint="eastAsia" w:ascii="Arial" w:hAnsi="宋体"/>
                <w:b w:val="0"/>
                <w:i w:val="0"/>
                <w:color w:val="333333"/>
                <w:sz w:val="21"/>
                <w:u w:val="none"/>
                <w:lang w:val="en-US" w:eastAsia="zh-CN"/>
              </w:rPr>
              <w:t>石油类</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val="en-US" w:eastAsia="zh-CN"/>
              </w:rPr>
            </w:pPr>
            <w:r>
              <w:rPr>
                <w:rFonts w:hint="eastAsia" w:ascii="宋体" w:hAnsi="宋体"/>
                <w:b w:val="0"/>
                <w:i w:val="0"/>
                <w:color w:val="000000"/>
                <w:sz w:val="22"/>
                <w:u w:val="none"/>
                <w:lang w:val="en-US" w:eastAsia="zh-CN"/>
              </w:rPr>
              <w:t>水质 石油类和动植物油类的测定 红外分光光度法HJ 637-2018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2次/1年 </w:t>
            </w:r>
            <w:r>
              <w:rPr>
                <w:rFonts w:hint="eastAsia" w:ascii="宋体" w:hAnsi="宋体"/>
                <w:b w:val="0"/>
                <w:i w:val="0"/>
                <w:color w:val="000000"/>
                <w:sz w:val="20"/>
                <w:u w:val="none"/>
                <w:lang w:val="en-US" w:eastAsia="zh-CN"/>
              </w:rPr>
              <w:t>1</w:t>
            </w:r>
            <w:r>
              <w:rPr>
                <w:rFonts w:hint="default" w:ascii="宋体" w:hAnsi="宋体" w:eastAsia="宋体"/>
                <w:b w:val="0"/>
                <w:i w:val="0"/>
                <w:color w:val="000000"/>
                <w:sz w:val="20"/>
                <w:u w:val="none"/>
                <w:lang w:eastAsia="zh-CN"/>
              </w:rPr>
              <w:t>点*</w:t>
            </w:r>
            <w:r>
              <w:rPr>
                <w:rFonts w:hint="eastAsia" w:ascii="宋体" w:hAnsi="宋体"/>
                <w:b w:val="0"/>
                <w:i w:val="0"/>
                <w:color w:val="000000"/>
                <w:sz w:val="20"/>
                <w:u w:val="none"/>
                <w:lang w:val="en-US" w:eastAsia="zh-CN"/>
              </w:rPr>
              <w:t>3</w:t>
            </w:r>
            <w:r>
              <w:rPr>
                <w:rFonts w:hint="default" w:ascii="宋体" w:hAnsi="宋体" w:eastAsia="宋体"/>
                <w:b w:val="0"/>
                <w:i w:val="0"/>
                <w:color w:val="000000"/>
                <w:sz w:val="20"/>
                <w:u w:val="none"/>
                <w:lang w:eastAsia="zh-CN"/>
              </w:rPr>
              <w:t>次*3样品</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val="en-US"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r>
        <w:trPr>
          <w:trHeight w:val="78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噪声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仿宋_GB2312" w:hAnsi="宋体"/>
                <w:b w:val="0"/>
                <w:i w:val="0"/>
                <w:color w:val="000000"/>
                <w:sz w:val="18"/>
                <w:u w:val="none"/>
              </w:rPr>
            </w:pPr>
            <w:r>
              <w:rPr>
                <w:rFonts w:hint="default" w:ascii="仿宋_GB2312" w:hAnsi="宋体"/>
                <w:b w:val="0"/>
                <w:i w:val="0"/>
                <w:color w:val="000000"/>
                <w:sz w:val="18"/>
                <w:u w:val="none"/>
              </w:rPr>
              <w:t>工业企业厂界昼夜间噪声</w:t>
            </w:r>
          </w:p>
        </w:tc>
        <w:tc>
          <w:tcPr>
            <w:tcW w:w="250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Times New Roman" w:hAnsi="宋体"/>
                <w:b w:val="0"/>
                <w:i w:val="0"/>
                <w:color w:val="000000"/>
                <w:sz w:val="18"/>
                <w:u w:val="none"/>
                <w:shd w:val="clear" w:color="auto" w:fill="FFFFFF"/>
              </w:rPr>
            </w:pPr>
            <w:r>
              <w:rPr>
                <w:rFonts w:hint="default" w:ascii="Times New Roman" w:hAnsi="宋体"/>
                <w:b w:val="0"/>
                <w:i w:val="0"/>
                <w:color w:val="000000"/>
                <w:sz w:val="18"/>
                <w:u w:val="none"/>
                <w:shd w:val="clear" w:color="auto" w:fill="FFFFFF"/>
              </w:rPr>
              <w:t>GB 12348-2008《工业企业厂界环境噪声排放标准》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4次/1年 4点*1次</w:t>
            </w:r>
          </w:p>
        </w:tc>
        <w:tc>
          <w:tcPr>
            <w:tcW w:w="6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ascii="宋体" w:hAnsi="宋体" w:eastAsia="宋体"/>
                <w:b w:val="0"/>
                <w:i w:val="0"/>
                <w:color w:val="000000"/>
                <w:sz w:val="20"/>
                <w:u w:val="none"/>
                <w:shd w:val="clear" w:color="auto" w:fill="FFFFFF"/>
                <w:lang w:eastAsia="zh-CN"/>
              </w:rPr>
            </w:pP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r>
    </w:tbl>
    <w:p>
      <w:pPr>
        <w:rPr>
          <w:sz w:val="24"/>
          <w:szCs w:val="24"/>
        </w:rPr>
      </w:pPr>
    </w:p>
    <w:p>
      <w:pPr>
        <w:pStyle w:val="16"/>
        <w:rPr>
          <w:rFonts w:hint="eastAsia" w:eastAsia="宋体"/>
          <w:lang w:eastAsia="zh-CN"/>
        </w:rPr>
      </w:pPr>
    </w:p>
    <w:sectPr>
      <w:pgSz w:w="11907" w:h="16840"/>
      <w:pgMar w:top="1418" w:right="1418" w:bottom="1418" w:left="1418" w:header="567" w:footer="851" w:gutter="0"/>
      <w:pgNumType w:fmt="decimal"/>
      <w:cols w:space="720" w:num="1"/>
      <w:titlePg/>
      <w:docGrid w:linePitch="2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3"/>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3"/>
      <w:ind w:right="360" w:firstLine="360"/>
      <w:jc w:val="right"/>
      <w:rPr>
        <w:rFonts w:hint="eastAsia"/>
      </w:rPr>
    </w:pPr>
    <w:r>
      <w:rPr>
        <w:rFonts w:ascii="Times New Roman" w:hAnsi="Times New Roman" w:eastAsia="宋体" w:cs="Times New Roman"/>
        <w:kern w:val="2"/>
        <w:sz w:val="18"/>
        <w:szCs w:val="18"/>
        <w:lang w:val="en-US" w:eastAsia="zh-CN" w:bidi="ar-SA"/>
      </w:rPr>
      <w:pict>
        <v:rect id="文本框 7" o:spid="_x0000_s1027"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3"/>
                  <w:rPr>
                    <w:rStyle w:val="53"/>
                  </w:rPr>
                </w:pPr>
                <w:r>
                  <w:fldChar w:fldCharType="begin"/>
                </w:r>
                <w:r>
                  <w:rPr>
                    <w:rStyle w:val="53"/>
                  </w:rPr>
                  <w:instrText xml:space="preserve">PAGE  </w:instrText>
                </w:r>
                <w:r>
                  <w:fldChar w:fldCharType="separate"/>
                </w:r>
                <w:r>
                  <w:rPr>
                    <w:rStyle w:val="53"/>
                  </w:rPr>
                  <w:t>26</w:t>
                </w:r>
                <w: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3"/>
      <w:rPr>
        <w:rStyle w:val="53"/>
      </w:rPr>
    </w:pPr>
    <w:r>
      <w:rPr>
        <w:rFonts w:ascii="Times New Roman" w:hAnsi="Times New Roman" w:eastAsia="宋体" w:cs="Times New Roman"/>
        <w:kern w:val="2"/>
        <w:sz w:val="18"/>
        <w:szCs w:val="18"/>
        <w:lang w:val="en-US" w:eastAsia="zh-CN" w:bidi="ar-SA"/>
      </w:rPr>
      <w:pict>
        <v:rect id="文本框 8" o:spid="_x0000_s1028"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3"/>
                </w:pPr>
                <w:r>
                  <w:fldChar w:fldCharType="begin"/>
                </w:r>
                <w:r>
                  <w:instrText xml:space="preserve"> PAGE  \* MERGEFORMAT </w:instrText>
                </w:r>
                <w:r>
                  <w:fldChar w:fldCharType="separate"/>
                </w:r>
                <w:r>
                  <w:t>1</w:t>
                </w:r>
                <w:r>
                  <w:fldChar w:fldCharType="end"/>
                </w:r>
              </w:p>
            </w:txbxContent>
          </v:textbox>
        </v:rect>
      </w:pict>
    </w:r>
  </w:p>
  <w:p>
    <w:pPr>
      <w:pStyle w:val="33"/>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3"/>
    </w:pPr>
    <w:r>
      <w:rPr>
        <w:rFonts w:ascii="Times New Roman" w:hAnsi="Times New Roman" w:eastAsia="宋体" w:cs="Times New Roman"/>
        <w:kern w:val="2"/>
        <w:sz w:val="18"/>
        <w:szCs w:val="18"/>
        <w:lang w:val="en-US" w:eastAsia="zh-CN" w:bidi="ar-SA"/>
      </w:rPr>
      <w:pict>
        <v:rect id="文本框 6" o:spid="_x0000_s1030"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3"/>
                </w:pPr>
                <w:r>
                  <w:fldChar w:fldCharType="begin"/>
                </w:r>
                <w:r>
                  <w:instrText xml:space="preserve"> PAGE  \* MERGEFORMAT </w:instrText>
                </w:r>
                <w:r>
                  <w:fldChar w:fldCharType="separate"/>
                </w:r>
                <w:r>
                  <w:t>51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4"/>
      <w:pBdr>
        <w:bottom w:val="single" w:color="auto" w:sz="4" w:space="1"/>
      </w:pBdr>
      <w:jc w:val="center"/>
      <w:rPr>
        <w:rFonts w:hint="eastAsia" w:ascii="宋体" w:hAnsi="宋体" w:eastAsia="宋体"/>
        <w:sz w:val="16"/>
        <w:szCs w:val="16"/>
        <w:lang w:eastAsia="zh-CN"/>
      </w:rPr>
    </w:pPr>
    <w:r>
      <w:rPr>
        <w:rFonts w:hint="eastAsia" w:ascii="宋体" w:hAnsi="宋体" w:eastAsia="宋体" w:cs="Times New Roman"/>
        <w:kern w:val="2"/>
        <w:sz w:val="16"/>
        <w:szCs w:val="16"/>
        <w:lang w:val="en-US" w:eastAsia="zh-CN" w:bidi="ar-SA"/>
      </w:rPr>
      <w:pict>
        <v:shape id="_x0000_i1026" o:spid="_x0000_s1025" type="#_x0000_t75" style="height:20.95pt;width:266.4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4"/>
      <w:jc w:val="center"/>
      <w:rPr>
        <w:rFonts w:hint="eastAsia" w:eastAsia="宋体"/>
        <w:lang w:eastAsia="zh-CN"/>
      </w:rPr>
    </w:pPr>
    <w:r>
      <w:rPr>
        <w:rFonts w:hint="eastAsia" w:ascii="Times New Roman" w:hAnsi="Times New Roman" w:eastAsia="宋体" w:cs="Times New Roman"/>
        <w:kern w:val="2"/>
        <w:sz w:val="18"/>
        <w:szCs w:val="18"/>
        <w:lang w:val="en-US" w:eastAsia="zh-CN" w:bidi="ar-SA"/>
      </w:rPr>
      <w:pict>
        <v:shape id="_x0000_i1025" o:spid="_x0000_s1026" type="#_x0000_t75" style="height:20.95pt;width:266.4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4"/>
      <w:pBdr>
        <w:bottom w:val="single" w:color="auto" w:sz="4" w:space="1"/>
      </w:pBdr>
      <w:jc w:val="center"/>
    </w:pPr>
    <w:r>
      <w:rPr>
        <w:rFonts w:hint="eastAsia" w:ascii="宋体" w:hAnsi="宋体" w:eastAsia="宋体" w:cs="Times New Roman"/>
        <w:kern w:val="2"/>
        <w:sz w:val="18"/>
        <w:szCs w:val="18"/>
        <w:lang w:val="en-US" w:eastAsia="zh-CN" w:bidi="ar-SA"/>
      </w:rPr>
      <w:pict>
        <v:shape id="_x0000_i1027" o:spid="_x0000_s1029" type="#_x0000_t75" style="height:20.95pt;width:266.4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p>
  <w:p>
    <w:pPr>
      <w:pStyle w:val="34"/>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1057376">
    <w:nsid w:val="5715F760"/>
    <w:multiLevelType w:val="singleLevel"/>
    <w:tmpl w:val="5715F760"/>
    <w:lvl w:ilvl="0" w:tentative="1">
      <w:start w:val="1"/>
      <w:numFmt w:val="decimal"/>
      <w:suff w:val="nothing"/>
      <w:lvlText w:val="%1．"/>
      <w:lvlJc w:val="left"/>
      <w:pPr>
        <w:ind w:left="0" w:firstLine="400"/>
      </w:pPr>
      <w:rPr>
        <w:rFonts w:hint="default"/>
      </w:rPr>
    </w:lvl>
  </w:abstractNum>
  <w:abstractNum w:abstractNumId="3914931784">
    <w:nsid w:val="E9591E48"/>
    <w:multiLevelType w:val="singleLevel"/>
    <w:tmpl w:val="E9591E48"/>
    <w:lvl w:ilvl="0" w:tentative="1">
      <w:start w:val="1"/>
      <w:numFmt w:val="decimal"/>
      <w:suff w:val="nothing"/>
      <w:lvlText w:val="%1．"/>
      <w:lvlJc w:val="left"/>
      <w:pPr>
        <w:ind w:left="0" w:firstLine="400"/>
      </w:pPr>
      <w:rPr>
        <w:rFonts w:hint="default"/>
      </w:rPr>
    </w:lvl>
  </w:abstractNum>
  <w:abstractNum w:abstractNumId="13">
    <w:nsid w:val="0000000D"/>
    <w:multiLevelType w:val="multilevel"/>
    <w:tmpl w:val="0000000D"/>
    <w:lvl w:ilvl="0" w:tentative="1">
      <w:start w:val="1"/>
      <w:numFmt w:val="decimal"/>
      <w:lvlText w:val="（%1）"/>
      <w:lvlJc w:val="left"/>
      <w:pPr>
        <w:tabs>
          <w:tab w:val="left" w:pos="720"/>
        </w:tabs>
        <w:ind w:left="720" w:hanging="720"/>
      </w:pPr>
      <w:rPr>
        <w:rFonts w:hint="eastAsia"/>
      </w:rPr>
    </w:lvl>
    <w:lvl w:ilvl="1" w:tentative="1">
      <w:start w:val="1"/>
      <w:numFmt w:val="lowerLetter"/>
      <w:lvlText w:val="%2)"/>
      <w:lvlJc w:val="left"/>
      <w:pPr>
        <w:tabs>
          <w:tab w:val="left" w:pos="840"/>
        </w:tabs>
        <w:ind w:left="840" w:hanging="420"/>
      </w:pPr>
    </w:lvl>
    <w:lvl w:ilvl="2" w:tentative="1">
      <w:start w:val="1"/>
      <w:numFmt w:val="lowerRoman"/>
      <w:pStyle w:val="66"/>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726248718">
    <w:nsid w:val="66E4770E"/>
    <w:multiLevelType w:val="multilevel"/>
    <w:tmpl w:val="66E4770E"/>
    <w:lvl w:ilvl="0" w:tentative="1">
      <w:start w:val="1"/>
      <w:numFmt w:val="japaneseCounting"/>
      <w:lvlText w:val="第%1章"/>
      <w:lvlJc w:val="left"/>
      <w:pPr>
        <w:tabs>
          <w:tab w:val="left" w:pos="4543"/>
        </w:tabs>
        <w:ind w:left="4543" w:hanging="1140"/>
      </w:pPr>
      <w:rPr>
        <w:rFonts w:hint="eastAsia"/>
      </w:rPr>
    </w:lvl>
    <w:lvl w:ilvl="1" w:tentative="1">
      <w:start w:val="1"/>
      <w:numFmt w:val="lowerLetter"/>
      <w:lvlText w:val="%2)"/>
      <w:lvlJc w:val="left"/>
      <w:pPr>
        <w:tabs>
          <w:tab w:val="left" w:pos="1380"/>
        </w:tabs>
        <w:ind w:left="1380" w:hanging="420"/>
      </w:pPr>
    </w:lvl>
    <w:lvl w:ilvl="2" w:tentative="1">
      <w:start w:val="1"/>
      <w:numFmt w:val="lowerRoman"/>
      <w:lvlText w:val="%3."/>
      <w:lvlJc w:val="right"/>
      <w:pPr>
        <w:tabs>
          <w:tab w:val="left" w:pos="1800"/>
        </w:tabs>
        <w:ind w:left="1800" w:hanging="420"/>
      </w:pPr>
    </w:lvl>
    <w:lvl w:ilvl="3" w:tentative="1">
      <w:start w:val="1"/>
      <w:numFmt w:val="decimal"/>
      <w:lvlText w:val="%4."/>
      <w:lvlJc w:val="left"/>
      <w:pPr>
        <w:tabs>
          <w:tab w:val="left" w:pos="2220"/>
        </w:tabs>
        <w:ind w:left="2220" w:hanging="420"/>
      </w:pPr>
    </w:lvl>
    <w:lvl w:ilvl="4" w:tentative="1">
      <w:start w:val="1"/>
      <w:numFmt w:val="lowerLetter"/>
      <w:lvlText w:val="%5)"/>
      <w:lvlJc w:val="left"/>
      <w:pPr>
        <w:tabs>
          <w:tab w:val="left" w:pos="2640"/>
        </w:tabs>
        <w:ind w:left="2640" w:hanging="420"/>
      </w:pPr>
    </w:lvl>
    <w:lvl w:ilvl="5" w:tentative="1">
      <w:start w:val="1"/>
      <w:numFmt w:val="lowerRoman"/>
      <w:lvlText w:val="%6."/>
      <w:lvlJc w:val="right"/>
      <w:pPr>
        <w:tabs>
          <w:tab w:val="left" w:pos="3060"/>
        </w:tabs>
        <w:ind w:left="3060" w:hanging="420"/>
      </w:pPr>
    </w:lvl>
    <w:lvl w:ilvl="6" w:tentative="1">
      <w:start w:val="1"/>
      <w:numFmt w:val="decimal"/>
      <w:lvlText w:val="%7."/>
      <w:lvlJc w:val="left"/>
      <w:pPr>
        <w:tabs>
          <w:tab w:val="left" w:pos="3480"/>
        </w:tabs>
        <w:ind w:left="3480" w:hanging="420"/>
      </w:pPr>
    </w:lvl>
    <w:lvl w:ilvl="7" w:tentative="1">
      <w:start w:val="1"/>
      <w:numFmt w:val="lowerLetter"/>
      <w:lvlText w:val="%8)"/>
      <w:lvlJc w:val="left"/>
      <w:pPr>
        <w:tabs>
          <w:tab w:val="left" w:pos="3900"/>
        </w:tabs>
        <w:ind w:left="3900" w:hanging="420"/>
      </w:pPr>
    </w:lvl>
    <w:lvl w:ilvl="8" w:tentative="1">
      <w:start w:val="1"/>
      <w:numFmt w:val="lowerRoman"/>
      <w:lvlText w:val="%9."/>
      <w:lvlJc w:val="right"/>
      <w:pPr>
        <w:tabs>
          <w:tab w:val="left" w:pos="4320"/>
        </w:tabs>
        <w:ind w:left="4320" w:hanging="420"/>
      </w:pPr>
    </w:lvl>
  </w:abstractNum>
  <w:abstractNum w:abstractNumId="2009819338">
    <w:nsid w:val="77CB68CA"/>
    <w:multiLevelType w:val="multilevel"/>
    <w:tmpl w:val="77CB68CA"/>
    <w:lvl w:ilvl="0" w:tentative="1">
      <w:start w:val="1"/>
      <w:numFmt w:val="decimal"/>
      <w:pStyle w:val="77"/>
      <w:lvlText w:val="%1."/>
      <w:lvlJc w:val="left"/>
      <w:pPr>
        <w:tabs>
          <w:tab w:val="left" w:pos="567"/>
        </w:tabs>
        <w:ind w:left="567" w:hanging="567"/>
      </w:pPr>
      <w:rPr>
        <w:rFonts w:hint="eastAsia" w:ascii="黑体" w:hAnsi="Arial" w:eastAsia="黑体"/>
        <w:b w:val="0"/>
        <w:i w:val="0"/>
        <w:sz w:val="21"/>
        <w:szCs w:val="21"/>
      </w:rPr>
    </w:lvl>
    <w:lvl w:ilvl="1" w:tentative="1">
      <w:start w:val="1"/>
      <w:numFmt w:val="decimal"/>
      <w:lvlText w:val="%1.%2"/>
      <w:lvlJc w:val="left"/>
      <w:pPr>
        <w:tabs>
          <w:tab w:val="left" w:pos="1588"/>
        </w:tabs>
        <w:ind w:left="1588" w:hanging="1021"/>
      </w:pPr>
      <w:rPr>
        <w:rFonts w:hint="eastAsia" w:ascii="黑体" w:hAnsi="宋体" w:eastAsia="黑体"/>
        <w:b w:val="0"/>
      </w:rPr>
    </w:lvl>
    <w:lvl w:ilvl="2" w:tentative="1">
      <w:start w:val="1"/>
      <w:numFmt w:val="decimal"/>
      <w:pStyle w:val="96"/>
      <w:lvlText w:val="%1.%2.%3"/>
      <w:lvlJc w:val="left"/>
      <w:pPr>
        <w:tabs>
          <w:tab w:val="left" w:pos="1247"/>
        </w:tabs>
        <w:ind w:left="567" w:firstLine="0"/>
      </w:pPr>
      <w:rPr>
        <w:rFonts w:hint="eastAsia" w:ascii="黑体" w:eastAsia="黑体"/>
        <w:b w:val="0"/>
        <w:sz w:val="21"/>
        <w:szCs w:val="21"/>
      </w:rPr>
    </w:lvl>
    <w:lvl w:ilvl="3" w:tentative="1">
      <w:start w:val="1"/>
      <w:numFmt w:val="decimal"/>
      <w:lvlText w:val="%1.%2.%3.%4"/>
      <w:lvlJc w:val="left"/>
      <w:pPr>
        <w:tabs>
          <w:tab w:val="left" w:pos="864"/>
        </w:tabs>
        <w:ind w:left="864" w:hanging="864"/>
      </w:pPr>
      <w:rPr>
        <w:rFonts w:hint="eastAsia" w:ascii="黑体" w:eastAsia="黑体"/>
        <w:b w:val="0"/>
      </w:rPr>
    </w:lvl>
    <w:lvl w:ilvl="4" w:tentative="1">
      <w:start w:val="1"/>
      <w:numFmt w:val="upperLetter"/>
      <w:lvlText w:val="%5"/>
      <w:lvlJc w:val="left"/>
      <w:pPr>
        <w:tabs>
          <w:tab w:val="left" w:pos="2835"/>
        </w:tabs>
        <w:ind w:left="3175" w:hanging="340"/>
      </w:pPr>
      <w:rPr>
        <w:rFonts w:hint="eastAsia" w:ascii="黑体" w:eastAsia="黑体"/>
      </w:rPr>
    </w:lvl>
    <w:lvl w:ilvl="5" w:tentative="1">
      <w:start w:val="1"/>
      <w:numFmt w:val="lowerLetter"/>
      <w:lvlText w:val="%6)"/>
      <w:lvlJc w:val="left"/>
      <w:pPr>
        <w:tabs>
          <w:tab w:val="left" w:pos="1800"/>
        </w:tabs>
        <w:ind w:left="1152" w:hanging="1152"/>
      </w:pPr>
      <w:rPr>
        <w:rFonts w:hint="eastAsia" w:ascii="黑体" w:eastAsia="黑体"/>
      </w:rPr>
    </w:lvl>
    <w:lvl w:ilvl="6" w:tentative="1">
      <w:start w:val="1"/>
      <w:numFmt w:val="decimal"/>
      <w:lvlText w:val="%1.%2.%3.%4.%5.%6.%7"/>
      <w:lvlJc w:val="left"/>
      <w:pPr>
        <w:tabs>
          <w:tab w:val="left" w:pos="1800"/>
        </w:tabs>
        <w:ind w:left="1296" w:hanging="1296"/>
      </w:pPr>
      <w:rPr>
        <w:rFonts w:hint="default"/>
      </w:rPr>
    </w:lvl>
    <w:lvl w:ilvl="7" w:tentative="1">
      <w:start w:val="1"/>
      <w:numFmt w:val="decimal"/>
      <w:lvlText w:val="%1.%2.%3.%4.%5.%6.%7.%8"/>
      <w:lvlJc w:val="left"/>
      <w:pPr>
        <w:tabs>
          <w:tab w:val="left" w:pos="2160"/>
        </w:tabs>
        <w:ind w:left="1440" w:hanging="1440"/>
      </w:pPr>
      <w:rPr>
        <w:rFonts w:hint="default"/>
      </w:rPr>
    </w:lvl>
    <w:lvl w:ilvl="8" w:tentative="1">
      <w:start w:val="1"/>
      <w:numFmt w:val="decimal"/>
      <w:lvlText w:val="%1.%2.%3.%4.%5.%6.%7.%8.%9"/>
      <w:lvlJc w:val="left"/>
      <w:pPr>
        <w:tabs>
          <w:tab w:val="left" w:pos="2520"/>
        </w:tabs>
        <w:ind w:left="1584" w:hanging="1584"/>
      </w:pPr>
      <w:rPr>
        <w:rFonts w:hint="default"/>
      </w:rPr>
    </w:lvl>
  </w:abstractNum>
  <w:abstractNum w:abstractNumId="11">
    <w:nsid w:val="0000000B"/>
    <w:multiLevelType w:val="multilevel"/>
    <w:tmpl w:val="0000000B"/>
    <w:lvl w:ilvl="0" w:tentative="1">
      <w:start w:val="1"/>
      <w:numFmt w:val="none"/>
      <w:lvlText w:val="1."/>
      <w:lvlJc w:val="left"/>
      <w:pPr>
        <w:tabs>
          <w:tab w:val="left" w:pos="425"/>
        </w:tabs>
        <w:ind w:left="425" w:hanging="425"/>
      </w:pPr>
      <w:rPr>
        <w:rFonts w:hint="eastAsia"/>
      </w:rPr>
    </w:lvl>
    <w:lvl w:ilvl="1" w:tentative="1">
      <w:start w:val="1"/>
      <w:numFmt w:val="decimal"/>
      <w:lvlText w:val="%11.%2."/>
      <w:lvlJc w:val="left"/>
      <w:pPr>
        <w:tabs>
          <w:tab w:val="left" w:pos="992"/>
        </w:tabs>
        <w:ind w:left="992" w:hanging="567"/>
      </w:pPr>
      <w:rPr>
        <w:rFonts w:hint="eastAsia"/>
      </w:rPr>
    </w:lvl>
    <w:lvl w:ilvl="2" w:tentative="1">
      <w:start w:val="1"/>
      <w:numFmt w:val="none"/>
      <w:pStyle w:val="73"/>
      <w:lvlText w:val="2.2.1."/>
      <w:lvlJc w:val="left"/>
      <w:pPr>
        <w:tabs>
          <w:tab w:val="left" w:pos="1418"/>
        </w:tabs>
        <w:ind w:left="1418" w:hanging="567"/>
      </w:pPr>
      <w:rPr>
        <w:rFonts w:hint="eastAsia"/>
      </w:rPr>
    </w:lvl>
    <w:lvl w:ilvl="3" w:tentative="1">
      <w:start w:val="1"/>
      <w:numFmt w:val="decimal"/>
      <w:lvlText w:val="%12.2.3.%4."/>
      <w:lvlJc w:val="left"/>
      <w:pPr>
        <w:tabs>
          <w:tab w:val="left" w:pos="1984"/>
        </w:tabs>
        <w:ind w:left="1984" w:hanging="708"/>
      </w:pPr>
      <w:rPr>
        <w:rFonts w:hint="eastAsia"/>
      </w:rPr>
    </w:lvl>
    <w:lvl w:ilvl="4" w:tentative="1">
      <w:start w:val="1"/>
      <w:numFmt w:val="decimal"/>
      <w:lvlText w:val="%1.%2.%3.%4.%5"/>
      <w:lvlJc w:val="left"/>
      <w:pPr>
        <w:tabs>
          <w:tab w:val="left" w:pos="2551"/>
        </w:tabs>
        <w:ind w:left="2551" w:hanging="850"/>
      </w:pPr>
      <w:rPr>
        <w:rFonts w:hint="eastAsia"/>
      </w:rPr>
    </w:lvl>
    <w:lvl w:ilvl="5" w:tentative="1">
      <w:start w:val="1"/>
      <w:numFmt w:val="decimal"/>
      <w:lvlText w:val="%1.%2.%3.%4.%5.%6"/>
      <w:lvlJc w:val="left"/>
      <w:pPr>
        <w:tabs>
          <w:tab w:val="left" w:pos="3260"/>
        </w:tabs>
        <w:ind w:left="3260" w:hanging="1134"/>
      </w:pPr>
      <w:rPr>
        <w:rFonts w:hint="eastAsia"/>
      </w:rPr>
    </w:lvl>
    <w:lvl w:ilvl="6" w:tentative="1">
      <w:start w:val="1"/>
      <w:numFmt w:val="decimal"/>
      <w:lvlText w:val="%1.%2.%3.%4.%5.%6.%7"/>
      <w:lvlJc w:val="left"/>
      <w:pPr>
        <w:tabs>
          <w:tab w:val="left" w:pos="3827"/>
        </w:tabs>
        <w:ind w:left="3827" w:hanging="1276"/>
      </w:pPr>
      <w:rPr>
        <w:rFonts w:hint="eastAsia"/>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569656686">
    <w:nsid w:val="21F4456E"/>
    <w:multiLevelType w:val="multilevel"/>
    <w:tmpl w:val="21F4456E"/>
    <w:lvl w:ilvl="0" w:tentative="1">
      <w:start w:val="1"/>
      <w:numFmt w:val="decimal"/>
      <w:lvlText w:val="%1."/>
      <w:lvlJc w:val="left"/>
      <w:pPr>
        <w:tabs>
          <w:tab w:val="left" w:pos="600"/>
        </w:tabs>
        <w:ind w:left="600" w:hanging="600"/>
      </w:pPr>
      <w:rPr>
        <w:rFonts w:hint="default"/>
        <w:b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pStyle w:val="6"/>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36031773">
    <w:nsid w:val="25E9131D"/>
    <w:multiLevelType w:val="multilevel"/>
    <w:tmpl w:val="25E9131D"/>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900"/>
        </w:tabs>
        <w:ind w:left="900" w:hanging="900"/>
      </w:pPr>
      <w:rPr>
        <w:rFonts w:hint="eastAsia"/>
      </w:rPr>
    </w:lvl>
    <w:lvl w:ilvl="2" w:tentative="1">
      <w:start w:val="1"/>
      <w:numFmt w:val="decimal"/>
      <w:lvlText w:val="%1.%2.%3"/>
      <w:lvlJc w:val="left"/>
      <w:pPr>
        <w:tabs>
          <w:tab w:val="left" w:pos="900"/>
        </w:tabs>
        <w:ind w:left="90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268855343">
    <w:nsid w:val="1006682F"/>
    <w:multiLevelType w:val="multilevel"/>
    <w:tmpl w:val="1006682F"/>
    <w:lvl w:ilvl="0" w:tentative="1">
      <w:start w:val="1"/>
      <w:numFmt w:val="japaneseCounting"/>
      <w:lvlText w:val="第%1章"/>
      <w:lvlJc w:val="left"/>
      <w:pPr>
        <w:ind w:left="1215" w:hanging="121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294967167">
    <w:nsid w:val="FFFFFF7F"/>
    <w:multiLevelType w:val="singleLevel"/>
    <w:tmpl w:val="FFFFFF7F"/>
    <w:lvl w:ilvl="0" w:tentative="1">
      <w:start w:val="1"/>
      <w:numFmt w:val="decimal"/>
      <w:pStyle w:val="17"/>
      <w:lvlText w:val="%1."/>
      <w:lvlJc w:val="left"/>
      <w:pPr>
        <w:tabs>
          <w:tab w:val="left" w:pos="780"/>
        </w:tabs>
        <w:ind w:left="780" w:hanging="360"/>
      </w:pPr>
    </w:lvl>
  </w:abstractNum>
  <w:abstractNum w:abstractNumId="358509199">
    <w:nsid w:val="155E6A8F"/>
    <w:multiLevelType w:val="multilevel"/>
    <w:tmpl w:val="155E6A8F"/>
    <w:lvl w:ilvl="0" w:tentative="1">
      <w:start w:val="1"/>
      <w:numFmt w:val="decimal"/>
      <w:lvlText w:val="（%1）"/>
      <w:lvlJc w:val="left"/>
      <w:pPr>
        <w:tabs>
          <w:tab w:val="left" w:pos="1571"/>
        </w:tabs>
        <w:ind w:left="1571" w:hanging="720"/>
      </w:pPr>
      <w:rPr>
        <w:rFonts w:ascii="仿宋_GB2312" w:hAnsi="宋体" w:eastAsia="仿宋_GB2312" w:cs="Times New Roman"/>
      </w:rPr>
    </w:lvl>
    <w:lvl w:ilvl="1" w:tentative="1">
      <w:start w:val="1"/>
      <w:numFmt w:val="lowerLetter"/>
      <w:lvlText w:val="%2)"/>
      <w:lvlJc w:val="left"/>
      <w:pPr>
        <w:tabs>
          <w:tab w:val="left" w:pos="1739"/>
        </w:tabs>
        <w:ind w:left="1739" w:hanging="420"/>
      </w:pPr>
    </w:lvl>
    <w:lvl w:ilvl="2" w:tentative="1">
      <w:start w:val="1"/>
      <w:numFmt w:val="lowerRoman"/>
      <w:lvlText w:val="%3."/>
      <w:lvlJc w:val="right"/>
      <w:pPr>
        <w:tabs>
          <w:tab w:val="left" w:pos="2159"/>
        </w:tabs>
        <w:ind w:left="2159" w:hanging="420"/>
      </w:pPr>
    </w:lvl>
    <w:lvl w:ilvl="3" w:tentative="1">
      <w:start w:val="1"/>
      <w:numFmt w:val="decimal"/>
      <w:lvlText w:val="%4."/>
      <w:lvlJc w:val="left"/>
      <w:pPr>
        <w:tabs>
          <w:tab w:val="left" w:pos="2579"/>
        </w:tabs>
        <w:ind w:left="2579" w:hanging="420"/>
      </w:pPr>
    </w:lvl>
    <w:lvl w:ilvl="4" w:tentative="1">
      <w:start w:val="1"/>
      <w:numFmt w:val="lowerLetter"/>
      <w:lvlText w:val="%5)"/>
      <w:lvlJc w:val="left"/>
      <w:pPr>
        <w:tabs>
          <w:tab w:val="left" w:pos="2999"/>
        </w:tabs>
        <w:ind w:left="2999" w:hanging="420"/>
      </w:pPr>
    </w:lvl>
    <w:lvl w:ilvl="5" w:tentative="1">
      <w:start w:val="1"/>
      <w:numFmt w:val="lowerRoman"/>
      <w:lvlText w:val="%6."/>
      <w:lvlJc w:val="right"/>
      <w:pPr>
        <w:tabs>
          <w:tab w:val="left" w:pos="3419"/>
        </w:tabs>
        <w:ind w:left="3419" w:hanging="420"/>
      </w:pPr>
    </w:lvl>
    <w:lvl w:ilvl="6" w:tentative="1">
      <w:start w:val="1"/>
      <w:numFmt w:val="decimal"/>
      <w:lvlText w:val="%7."/>
      <w:lvlJc w:val="left"/>
      <w:pPr>
        <w:tabs>
          <w:tab w:val="left" w:pos="3839"/>
        </w:tabs>
        <w:ind w:left="3839" w:hanging="420"/>
      </w:pPr>
    </w:lvl>
    <w:lvl w:ilvl="7" w:tentative="1">
      <w:start w:val="1"/>
      <w:numFmt w:val="lowerLetter"/>
      <w:lvlText w:val="%8)"/>
      <w:lvlJc w:val="left"/>
      <w:pPr>
        <w:tabs>
          <w:tab w:val="left" w:pos="4259"/>
        </w:tabs>
        <w:ind w:left="4259" w:hanging="420"/>
      </w:pPr>
    </w:lvl>
    <w:lvl w:ilvl="8" w:tentative="1">
      <w:start w:val="1"/>
      <w:numFmt w:val="lowerRoman"/>
      <w:lvlText w:val="%9."/>
      <w:lvlJc w:val="right"/>
      <w:pPr>
        <w:tabs>
          <w:tab w:val="left" w:pos="4679"/>
        </w:tabs>
        <w:ind w:left="4679" w:hanging="420"/>
      </w:pPr>
    </w:lvl>
  </w:abstractNum>
  <w:abstractNum w:abstractNumId="978461411">
    <w:nsid w:val="3A5222E3"/>
    <w:multiLevelType w:val="multilevel"/>
    <w:tmpl w:val="3A5222E3"/>
    <w:lvl w:ilvl="0" w:tentative="1">
      <w:start w:val="5"/>
      <w:numFmt w:val="japaneseCounting"/>
      <w:pStyle w:val="100"/>
      <w:lvlText w:val="第%1章"/>
      <w:lvlJc w:val="left"/>
      <w:pPr>
        <w:tabs>
          <w:tab w:val="left" w:pos="1620"/>
        </w:tabs>
        <w:ind w:left="1620" w:hanging="1080"/>
      </w:pPr>
      <w:rPr>
        <w:rFonts w:hint="default"/>
      </w:rPr>
    </w:lvl>
    <w:lvl w:ilvl="1" w:tentative="1">
      <w:start w:val="1"/>
      <w:numFmt w:val="japaneseCounting"/>
      <w:pStyle w:val="94"/>
      <w:lvlText w:val="(%2)"/>
      <w:lvlJc w:val="left"/>
      <w:pPr>
        <w:tabs>
          <w:tab w:val="left" w:pos="1560"/>
        </w:tabs>
        <w:ind w:left="1560" w:hanging="600"/>
      </w:pPr>
      <w:rPr>
        <w:rFonts w:hint="default"/>
      </w:rPr>
    </w:lvl>
    <w:lvl w:ilvl="2" w:tentative="1">
      <w:start w:val="8"/>
      <w:numFmt w:val="decimal"/>
      <w:pStyle w:val="89"/>
      <w:lvlText w:val="%3."/>
      <w:lvlJc w:val="left"/>
      <w:pPr>
        <w:tabs>
          <w:tab w:val="left" w:pos="1740"/>
        </w:tabs>
        <w:ind w:left="1740" w:hanging="360"/>
      </w:pPr>
      <w:rPr>
        <w:rFonts w:hint="default"/>
      </w:rPr>
    </w:lvl>
    <w:lvl w:ilvl="3" w:tentative="1">
      <w:start w:val="1"/>
      <w:numFmt w:val="decimal"/>
      <w:pStyle w:val="85"/>
      <w:lvlText w:val="%4."/>
      <w:lvlJc w:val="left"/>
      <w:pPr>
        <w:tabs>
          <w:tab w:val="left" w:pos="2220"/>
        </w:tabs>
        <w:ind w:left="2220" w:hanging="420"/>
      </w:pPr>
    </w:lvl>
    <w:lvl w:ilvl="4" w:tentative="1">
      <w:start w:val="1"/>
      <w:numFmt w:val="lowerLetter"/>
      <w:lvlText w:val="%5)"/>
      <w:lvlJc w:val="left"/>
      <w:pPr>
        <w:tabs>
          <w:tab w:val="left" w:pos="2640"/>
        </w:tabs>
        <w:ind w:left="2640" w:hanging="420"/>
      </w:pPr>
    </w:lvl>
    <w:lvl w:ilvl="5" w:tentative="1">
      <w:start w:val="1"/>
      <w:numFmt w:val="lowerRoman"/>
      <w:lvlText w:val="%6."/>
      <w:lvlJc w:val="right"/>
      <w:pPr>
        <w:tabs>
          <w:tab w:val="left" w:pos="3060"/>
        </w:tabs>
        <w:ind w:left="3060" w:hanging="420"/>
      </w:pPr>
    </w:lvl>
    <w:lvl w:ilvl="6" w:tentative="1">
      <w:start w:val="1"/>
      <w:numFmt w:val="decimal"/>
      <w:lvlText w:val="%7."/>
      <w:lvlJc w:val="left"/>
      <w:pPr>
        <w:tabs>
          <w:tab w:val="left" w:pos="3480"/>
        </w:tabs>
        <w:ind w:left="3480" w:hanging="420"/>
      </w:pPr>
    </w:lvl>
    <w:lvl w:ilvl="7" w:tentative="1">
      <w:start w:val="1"/>
      <w:numFmt w:val="lowerLetter"/>
      <w:lvlText w:val="%8)"/>
      <w:lvlJc w:val="left"/>
      <w:pPr>
        <w:tabs>
          <w:tab w:val="left" w:pos="3900"/>
        </w:tabs>
        <w:ind w:left="3900" w:hanging="420"/>
      </w:pPr>
    </w:lvl>
    <w:lvl w:ilvl="8" w:tentative="1">
      <w:start w:val="1"/>
      <w:numFmt w:val="lowerRoman"/>
      <w:lvlText w:val="%9."/>
      <w:lvlJc w:val="right"/>
      <w:pPr>
        <w:tabs>
          <w:tab w:val="left" w:pos="4320"/>
        </w:tabs>
        <w:ind w:left="4320" w:hanging="420"/>
      </w:pPr>
    </w:lvl>
  </w:abstractNum>
  <w:abstractNum w:abstractNumId="2113740296">
    <w:nsid w:val="7DFD1E08"/>
    <w:multiLevelType w:val="multilevel"/>
    <w:tmpl w:val="7DFD1E08"/>
    <w:lvl w:ilvl="0" w:tentative="1">
      <w:start w:val="4"/>
      <w:numFmt w:val="decimal"/>
      <w:lvlText w:val="%1."/>
      <w:lvlJc w:val="left"/>
      <w:pPr>
        <w:ind w:left="425" w:hanging="425"/>
      </w:pPr>
      <w:rPr>
        <w:rFonts w:hint="eastAsia"/>
      </w:rPr>
    </w:lvl>
    <w:lvl w:ilvl="1" w:tentative="1">
      <w:start w:val="4"/>
      <w:numFmt w:val="decimal"/>
      <w:pStyle w:val="67"/>
      <w:lvlText w:val="%1.%2."/>
      <w:lvlJc w:val="left"/>
      <w:pPr>
        <w:ind w:left="567" w:hanging="567"/>
      </w:pPr>
      <w:rPr>
        <w:rFonts w:hint="eastAsia" w:cs="Times New Roman"/>
        <w:b w:val="0"/>
        <w:bCs w:val="0"/>
        <w:i w:val="0"/>
        <w:iCs w:val="0"/>
        <w:caps w:val="0"/>
        <w:smallCaps w:val="0"/>
        <w:strike w:val="0"/>
        <w:dstrike w:val="0"/>
        <w:outline w:val="0"/>
        <w:shadow w:val="0"/>
        <w:spacing w:val="0"/>
        <w:position w:val="0"/>
        <w:u w:val="none"/>
      </w:rPr>
    </w:lvl>
    <w:lvl w:ilvl="2" w:tentative="1">
      <w:start w:val="3"/>
      <w:numFmt w:val="decimal"/>
      <w:lvlText w:val="%1.%2.%3."/>
      <w:lvlJc w:val="left"/>
      <w:pPr>
        <w:ind w:left="709" w:hanging="709"/>
      </w:pPr>
      <w:rPr>
        <w:rFonts w:hint="eastAsia" w:cs="Times New Roman"/>
        <w:b w:val="0"/>
        <w:bCs w:val="0"/>
        <w:i w:val="0"/>
        <w:iCs w:val="0"/>
        <w:caps w:val="0"/>
        <w:smallCaps w:val="0"/>
        <w:strike w:val="0"/>
        <w:dstrike w:val="0"/>
        <w:outline w:val="0"/>
        <w:shadow w:val="0"/>
        <w:spacing w:val="0"/>
        <w:position w:val="0"/>
        <w:u w:val="none"/>
      </w:rPr>
    </w:lvl>
    <w:lvl w:ilvl="3" w:tentative="1">
      <w:start w:val="1"/>
      <w:numFmt w:val="decimal"/>
      <w:lvlText w:val="%1.%2.%3.%4."/>
      <w:lvlJc w:val="left"/>
      <w:pPr>
        <w:ind w:left="851" w:hanging="851"/>
      </w:pPr>
      <w:rPr>
        <w:rFonts w:hint="eastAsia"/>
      </w:rPr>
    </w:lvl>
    <w:lvl w:ilvl="4" w:tentative="1">
      <w:start w:val="1"/>
      <w:numFmt w:val="decimal"/>
      <w:lvlText w:val="%1.%2.%3.%4.%5."/>
      <w:lvlJc w:val="left"/>
      <w:pPr>
        <w:ind w:left="992" w:hanging="992"/>
      </w:pPr>
      <w:rPr>
        <w:rFonts w:hint="eastAsia"/>
      </w:rPr>
    </w:lvl>
    <w:lvl w:ilvl="5" w:tentative="1">
      <w:start w:val="1"/>
      <w:numFmt w:val="decimal"/>
      <w:lvlText w:val="%1.%2.%3.%4.%5.%6."/>
      <w:lvlJc w:val="left"/>
      <w:pPr>
        <w:ind w:left="1134" w:hanging="1134"/>
      </w:pPr>
      <w:rPr>
        <w:rFonts w:hint="eastAsia"/>
      </w:rPr>
    </w:lvl>
    <w:lvl w:ilvl="6" w:tentative="1">
      <w:start w:val="1"/>
      <w:numFmt w:val="decimal"/>
      <w:lvlText w:val="%1.%2.%3.%4.%5.%6.%7."/>
      <w:lvlJc w:val="left"/>
      <w:pPr>
        <w:ind w:left="1276" w:hanging="1276"/>
      </w:pPr>
      <w:rPr>
        <w:rFonts w:hint="eastAsia"/>
      </w:rPr>
    </w:lvl>
    <w:lvl w:ilvl="7" w:tentative="1">
      <w:start w:val="1"/>
      <w:numFmt w:val="decimal"/>
      <w:lvlText w:val="%1.%2.%3.%4.%5.%6.%7.%8."/>
      <w:lvlJc w:val="left"/>
      <w:pPr>
        <w:ind w:left="1418" w:hanging="1418"/>
      </w:pPr>
      <w:rPr>
        <w:rFonts w:hint="eastAsia"/>
      </w:rPr>
    </w:lvl>
    <w:lvl w:ilvl="8" w:tentative="1">
      <w:start w:val="1"/>
      <w:numFmt w:val="decimal"/>
      <w:lvlText w:val="%1.%2.%3.%4.%5.%6.%7.%8.%9."/>
      <w:lvlJc w:val="left"/>
      <w:pPr>
        <w:ind w:left="1559" w:hanging="1559"/>
      </w:pPr>
      <w:rPr>
        <w:rFonts w:hint="eastAsia"/>
      </w:rPr>
    </w:lvl>
  </w:abstractNum>
  <w:num w:numId="1">
    <w:abstractNumId w:val="569656686"/>
  </w:num>
  <w:num w:numId="2">
    <w:abstractNumId w:val="4294967167"/>
  </w:num>
  <w:num w:numId="3">
    <w:abstractNumId w:val="13"/>
  </w:num>
  <w:num w:numId="4">
    <w:abstractNumId w:val="2113740296"/>
  </w:num>
  <w:num w:numId="5">
    <w:abstractNumId w:val="11"/>
  </w:num>
  <w:num w:numId="6">
    <w:abstractNumId w:val="2009819338"/>
  </w:num>
  <w:num w:numId="7">
    <w:abstractNumId w:val="978461411"/>
  </w:num>
  <w:num w:numId="8">
    <w:abstractNumId w:val="268855343"/>
  </w:num>
  <w:num w:numId="9">
    <w:abstractNumId w:val="3914931784"/>
  </w:num>
  <w:num w:numId="10">
    <w:abstractNumId w:val="1461057376"/>
  </w:num>
  <w:num w:numId="11">
    <w:abstractNumId w:val="636031773"/>
  </w:num>
  <w:num w:numId="12">
    <w:abstractNumId w:val="1726248718"/>
  </w:num>
  <w:num w:numId="13">
    <w:abstractNumId w:val="3585091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semiHidden="0" w:name="annotation subject"/>
    <w:lsdException w:qFormat="1"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9"/>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10"/>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111"/>
    <w:qFormat/>
    <w:uiPriority w:val="0"/>
    <w:pPr>
      <w:keepNext/>
      <w:keepLines/>
      <w:spacing w:before="260" w:after="260" w:line="413" w:lineRule="auto"/>
      <w:outlineLvl w:val="2"/>
    </w:pPr>
    <w:rPr>
      <w:b/>
      <w:bCs/>
      <w:kern w:val="2"/>
      <w:sz w:val="32"/>
      <w:szCs w:val="32"/>
    </w:rPr>
  </w:style>
  <w:style w:type="paragraph" w:styleId="5">
    <w:name w:val="heading 4"/>
    <w:basedOn w:val="1"/>
    <w:next w:val="1"/>
    <w:link w:val="112"/>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113"/>
    <w:qFormat/>
    <w:uiPriority w:val="0"/>
    <w:pPr>
      <w:widowControl/>
      <w:numPr>
        <w:ilvl w:val="4"/>
        <w:numId w:val="1"/>
      </w:numPr>
      <w:tabs>
        <w:tab w:val="left" w:pos="600"/>
        <w:tab w:val="left" w:pos="2232"/>
        <w:tab w:val="clear" w:pos="2100"/>
      </w:tabs>
      <w:spacing w:before="240" w:after="60"/>
      <w:jc w:val="left"/>
      <w:outlineLvl w:val="4"/>
    </w:pPr>
    <w:rPr>
      <w:i/>
      <w:kern w:val="0"/>
      <w:sz w:val="18"/>
      <w:szCs w:val="20"/>
    </w:rPr>
  </w:style>
  <w:style w:type="paragraph" w:styleId="7">
    <w:name w:val="heading 6"/>
    <w:basedOn w:val="1"/>
    <w:next w:val="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8">
    <w:name w:val="heading 7"/>
    <w:basedOn w:val="1"/>
    <w:next w:val="9"/>
    <w:link w:val="114"/>
    <w:qFormat/>
    <w:uiPriority w:val="99"/>
    <w:pPr>
      <w:keepNext/>
      <w:keepLines/>
      <w:widowControl/>
      <w:tabs>
        <w:tab w:val="left" w:pos="2520"/>
      </w:tabs>
      <w:spacing w:before="240" w:after="64" w:line="317" w:lineRule="auto"/>
      <w:ind w:left="1296" w:hanging="1296"/>
      <w:jc w:val="left"/>
      <w:outlineLvl w:val="6"/>
    </w:pPr>
    <w:rPr>
      <w:b/>
      <w:bCs/>
      <w:kern w:val="0"/>
      <w:sz w:val="24"/>
    </w:rPr>
  </w:style>
  <w:style w:type="paragraph" w:styleId="10">
    <w:name w:val="heading 8"/>
    <w:basedOn w:val="1"/>
    <w:next w:val="1"/>
    <w:link w:val="115"/>
    <w:qFormat/>
    <w:uiPriority w:val="99"/>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1">
    <w:name w:val="heading 9"/>
    <w:basedOn w:val="1"/>
    <w:next w:val="1"/>
    <w:link w:val="116"/>
    <w:qFormat/>
    <w:uiPriority w:val="99"/>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51">
    <w:name w:val="Default Paragraph Font"/>
    <w:qFormat/>
    <w:uiPriority w:val="0"/>
  </w:style>
  <w:style w:type="paragraph" w:styleId="9">
    <w:name w:val="Normal Indent"/>
    <w:basedOn w:val="1"/>
    <w:link w:val="117"/>
    <w:qFormat/>
    <w:uiPriority w:val="0"/>
    <w:pPr>
      <w:ind w:firstLine="420" w:firstLineChars="200"/>
    </w:pPr>
  </w:style>
  <w:style w:type="paragraph" w:styleId="12">
    <w:name w:val="annotation subject"/>
    <w:basedOn w:val="13"/>
    <w:next w:val="13"/>
    <w:link w:val="131"/>
    <w:qFormat/>
    <w:uiPriority w:val="0"/>
    <w:rPr>
      <w:b/>
      <w:bCs/>
    </w:rPr>
  </w:style>
  <w:style w:type="paragraph" w:styleId="13">
    <w:name w:val="annotation text"/>
    <w:basedOn w:val="1"/>
    <w:link w:val="118"/>
    <w:qFormat/>
    <w:uiPriority w:val="0"/>
    <w:pPr>
      <w:jc w:val="left"/>
    </w:pPr>
  </w:style>
  <w:style w:type="paragraph" w:styleId="14">
    <w:name w:val="toc 7"/>
    <w:basedOn w:val="1"/>
    <w:next w:val="1"/>
    <w:unhideWhenUsed/>
    <w:qFormat/>
    <w:uiPriority w:val="0"/>
    <w:pPr>
      <w:ind w:left="2520" w:leftChars="1200"/>
    </w:pPr>
    <w:rPr>
      <w:rFonts w:ascii="Calibri" w:hAnsi="Calibri" w:eastAsia="宋体" w:cs="Times New Roman"/>
      <w:szCs w:val="22"/>
    </w:rPr>
  </w:style>
  <w:style w:type="paragraph" w:styleId="15">
    <w:name w:val="Body Text First Indent"/>
    <w:basedOn w:val="16"/>
    <w:link w:val="132"/>
    <w:qFormat/>
    <w:uiPriority w:val="0"/>
    <w:pPr>
      <w:ind w:firstLine="420" w:firstLineChars="100"/>
    </w:pPr>
  </w:style>
  <w:style w:type="paragraph" w:styleId="16">
    <w:name w:val="Body Text"/>
    <w:basedOn w:val="1"/>
    <w:link w:val="120"/>
    <w:qFormat/>
    <w:uiPriority w:val="0"/>
    <w:pPr>
      <w:spacing w:after="120"/>
    </w:pPr>
  </w:style>
  <w:style w:type="paragraph" w:styleId="17">
    <w:name w:val="List Number 2"/>
    <w:basedOn w:val="1"/>
    <w:qFormat/>
    <w:uiPriority w:val="0"/>
    <w:pPr>
      <w:widowControl/>
      <w:numPr>
        <w:ilvl w:val="0"/>
        <w:numId w:val="2"/>
      </w:numPr>
      <w:tabs>
        <w:tab w:val="left" w:pos="851"/>
        <w:tab w:val="right" w:pos="10206"/>
        <w:tab w:val="clear" w:pos="780"/>
      </w:tabs>
      <w:spacing w:after="120" w:line="240" w:lineRule="atLeast"/>
      <w:ind w:left="851" w:leftChars="0" w:hanging="426" w:firstLineChars="0"/>
    </w:pPr>
    <w:rPr>
      <w:rFonts w:ascii="Arial" w:hAnsi="Arial"/>
      <w:kern w:val="0"/>
      <w:sz w:val="18"/>
      <w:szCs w:val="20"/>
    </w:rPr>
  </w:style>
  <w:style w:type="paragraph" w:styleId="18">
    <w:name w:val="index 8"/>
    <w:basedOn w:val="1"/>
    <w:next w:val="1"/>
    <w:qFormat/>
    <w:uiPriority w:val="0"/>
    <w:pPr>
      <w:widowControl/>
      <w:ind w:left="2940"/>
      <w:jc w:val="left"/>
    </w:pPr>
    <w:rPr>
      <w:kern w:val="0"/>
      <w:sz w:val="20"/>
      <w:szCs w:val="20"/>
    </w:rPr>
  </w:style>
  <w:style w:type="paragraph" w:styleId="19">
    <w:name w:val="index 5"/>
    <w:basedOn w:val="1"/>
    <w:next w:val="1"/>
    <w:qFormat/>
    <w:uiPriority w:val="0"/>
    <w:pPr>
      <w:widowControl/>
      <w:ind w:left="1680"/>
      <w:jc w:val="left"/>
    </w:pPr>
    <w:rPr>
      <w:kern w:val="0"/>
      <w:sz w:val="20"/>
      <w:szCs w:val="20"/>
    </w:rPr>
  </w:style>
  <w:style w:type="paragraph" w:styleId="20">
    <w:name w:val="Document Map"/>
    <w:basedOn w:val="1"/>
    <w:qFormat/>
    <w:uiPriority w:val="0"/>
    <w:pPr>
      <w:shd w:val="clear" w:color="auto" w:fill="000080"/>
    </w:pPr>
  </w:style>
  <w:style w:type="paragraph" w:styleId="21">
    <w:name w:val="index 6"/>
    <w:basedOn w:val="1"/>
    <w:next w:val="1"/>
    <w:qFormat/>
    <w:uiPriority w:val="0"/>
    <w:pPr>
      <w:widowControl/>
      <w:ind w:left="2100"/>
      <w:jc w:val="left"/>
    </w:pPr>
    <w:rPr>
      <w:kern w:val="0"/>
      <w:sz w:val="20"/>
      <w:szCs w:val="20"/>
    </w:rPr>
  </w:style>
  <w:style w:type="paragraph" w:styleId="22">
    <w:name w:val="Body Text 3"/>
    <w:basedOn w:val="1"/>
    <w:link w:val="119"/>
    <w:qFormat/>
    <w:uiPriority w:val="0"/>
    <w:rPr>
      <w:rFonts w:ascii="宋体"/>
      <w:sz w:val="24"/>
      <w:szCs w:val="20"/>
    </w:rPr>
  </w:style>
  <w:style w:type="paragraph" w:styleId="23">
    <w:name w:val="Body Text Indent"/>
    <w:basedOn w:val="1"/>
    <w:qFormat/>
    <w:uiPriority w:val="0"/>
    <w:pPr>
      <w:spacing w:after="120"/>
      <w:ind w:left="420" w:leftChars="200"/>
    </w:pPr>
  </w:style>
  <w:style w:type="paragraph" w:styleId="24">
    <w:name w:val="index 4"/>
    <w:basedOn w:val="1"/>
    <w:next w:val="1"/>
    <w:qFormat/>
    <w:uiPriority w:val="0"/>
    <w:pPr>
      <w:widowControl/>
      <w:ind w:left="1260"/>
      <w:jc w:val="left"/>
    </w:pPr>
    <w:rPr>
      <w:kern w:val="0"/>
      <w:sz w:val="20"/>
      <w:szCs w:val="20"/>
    </w:rPr>
  </w:style>
  <w:style w:type="paragraph" w:styleId="25">
    <w:name w:val="toc 5"/>
    <w:basedOn w:val="1"/>
    <w:next w:val="1"/>
    <w:unhideWhenUsed/>
    <w:qFormat/>
    <w:uiPriority w:val="0"/>
    <w:pPr>
      <w:ind w:left="1680" w:leftChars="800"/>
    </w:pPr>
    <w:rPr>
      <w:rFonts w:ascii="Calibri" w:hAnsi="Calibri" w:eastAsia="宋体" w:cs="Times New Roman"/>
      <w:szCs w:val="22"/>
    </w:rPr>
  </w:style>
  <w:style w:type="paragraph" w:styleId="26">
    <w:name w:val="toc 3"/>
    <w:basedOn w:val="1"/>
    <w:next w:val="1"/>
    <w:qFormat/>
    <w:uiPriority w:val="39"/>
    <w:pPr>
      <w:ind w:left="840" w:leftChars="400"/>
    </w:pPr>
  </w:style>
  <w:style w:type="paragraph" w:styleId="27">
    <w:name w:val="Plain Text"/>
    <w:basedOn w:val="1"/>
    <w:link w:val="121"/>
    <w:qFormat/>
    <w:uiPriority w:val="0"/>
    <w:rPr>
      <w:rFonts w:ascii="宋体" w:hAnsi="Courier New"/>
      <w:szCs w:val="20"/>
    </w:rPr>
  </w:style>
  <w:style w:type="paragraph" w:styleId="28">
    <w:name w:val="toc 8"/>
    <w:basedOn w:val="1"/>
    <w:next w:val="1"/>
    <w:unhideWhenUsed/>
    <w:qFormat/>
    <w:uiPriority w:val="0"/>
    <w:pPr>
      <w:ind w:left="2940" w:leftChars="1400"/>
    </w:pPr>
    <w:rPr>
      <w:rFonts w:ascii="Calibri" w:hAnsi="Calibri" w:eastAsia="宋体" w:cs="Times New Roman"/>
      <w:szCs w:val="22"/>
    </w:rPr>
  </w:style>
  <w:style w:type="paragraph" w:styleId="29">
    <w:name w:val="index 3"/>
    <w:basedOn w:val="1"/>
    <w:next w:val="1"/>
    <w:qFormat/>
    <w:uiPriority w:val="0"/>
    <w:pPr>
      <w:widowControl/>
      <w:ind w:left="840"/>
      <w:jc w:val="left"/>
    </w:pPr>
    <w:rPr>
      <w:kern w:val="0"/>
      <w:sz w:val="20"/>
      <w:szCs w:val="20"/>
    </w:rPr>
  </w:style>
  <w:style w:type="paragraph" w:styleId="30">
    <w:name w:val="Date"/>
    <w:basedOn w:val="1"/>
    <w:next w:val="1"/>
    <w:link w:val="122"/>
    <w:qFormat/>
    <w:uiPriority w:val="0"/>
    <w:rPr>
      <w:sz w:val="24"/>
      <w:szCs w:val="20"/>
    </w:rPr>
  </w:style>
  <w:style w:type="paragraph" w:styleId="31">
    <w:name w:val="Body Text Indent 2"/>
    <w:basedOn w:val="1"/>
    <w:link w:val="123"/>
    <w:qFormat/>
    <w:uiPriority w:val="0"/>
    <w:pPr>
      <w:widowControl/>
      <w:ind w:left="709"/>
      <w:jc w:val="left"/>
    </w:pPr>
    <w:rPr>
      <w:kern w:val="0"/>
      <w:sz w:val="24"/>
      <w:szCs w:val="20"/>
    </w:rPr>
  </w:style>
  <w:style w:type="paragraph" w:styleId="32">
    <w:name w:val="Balloon Text"/>
    <w:basedOn w:val="1"/>
    <w:link w:val="124"/>
    <w:qFormat/>
    <w:uiPriority w:val="0"/>
    <w:rPr>
      <w:sz w:val="18"/>
      <w:szCs w:val="18"/>
    </w:rPr>
  </w:style>
  <w:style w:type="paragraph" w:styleId="33">
    <w:name w:val="footer"/>
    <w:basedOn w:val="1"/>
    <w:link w:val="125"/>
    <w:qFormat/>
    <w:uiPriority w:val="0"/>
    <w:pPr>
      <w:tabs>
        <w:tab w:val="center" w:pos="4153"/>
        <w:tab w:val="right" w:pos="8306"/>
      </w:tabs>
      <w:snapToGrid w:val="0"/>
      <w:jc w:val="left"/>
    </w:pPr>
    <w:rPr>
      <w:sz w:val="18"/>
      <w:szCs w:val="18"/>
    </w:rPr>
  </w:style>
  <w:style w:type="paragraph" w:styleId="34">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8296"/>
      </w:tabs>
      <w:spacing w:line="440" w:lineRule="exact"/>
      <w:jc w:val="center"/>
    </w:pPr>
    <w:rPr>
      <w:b/>
    </w:rPr>
  </w:style>
  <w:style w:type="paragraph" w:styleId="36">
    <w:name w:val="toc 4"/>
    <w:basedOn w:val="1"/>
    <w:next w:val="1"/>
    <w:unhideWhenUsed/>
    <w:qFormat/>
    <w:uiPriority w:val="0"/>
    <w:pPr>
      <w:ind w:left="1260" w:leftChars="600"/>
    </w:pPr>
    <w:rPr>
      <w:rFonts w:ascii="Calibri" w:hAnsi="Calibri" w:eastAsia="宋体" w:cs="Times New Roman"/>
      <w:szCs w:val="22"/>
    </w:rPr>
  </w:style>
  <w:style w:type="paragraph" w:styleId="37">
    <w:name w:val="index heading"/>
    <w:basedOn w:val="1"/>
    <w:next w:val="38"/>
    <w:qFormat/>
    <w:uiPriority w:val="0"/>
    <w:pPr>
      <w:widowControl/>
      <w:jc w:val="left"/>
    </w:pPr>
    <w:rPr>
      <w:kern w:val="0"/>
      <w:sz w:val="20"/>
      <w:szCs w:val="20"/>
    </w:rPr>
  </w:style>
  <w:style w:type="paragraph" w:styleId="38">
    <w:name w:val="index 1"/>
    <w:basedOn w:val="1"/>
    <w:next w:val="1"/>
    <w:qFormat/>
    <w:uiPriority w:val="0"/>
    <w:pPr>
      <w:spacing w:line="220" w:lineRule="exact"/>
      <w:jc w:val="center"/>
    </w:pPr>
    <w:rPr>
      <w:rFonts w:ascii="仿宋_GB2312" w:eastAsia="仿宋_GB2312"/>
      <w:szCs w:val="21"/>
    </w:rPr>
  </w:style>
  <w:style w:type="paragraph" w:styleId="39">
    <w:name w:val="Subtitle"/>
    <w:basedOn w:val="1"/>
    <w:next w:val="1"/>
    <w:link w:val="127"/>
    <w:qFormat/>
    <w:uiPriority w:val="0"/>
    <w:pPr>
      <w:spacing w:before="240" w:after="60" w:line="312" w:lineRule="auto"/>
      <w:jc w:val="center"/>
      <w:outlineLvl w:val="1"/>
    </w:pPr>
    <w:rPr>
      <w:rFonts w:ascii="Cambria" w:hAnsi="Cambria"/>
      <w:b/>
      <w:bCs/>
      <w:kern w:val="28"/>
      <w:sz w:val="32"/>
      <w:szCs w:val="32"/>
    </w:rPr>
  </w:style>
  <w:style w:type="paragraph" w:styleId="40">
    <w:name w:val="footnote text"/>
    <w:basedOn w:val="1"/>
    <w:link w:val="128"/>
    <w:qFormat/>
    <w:uiPriority w:val="0"/>
    <w:pPr>
      <w:widowControl/>
      <w:snapToGrid w:val="0"/>
      <w:jc w:val="left"/>
    </w:pPr>
    <w:rPr>
      <w:kern w:val="0"/>
      <w:sz w:val="18"/>
      <w:szCs w:val="20"/>
    </w:rPr>
  </w:style>
  <w:style w:type="paragraph" w:styleId="41">
    <w:name w:val="toc 6"/>
    <w:basedOn w:val="1"/>
    <w:next w:val="1"/>
    <w:unhideWhenUsed/>
    <w:qFormat/>
    <w:uiPriority w:val="0"/>
    <w:pPr>
      <w:ind w:left="2100" w:leftChars="1000"/>
    </w:pPr>
    <w:rPr>
      <w:rFonts w:ascii="Calibri" w:hAnsi="Calibri" w:eastAsia="宋体" w:cs="Times New Roman"/>
      <w:szCs w:val="22"/>
    </w:rPr>
  </w:style>
  <w:style w:type="paragraph" w:styleId="42">
    <w:name w:val="Body Text Indent 3"/>
    <w:basedOn w:val="1"/>
    <w:qFormat/>
    <w:uiPriority w:val="0"/>
    <w:pPr>
      <w:spacing w:after="120"/>
      <w:ind w:left="420" w:leftChars="200"/>
    </w:pPr>
    <w:rPr>
      <w:sz w:val="16"/>
      <w:szCs w:val="16"/>
    </w:rPr>
  </w:style>
  <w:style w:type="paragraph" w:styleId="43">
    <w:name w:val="index 7"/>
    <w:basedOn w:val="1"/>
    <w:next w:val="1"/>
    <w:qFormat/>
    <w:uiPriority w:val="0"/>
    <w:pPr>
      <w:widowControl/>
      <w:ind w:left="2520"/>
      <w:jc w:val="left"/>
    </w:pPr>
    <w:rPr>
      <w:kern w:val="0"/>
      <w:sz w:val="20"/>
      <w:szCs w:val="20"/>
    </w:rPr>
  </w:style>
  <w:style w:type="paragraph" w:styleId="44">
    <w:name w:val="index 9"/>
    <w:basedOn w:val="1"/>
    <w:next w:val="1"/>
    <w:qFormat/>
    <w:uiPriority w:val="0"/>
    <w:pPr>
      <w:widowControl/>
      <w:ind w:left="3360"/>
      <w:jc w:val="left"/>
    </w:pPr>
    <w:rPr>
      <w:kern w:val="0"/>
      <w:sz w:val="20"/>
      <w:szCs w:val="20"/>
    </w:rPr>
  </w:style>
  <w:style w:type="paragraph" w:styleId="45">
    <w:name w:val="toc 2"/>
    <w:basedOn w:val="1"/>
    <w:next w:val="1"/>
    <w:qFormat/>
    <w:uiPriority w:val="39"/>
    <w:pPr>
      <w:ind w:left="420" w:leftChars="200"/>
    </w:pPr>
  </w:style>
  <w:style w:type="paragraph" w:styleId="46">
    <w:name w:val="toc 9"/>
    <w:basedOn w:val="1"/>
    <w:next w:val="1"/>
    <w:unhideWhenUsed/>
    <w:qFormat/>
    <w:uiPriority w:val="0"/>
    <w:pPr>
      <w:ind w:left="3360" w:leftChars="1600"/>
    </w:pPr>
    <w:rPr>
      <w:rFonts w:ascii="Calibri" w:hAnsi="Calibri" w:eastAsia="宋体" w:cs="Times New Roman"/>
      <w:szCs w:val="22"/>
    </w:rPr>
  </w:style>
  <w:style w:type="paragraph" w:styleId="47">
    <w:name w:val="HTML Preformatted"/>
    <w:basedOn w:val="1"/>
    <w:link w:val="12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8">
    <w:name w:val="Normal (Web)"/>
    <w:basedOn w:val="1"/>
    <w:qFormat/>
    <w:uiPriority w:val="99"/>
    <w:pPr>
      <w:widowControl/>
      <w:spacing w:before="100" w:beforeAutospacing="1" w:after="100" w:afterAutospacing="1"/>
      <w:jc w:val="left"/>
    </w:pPr>
    <w:rPr>
      <w:rFonts w:ascii="ˎ̥" w:hAnsi="ˎ̥" w:cs="宋体"/>
      <w:kern w:val="0"/>
      <w:sz w:val="24"/>
    </w:rPr>
  </w:style>
  <w:style w:type="paragraph" w:styleId="49">
    <w:name w:val="index 2"/>
    <w:basedOn w:val="1"/>
    <w:next w:val="1"/>
    <w:qFormat/>
    <w:uiPriority w:val="0"/>
    <w:pPr>
      <w:widowControl/>
      <w:ind w:left="420"/>
      <w:jc w:val="left"/>
    </w:pPr>
    <w:rPr>
      <w:kern w:val="0"/>
      <w:sz w:val="20"/>
      <w:szCs w:val="20"/>
    </w:rPr>
  </w:style>
  <w:style w:type="paragraph" w:styleId="50">
    <w:name w:val="Title"/>
    <w:basedOn w:val="1"/>
    <w:link w:val="130"/>
    <w:qFormat/>
    <w:uiPriority w:val="99"/>
    <w:pPr>
      <w:adjustRightInd w:val="0"/>
      <w:spacing w:before="240" w:after="60" w:line="420" w:lineRule="atLeast"/>
      <w:jc w:val="center"/>
      <w:textAlignment w:val="baseline"/>
      <w:outlineLvl w:val="0"/>
    </w:pPr>
    <w:rPr>
      <w:rFonts w:ascii="Arial" w:hAnsi="Arial"/>
      <w:b/>
      <w:kern w:val="0"/>
      <w:sz w:val="32"/>
      <w:szCs w:val="20"/>
    </w:r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99"/>
    <w:rPr>
      <w:color w:val="136EC2"/>
      <w:u w:val="single"/>
    </w:rPr>
  </w:style>
  <w:style w:type="character" w:styleId="55">
    <w:name w:val="Emphasis"/>
    <w:qFormat/>
    <w:uiPriority w:val="0"/>
  </w:style>
  <w:style w:type="character" w:styleId="56">
    <w:name w:val="HTML Definition"/>
    <w:qFormat/>
    <w:uiPriority w:val="0"/>
  </w:style>
  <w:style w:type="character" w:styleId="57">
    <w:name w:val="HTML Variable"/>
    <w:qFormat/>
    <w:uiPriority w:val="0"/>
  </w:style>
  <w:style w:type="character" w:styleId="58">
    <w:name w:val="Hyperlink"/>
    <w:qFormat/>
    <w:uiPriority w:val="99"/>
    <w:rPr>
      <w:color w:val="136EC2"/>
      <w:u w:val="single"/>
    </w:rPr>
  </w:style>
  <w:style w:type="character" w:styleId="59">
    <w:name w:val="HTML Code"/>
    <w:qFormat/>
    <w:uiPriority w:val="0"/>
    <w:rPr>
      <w:rFonts w:ascii="Courier New" w:hAnsi="Courier New" w:eastAsia="Courier New" w:cs="Courier New"/>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style>
  <w:style w:type="character" w:styleId="63">
    <w:name w:val="HTML Keyboard"/>
    <w:qFormat/>
    <w:uiPriority w:val="0"/>
    <w:rPr>
      <w:rFonts w:ascii="Courier New" w:hAnsi="Courier New" w:eastAsia="Courier New" w:cs="Courier New"/>
      <w:sz w:val="20"/>
    </w:rPr>
  </w:style>
  <w:style w:type="character" w:styleId="64">
    <w:name w:val="HTML Sample"/>
    <w:qFormat/>
    <w:uiPriority w:val="0"/>
    <w:rPr>
      <w:rFonts w:ascii="Courier New" w:hAnsi="Courier New" w:eastAsia="Courier New" w:cs="Courier New"/>
    </w:rPr>
  </w:style>
  <w:style w:type="paragraph" w:customStyle="1" w:styleId="65">
    <w:name w:val="列出段落1"/>
    <w:basedOn w:val="1"/>
    <w:link w:val="151"/>
    <w:qFormat/>
    <w:uiPriority w:val="34"/>
    <w:pPr>
      <w:ind w:firstLine="420" w:firstLineChars="200"/>
    </w:pPr>
    <w:rPr>
      <w:szCs w:val="20"/>
    </w:rPr>
  </w:style>
  <w:style w:type="paragraph" w:customStyle="1" w:styleId="66">
    <w:name w:val="样式1"/>
    <w:basedOn w:val="67"/>
    <w:link w:val="179"/>
    <w:qFormat/>
    <w:uiPriority w:val="0"/>
    <w:pPr>
      <w:numPr>
        <w:ilvl w:val="2"/>
        <w:numId w:val="3"/>
      </w:numPr>
      <w:tabs>
        <w:tab w:val="left" w:pos="720"/>
      </w:tabs>
    </w:pPr>
  </w:style>
  <w:style w:type="paragraph" w:customStyle="1" w:styleId="67">
    <w:name w:val="带编号正文"/>
    <w:basedOn w:val="1"/>
    <w:link w:val="180"/>
    <w:qFormat/>
    <w:uiPriority w:val="0"/>
    <w:pPr>
      <w:numPr>
        <w:ilvl w:val="1"/>
        <w:numId w:val="4"/>
      </w:numPr>
      <w:snapToGrid w:val="0"/>
      <w:spacing w:line="460" w:lineRule="exact"/>
      <w:jc w:val="left"/>
    </w:pPr>
    <w:rPr>
      <w:rFonts w:ascii="宋体" w:hAnsi="宋体"/>
      <w:sz w:val="24"/>
      <w:szCs w:val="21"/>
    </w:rPr>
  </w:style>
  <w:style w:type="paragraph" w:customStyle="1" w:styleId="68">
    <w:name w:val="表格"/>
    <w:basedOn w:val="1"/>
    <w:link w:val="190"/>
    <w:qFormat/>
    <w:uiPriority w:val="0"/>
    <w:pPr>
      <w:jc w:val="center"/>
      <w:textAlignment w:val="center"/>
    </w:pPr>
    <w:rPr>
      <w:rFonts w:ascii="华文细黑" w:hAnsi="华文细黑"/>
      <w:kern w:val="0"/>
      <w:szCs w:val="20"/>
    </w:rPr>
  </w:style>
  <w:style w:type="paragraph" w:customStyle="1" w:styleId="69">
    <w:name w:val="Table text"/>
    <w:basedOn w:val="1"/>
    <w:qFormat/>
    <w:uiPriority w:val="0"/>
    <w:pPr>
      <w:widowControl/>
      <w:spacing w:before="120" w:after="120"/>
    </w:pPr>
    <w:rPr>
      <w:kern w:val="0"/>
      <w:sz w:val="24"/>
      <w:szCs w:val="20"/>
      <w:lang w:eastAsia="en-US"/>
    </w:rPr>
  </w:style>
  <w:style w:type="paragraph" w:customStyle="1" w:styleId="70">
    <w:name w:val="1"/>
    <w:basedOn w:val="1"/>
    <w:next w:val="1"/>
    <w:qFormat/>
    <w:uiPriority w:val="0"/>
  </w:style>
  <w:style w:type="paragraph" w:customStyle="1" w:styleId="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72">
    <w:name w:val="样式 样式 首行缩进:  2 字符 + 首行缩进:  2 字符 Char Char"/>
    <w:basedOn w:val="1"/>
    <w:qFormat/>
    <w:uiPriority w:val="0"/>
    <w:pPr>
      <w:ind w:firstLine="480" w:firstLineChars="200"/>
    </w:pPr>
    <w:rPr>
      <w:sz w:val="24"/>
      <w:szCs w:val="20"/>
    </w:rPr>
  </w:style>
  <w:style w:type="paragraph" w:customStyle="1" w:styleId="73">
    <w:name w:val="样式 标题 3 + 左侧:  1.5 厘米 首行缩进:  0 厘米"/>
    <w:basedOn w:val="4"/>
    <w:next w:val="16"/>
    <w:qFormat/>
    <w:uiPriority w:val="0"/>
    <w:pPr>
      <w:numPr>
        <w:ilvl w:val="2"/>
        <w:numId w:val="5"/>
      </w:numPr>
      <w:tabs>
        <w:tab w:val="left" w:pos="425"/>
        <w:tab w:val="left" w:pos="1984"/>
      </w:tabs>
    </w:pPr>
    <w:rPr>
      <w:rFonts w:cs="宋体"/>
      <w:iCs/>
    </w:rPr>
  </w:style>
  <w:style w:type="paragraph" w:customStyle="1" w:styleId="74">
    <w:name w:val="Char 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0"/>
      <w:szCs w:val="20"/>
      <w:lang w:eastAsia="en-US"/>
    </w:rPr>
  </w:style>
  <w:style w:type="paragraph" w:customStyle="1" w:styleId="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6">
    <w:name w:val="彩色列表 - 强调文字颜色 11"/>
    <w:basedOn w:val="1"/>
    <w:qFormat/>
    <w:uiPriority w:val="34"/>
    <w:pPr>
      <w:ind w:firstLine="420" w:firstLineChars="200"/>
    </w:pPr>
  </w:style>
  <w:style w:type="paragraph" w:customStyle="1" w:styleId="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eastAsia="en-US"/>
    </w:rPr>
  </w:style>
  <w:style w:type="paragraph" w:customStyle="1" w:styleId="78">
    <w:name w:val="评标报告_正文-国际"/>
    <w:basedOn w:val="1"/>
    <w:qFormat/>
    <w:uiPriority w:val="0"/>
    <w:pPr>
      <w:spacing w:afterLines="50" w:line="440" w:lineRule="exact"/>
      <w:ind w:firstLine="200" w:firstLineChars="200"/>
    </w:pPr>
    <w:rPr>
      <w:rFonts w:ascii="仿宋_GB2312" w:hAnsi="宋体"/>
      <w:bCs/>
      <w:sz w:val="24"/>
    </w:rPr>
  </w:style>
  <w:style w:type="paragraph" w:customStyle="1" w:styleId="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80">
    <w:name w:val="样式 标题 2H2h22nd levelTitre2l22Header 2h:2h:2appT2ALev..."/>
    <w:basedOn w:val="3"/>
    <w:qFormat/>
    <w:uiPriority w:val="0"/>
    <w:pPr>
      <w:spacing w:beforeLines="50" w:afterLines="50" w:line="240" w:lineRule="auto"/>
      <w:ind w:firstLine="196" w:firstLineChars="196"/>
    </w:pPr>
    <w:rPr>
      <w:rFonts w:ascii="宋体" w:hAnsi="宋体" w:eastAsia="宋体" w:cs="宋体"/>
      <w:color w:val="000000"/>
      <w:sz w:val="28"/>
      <w:szCs w:val="28"/>
    </w:rPr>
  </w:style>
  <w:style w:type="paragraph" w:customStyle="1" w:styleId="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4">
    <w:name w:val="表格文字"/>
    <w:basedOn w:val="1"/>
    <w:qFormat/>
    <w:uiPriority w:val="0"/>
    <w:pPr>
      <w:adjustRightInd w:val="0"/>
      <w:spacing w:line="420" w:lineRule="atLeast"/>
      <w:jc w:val="left"/>
      <w:textAlignment w:val="baseline"/>
    </w:pPr>
    <w:rPr>
      <w:kern w:val="0"/>
      <w:szCs w:val="20"/>
    </w:rPr>
  </w:style>
  <w:style w:type="paragraph" w:customStyle="1" w:styleId="85">
    <w:name w:val="Lilly Heading 4"/>
    <w:basedOn w:val="5"/>
    <w:next w:val="1"/>
    <w:qFormat/>
    <w:uiPriority w:val="99"/>
    <w:pPr>
      <w:widowControl/>
      <w:numPr>
        <w:ilvl w:val="3"/>
        <w:numId w:val="7"/>
      </w:numPr>
      <w:tabs>
        <w:tab w:val="left" w:pos="851"/>
        <w:tab w:val="left" w:pos="864"/>
        <w:tab w:val="left" w:pos="1620"/>
        <w:tab w:val="left" w:pos="2552"/>
        <w:tab w:val="clear" w:pos="2220"/>
      </w:tabs>
      <w:spacing w:before="240" w:after="120" w:line="240" w:lineRule="auto"/>
      <w:jc w:val="left"/>
    </w:pPr>
    <w:rPr>
      <w:rFonts w:ascii="Times New Roman" w:hAnsi="Times New Roman" w:eastAsia="宋体"/>
      <w:b w:val="0"/>
      <w:bCs w:val="0"/>
      <w:i/>
      <w:iCs/>
      <w:kern w:val="0"/>
      <w:sz w:val="20"/>
      <w:szCs w:val="20"/>
      <w:lang w:eastAsia="en-US"/>
    </w:rPr>
  </w:style>
  <w:style w:type="paragraph" w:customStyle="1" w:styleId="86">
    <w:name w:val="List Paragraph1"/>
    <w:basedOn w:val="1"/>
    <w:qFormat/>
    <w:uiPriority w:val="34"/>
    <w:pPr>
      <w:ind w:firstLine="420" w:firstLineChars="200"/>
    </w:pPr>
    <w:rPr>
      <w:szCs w:val="20"/>
    </w:rPr>
  </w:style>
  <w:style w:type="paragraph" w:customStyle="1" w:styleId="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88">
    <w:name w:val="评标报告_标题-国际"/>
    <w:basedOn w:val="4"/>
    <w:next w:val="1"/>
    <w:qFormat/>
    <w:uiPriority w:val="0"/>
    <w:pPr>
      <w:spacing w:before="360" w:after="120" w:line="440" w:lineRule="exact"/>
    </w:pPr>
    <w:rPr>
      <w:rFonts w:ascii="仿宋_GB2312"/>
      <w:sz w:val="24"/>
    </w:rPr>
  </w:style>
  <w:style w:type="paragraph" w:customStyle="1" w:styleId="89">
    <w:name w:val="Lilly Heading 3"/>
    <w:basedOn w:val="4"/>
    <w:next w:val="1"/>
    <w:qFormat/>
    <w:uiPriority w:val="99"/>
    <w:pPr>
      <w:widowControl/>
      <w:numPr>
        <w:ilvl w:val="2"/>
        <w:numId w:val="7"/>
      </w:numPr>
      <w:tabs>
        <w:tab w:val="left" w:pos="851"/>
        <w:tab w:val="left" w:pos="1080"/>
        <w:tab w:val="left" w:pos="1620"/>
        <w:tab w:val="left" w:pos="1701"/>
        <w:tab w:val="clear" w:pos="1740"/>
      </w:tabs>
      <w:spacing w:before="240" w:after="120" w:line="240" w:lineRule="auto"/>
      <w:jc w:val="left"/>
    </w:pPr>
    <w:rPr>
      <w:i/>
      <w:iCs/>
      <w:kern w:val="0"/>
      <w:sz w:val="20"/>
      <w:szCs w:val="20"/>
      <w:lang w:val="en-US" w:eastAsia="en-US"/>
    </w:rPr>
  </w:style>
  <w:style w:type="paragraph" w:customStyle="1" w:styleId="90">
    <w:name w:val="Lilly Body Text 2"/>
    <w:basedOn w:val="1"/>
    <w:qFormat/>
    <w:uiPriority w:val="99"/>
    <w:pPr>
      <w:widowControl/>
      <w:spacing w:before="60" w:after="120"/>
      <w:ind w:left="993"/>
    </w:pPr>
    <w:rPr>
      <w:kern w:val="0"/>
      <w:sz w:val="20"/>
      <w:szCs w:val="20"/>
      <w:lang w:eastAsia="en-US"/>
    </w:rPr>
  </w:style>
  <w:style w:type="paragraph" w:customStyle="1" w:styleId="91">
    <w:name w:val="Table Text"/>
    <w:basedOn w:val="1"/>
    <w:qFormat/>
    <w:uiPriority w:val="0"/>
    <w:pPr>
      <w:widowControl/>
      <w:spacing w:before="60" w:after="60"/>
      <w:jc w:val="center"/>
    </w:pPr>
    <w:rPr>
      <w:kern w:val="0"/>
      <w:sz w:val="24"/>
      <w:szCs w:val="20"/>
      <w:lang w:eastAsia="en-US"/>
    </w:rPr>
  </w:style>
  <w:style w:type="paragraph" w:customStyle="1" w:styleId="92">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3">
    <w:name w:val="Char Char Char Char"/>
    <w:basedOn w:val="1"/>
    <w:qFormat/>
    <w:uiPriority w:val="0"/>
    <w:rPr>
      <w:rFonts w:ascii="Tahoma" w:hAnsi="Tahoma"/>
      <w:sz w:val="24"/>
      <w:szCs w:val="20"/>
    </w:rPr>
  </w:style>
  <w:style w:type="paragraph" w:customStyle="1" w:styleId="94">
    <w:name w:val="Lilly Heading 2"/>
    <w:basedOn w:val="3"/>
    <w:next w:val="90"/>
    <w:qFormat/>
    <w:uiPriority w:val="99"/>
    <w:pPr>
      <w:widowControl/>
      <w:numPr>
        <w:ilvl w:val="1"/>
        <w:numId w:val="7"/>
      </w:numPr>
      <w:tabs>
        <w:tab w:val="left" w:pos="576"/>
        <w:tab w:val="left" w:pos="851"/>
        <w:tab w:val="left" w:pos="993"/>
        <w:tab w:val="left" w:pos="1620"/>
        <w:tab w:val="clear" w:pos="1560"/>
      </w:tabs>
      <w:spacing w:before="240" w:after="120" w:line="240" w:lineRule="auto"/>
      <w:jc w:val="left"/>
    </w:pPr>
    <w:rPr>
      <w:rFonts w:ascii="Times New Roman" w:hAnsi="Times New Roman" w:eastAsia="宋体"/>
      <w:kern w:val="0"/>
      <w:sz w:val="20"/>
      <w:szCs w:val="20"/>
      <w:lang w:eastAsia="en-US"/>
    </w:rPr>
  </w:style>
  <w:style w:type="paragraph" w:customStyle="1" w:styleId="95">
    <w:name w:val="Body Text 2"/>
    <w:basedOn w:val="1"/>
    <w:qFormat/>
    <w:uiPriority w:val="0"/>
    <w:pPr>
      <w:widowControl/>
      <w:jc w:val="left"/>
    </w:pPr>
    <w:rPr>
      <w:i/>
      <w:kern w:val="0"/>
      <w:sz w:val="20"/>
      <w:szCs w:val="20"/>
    </w:rPr>
  </w:style>
  <w:style w:type="paragraph" w:customStyle="1" w:styleId="96">
    <w:name w:val="SOP body 1"/>
    <w:basedOn w:val="77"/>
    <w:qFormat/>
    <w:uiPriority w:val="0"/>
    <w:pPr>
      <w:numPr>
        <w:ilvl w:val="2"/>
        <w:numId w:val="6"/>
      </w:numPr>
      <w:tabs>
        <w:tab w:val="left" w:pos="567"/>
        <w:tab w:val="left" w:pos="1930"/>
        <w:tab w:val="clear" w:pos="1247"/>
        <w:tab w:val="clear" w:pos="1208"/>
      </w:tabs>
    </w:pPr>
  </w:style>
  <w:style w:type="paragraph" w:customStyle="1" w:styleId="97">
    <w:name w:val="Heading Left"/>
    <w:basedOn w:val="1"/>
    <w:qFormat/>
    <w:uiPriority w:val="0"/>
    <w:pPr>
      <w:widowControl/>
      <w:tabs>
        <w:tab w:val="center" w:pos="4820"/>
        <w:tab w:val="right" w:pos="9639"/>
      </w:tabs>
      <w:spacing w:before="120" w:after="120"/>
      <w:jc w:val="left"/>
    </w:pPr>
    <w:rPr>
      <w:rFonts w:ascii="Arial" w:hAnsi="Arial"/>
      <w:b/>
      <w:caps/>
      <w:kern w:val="0"/>
      <w:szCs w:val="20"/>
      <w:lang w:eastAsia="en-US"/>
    </w:rPr>
  </w:style>
  <w:style w:type="paragraph" w:customStyle="1" w:styleId="98">
    <w:name w:val="Char Char Char Char Char Char Char"/>
    <w:basedOn w:val="1"/>
    <w:qFormat/>
    <w:uiPriority w:val="0"/>
    <w:rPr>
      <w:rFonts w:ascii="宋体" w:hAnsi="宋体" w:eastAsia="黑体"/>
      <w:sz w:val="32"/>
      <w:szCs w:val="20"/>
      <w:lang w:eastAsia="en-US"/>
    </w:rPr>
  </w:style>
  <w:style w:type="paragraph" w:customStyle="1" w:styleId="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100">
    <w:name w:val="Lilly Heading 1"/>
    <w:basedOn w:val="2"/>
    <w:next w:val="1"/>
    <w:qFormat/>
    <w:uiPriority w:val="99"/>
    <w:pPr>
      <w:widowControl/>
      <w:numPr>
        <w:ilvl w:val="0"/>
        <w:numId w:val="7"/>
      </w:numPr>
      <w:tabs>
        <w:tab w:val="left" w:pos="432"/>
        <w:tab w:val="left" w:pos="851"/>
        <w:tab w:val="clear" w:pos="1620"/>
      </w:tabs>
      <w:spacing w:before="240" w:after="120" w:line="240" w:lineRule="auto"/>
      <w:jc w:val="left"/>
    </w:pPr>
    <w:rPr>
      <w:caps/>
      <w:kern w:val="0"/>
      <w:sz w:val="20"/>
      <w:szCs w:val="20"/>
      <w:lang w:val="en-US" w:eastAsia="en-US"/>
    </w:rPr>
  </w:style>
  <w:style w:type="paragraph" w:customStyle="1" w:styleId="10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0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3">
    <w:name w:val="标书正文"/>
    <w:basedOn w:val="1"/>
    <w:qFormat/>
    <w:uiPriority w:val="0"/>
    <w:pPr>
      <w:spacing w:afterLines="50" w:line="360" w:lineRule="auto"/>
      <w:ind w:firstLine="440" w:firstLineChars="200"/>
    </w:pPr>
    <w:rPr>
      <w:rFonts w:ascii="Times New Roman" w:hAnsi="Times New Roman" w:eastAsia="楷体" w:cs="宋体"/>
      <w:sz w:val="24"/>
      <w:szCs w:val="22"/>
      <w:lang w:val="zh-CN" w:bidi="zh-CN"/>
    </w:rPr>
  </w:style>
  <w:style w:type="paragraph" w:customStyle="1" w:styleId="104">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105">
    <w:name w:val="WPSOffice手动目录 2"/>
    <w:qFormat/>
    <w:uiPriority w:val="0"/>
    <w:pPr>
      <w:ind w:leftChars="200"/>
    </w:pPr>
    <w:rPr>
      <w:rFonts w:ascii="Times New Roman" w:hAnsi="Times New Roman" w:eastAsia="宋体" w:cs="Times New Roman"/>
      <w:sz w:val="20"/>
      <w:szCs w:val="20"/>
      <w:lang w:val="en-US" w:eastAsia="zh-CN" w:bidi="ar-SA"/>
    </w:rPr>
  </w:style>
  <w:style w:type="paragraph" w:customStyle="1" w:styleId="106">
    <w:name w:val="WPSOffice手动目录 3"/>
    <w:qFormat/>
    <w:uiPriority w:val="0"/>
    <w:pPr>
      <w:ind w:leftChars="400"/>
    </w:pPr>
    <w:rPr>
      <w:rFonts w:ascii="Times New Roman" w:hAnsi="Times New Roman" w:eastAsia="宋体" w:cs="Times New Roman"/>
      <w:sz w:val="20"/>
      <w:szCs w:val="20"/>
      <w:lang w:val="en-US" w:eastAsia="zh-CN" w:bidi="ar-SA"/>
    </w:rPr>
  </w:style>
  <w:style w:type="paragraph" w:customStyle="1" w:styleId="107">
    <w:name w:val="正文 A"/>
    <w:next w:val="108"/>
    <w:qFormat/>
    <w:uiPriority w:val="0"/>
    <w:pPr>
      <w:widowControl w:val="0"/>
      <w:jc w:val="both"/>
    </w:pPr>
    <w:rPr>
      <w:rFonts w:ascii="Calibri" w:hAnsi="Calibri" w:eastAsia="Calibri" w:cs="Calibri"/>
      <w:color w:val="000000"/>
      <w:kern w:val="2"/>
      <w:sz w:val="21"/>
      <w:szCs w:val="21"/>
      <w:u w:val="none" w:color="000000"/>
      <w:lang w:val="en-US" w:eastAsia="zh-CN" w:bidi="ar-SA"/>
    </w:rPr>
  </w:style>
  <w:style w:type="paragraph" w:customStyle="1" w:styleId="108">
    <w:name w:val="段"/>
    <w:next w:val="107"/>
    <w:qFormat/>
    <w:uiPriority w:val="0"/>
    <w:pPr>
      <w:widowControl w:val="0"/>
      <w:ind w:firstLine="420"/>
      <w:jc w:val="both"/>
    </w:pPr>
    <w:rPr>
      <w:rFonts w:ascii="宋体" w:hAnsi="宋体" w:eastAsia="宋体" w:cs="宋体"/>
      <w:color w:val="000000"/>
      <w:sz w:val="21"/>
      <w:szCs w:val="21"/>
      <w:u w:val="none" w:color="000000"/>
      <w:lang w:val="en-US" w:eastAsia="zh-CN" w:bidi="ar-SA"/>
    </w:rPr>
  </w:style>
  <w:style w:type="character" w:customStyle="1" w:styleId="109">
    <w:name w:val="标题 1 Char Char"/>
    <w:link w:val="2"/>
    <w:uiPriority w:val="0"/>
    <w:rPr>
      <w:b/>
      <w:bCs/>
      <w:kern w:val="44"/>
      <w:sz w:val="44"/>
      <w:szCs w:val="44"/>
    </w:rPr>
  </w:style>
  <w:style w:type="character" w:customStyle="1" w:styleId="110">
    <w:name w:val="标题 2 Char Char"/>
    <w:link w:val="3"/>
    <w:uiPriority w:val="0"/>
    <w:rPr>
      <w:rFonts w:ascii="Arial" w:hAnsi="Arial" w:eastAsia="黑体"/>
      <w:b/>
      <w:bCs/>
      <w:kern w:val="2"/>
      <w:sz w:val="32"/>
      <w:szCs w:val="32"/>
      <w:lang w:val="en-US" w:eastAsia="zh-CN" w:bidi="ar-SA"/>
    </w:rPr>
  </w:style>
  <w:style w:type="character" w:customStyle="1" w:styleId="111">
    <w:name w:val="标题 3 Char Char"/>
    <w:link w:val="4"/>
    <w:uiPriority w:val="0"/>
    <w:rPr>
      <w:b/>
      <w:bCs/>
      <w:kern w:val="2"/>
      <w:sz w:val="32"/>
      <w:szCs w:val="32"/>
    </w:rPr>
  </w:style>
  <w:style w:type="character" w:customStyle="1" w:styleId="112">
    <w:name w:val="标题 4 Char Char"/>
    <w:link w:val="5"/>
    <w:uiPriority w:val="0"/>
    <w:rPr>
      <w:rFonts w:ascii="Arial" w:hAnsi="Arial" w:eastAsia="黑体"/>
      <w:b/>
      <w:bCs/>
      <w:kern w:val="2"/>
      <w:sz w:val="28"/>
      <w:szCs w:val="28"/>
      <w:lang w:bidi="ar-SA"/>
    </w:rPr>
  </w:style>
  <w:style w:type="character" w:customStyle="1" w:styleId="113">
    <w:name w:val="标题 5 Char Char"/>
    <w:link w:val="6"/>
    <w:uiPriority w:val="0"/>
    <w:rPr>
      <w:i/>
      <w:sz w:val="18"/>
    </w:rPr>
  </w:style>
  <w:style w:type="character" w:customStyle="1" w:styleId="114">
    <w:name w:val="标题 7 Char Char"/>
    <w:link w:val="8"/>
    <w:uiPriority w:val="99"/>
    <w:rPr>
      <w:b/>
      <w:bCs/>
      <w:sz w:val="24"/>
      <w:szCs w:val="24"/>
      <w:lang w:bidi="ar-SA"/>
    </w:rPr>
  </w:style>
  <w:style w:type="character" w:customStyle="1" w:styleId="115">
    <w:name w:val="标题 8 Char Char"/>
    <w:link w:val="10"/>
    <w:uiPriority w:val="99"/>
    <w:rPr>
      <w:rFonts w:ascii="Arial" w:hAnsi="Arial" w:eastAsia="黑体"/>
      <w:sz w:val="24"/>
      <w:szCs w:val="24"/>
      <w:lang w:bidi="ar-SA"/>
    </w:rPr>
  </w:style>
  <w:style w:type="character" w:customStyle="1" w:styleId="116">
    <w:name w:val="标题 9 Char Char"/>
    <w:link w:val="11"/>
    <w:uiPriority w:val="99"/>
    <w:rPr>
      <w:rFonts w:ascii="Arial" w:hAnsi="Arial" w:eastAsia="黑体"/>
      <w:sz w:val="21"/>
      <w:szCs w:val="21"/>
      <w:lang w:bidi="ar-SA"/>
    </w:rPr>
  </w:style>
  <w:style w:type="character" w:customStyle="1" w:styleId="117">
    <w:name w:val="正文缩进 Char Char"/>
    <w:link w:val="9"/>
    <w:uiPriority w:val="0"/>
    <w:rPr>
      <w:kern w:val="2"/>
      <w:sz w:val="21"/>
      <w:szCs w:val="24"/>
    </w:rPr>
  </w:style>
  <w:style w:type="character" w:customStyle="1" w:styleId="118">
    <w:name w:val="批注文字 Char Char"/>
    <w:link w:val="13"/>
    <w:uiPriority w:val="0"/>
    <w:rPr>
      <w:kern w:val="2"/>
      <w:sz w:val="21"/>
      <w:szCs w:val="24"/>
    </w:rPr>
  </w:style>
  <w:style w:type="character" w:customStyle="1" w:styleId="119">
    <w:name w:val="正文文本 3 Char Char"/>
    <w:link w:val="22"/>
    <w:uiPriority w:val="0"/>
    <w:rPr>
      <w:rFonts w:ascii="宋体"/>
      <w:kern w:val="2"/>
      <w:sz w:val="24"/>
    </w:rPr>
  </w:style>
  <w:style w:type="character" w:customStyle="1" w:styleId="120">
    <w:name w:val="正文文本 Char Char"/>
    <w:link w:val="16"/>
    <w:uiPriority w:val="0"/>
    <w:rPr>
      <w:kern w:val="2"/>
      <w:sz w:val="21"/>
      <w:szCs w:val="24"/>
    </w:rPr>
  </w:style>
  <w:style w:type="character" w:customStyle="1" w:styleId="121">
    <w:name w:val="纯文本 Char Char"/>
    <w:link w:val="27"/>
    <w:uiPriority w:val="0"/>
    <w:rPr>
      <w:rFonts w:ascii="宋体" w:hAnsi="Courier New"/>
      <w:kern w:val="2"/>
      <w:sz w:val="21"/>
    </w:rPr>
  </w:style>
  <w:style w:type="character" w:customStyle="1" w:styleId="122">
    <w:name w:val="日期 Char Char"/>
    <w:link w:val="30"/>
    <w:uiPriority w:val="0"/>
    <w:rPr>
      <w:kern w:val="2"/>
      <w:sz w:val="24"/>
    </w:rPr>
  </w:style>
  <w:style w:type="character" w:customStyle="1" w:styleId="123">
    <w:name w:val="正文文本缩进 2 Char Char"/>
    <w:link w:val="31"/>
    <w:uiPriority w:val="0"/>
    <w:rPr>
      <w:sz w:val="24"/>
    </w:rPr>
  </w:style>
  <w:style w:type="character" w:customStyle="1" w:styleId="124">
    <w:name w:val="批注框文本 Char Char"/>
    <w:link w:val="32"/>
    <w:uiPriority w:val="0"/>
    <w:rPr>
      <w:kern w:val="2"/>
      <w:sz w:val="18"/>
      <w:szCs w:val="18"/>
    </w:rPr>
  </w:style>
  <w:style w:type="character" w:customStyle="1" w:styleId="125">
    <w:name w:val="页脚 Char Char"/>
    <w:link w:val="33"/>
    <w:uiPriority w:val="0"/>
    <w:rPr>
      <w:kern w:val="2"/>
      <w:sz w:val="18"/>
      <w:szCs w:val="18"/>
    </w:rPr>
  </w:style>
  <w:style w:type="character" w:customStyle="1" w:styleId="126">
    <w:name w:val="页眉 Char Char"/>
    <w:link w:val="34"/>
    <w:uiPriority w:val="0"/>
    <w:rPr>
      <w:kern w:val="2"/>
      <w:sz w:val="18"/>
      <w:szCs w:val="18"/>
    </w:rPr>
  </w:style>
  <w:style w:type="character" w:customStyle="1" w:styleId="127">
    <w:name w:val="副标题 Char Char"/>
    <w:link w:val="39"/>
    <w:uiPriority w:val="0"/>
    <w:rPr>
      <w:rFonts w:ascii="Cambria" w:hAnsi="Cambria"/>
      <w:b/>
      <w:bCs/>
      <w:kern w:val="28"/>
      <w:sz w:val="32"/>
      <w:szCs w:val="32"/>
      <w:lang w:bidi="ar-SA"/>
    </w:rPr>
  </w:style>
  <w:style w:type="character" w:customStyle="1" w:styleId="128">
    <w:name w:val="脚注文本 Char Char"/>
    <w:link w:val="40"/>
    <w:uiPriority w:val="0"/>
    <w:rPr>
      <w:sz w:val="18"/>
    </w:rPr>
  </w:style>
  <w:style w:type="character" w:customStyle="1" w:styleId="129">
    <w:name w:val="HTML 预设格式 Char Char"/>
    <w:link w:val="47"/>
    <w:uiPriority w:val="99"/>
    <w:rPr>
      <w:rFonts w:ascii="宋体" w:hAnsi="宋体"/>
      <w:sz w:val="24"/>
      <w:szCs w:val="24"/>
      <w:lang w:bidi="ar-SA"/>
    </w:rPr>
  </w:style>
  <w:style w:type="character" w:customStyle="1" w:styleId="130">
    <w:name w:val="标题 Char Char"/>
    <w:link w:val="50"/>
    <w:uiPriority w:val="99"/>
    <w:rPr>
      <w:rFonts w:ascii="Arial" w:hAnsi="Arial"/>
      <w:b/>
      <w:sz w:val="32"/>
    </w:rPr>
  </w:style>
  <w:style w:type="character" w:customStyle="1" w:styleId="131">
    <w:name w:val="批注主题 Char Char"/>
    <w:link w:val="12"/>
    <w:uiPriority w:val="0"/>
    <w:rPr>
      <w:b/>
      <w:bCs/>
      <w:kern w:val="2"/>
      <w:sz w:val="21"/>
      <w:szCs w:val="24"/>
      <w:lang w:bidi="ar-SA"/>
    </w:rPr>
  </w:style>
  <w:style w:type="character" w:customStyle="1" w:styleId="132">
    <w:name w:val="正文首行缩进 Char Char"/>
    <w:link w:val="15"/>
    <w:uiPriority w:val="0"/>
  </w:style>
  <w:style w:type="character" w:customStyle="1" w:styleId="133">
    <w:name w:val="Header Char"/>
    <w:semiHidden/>
    <w:qFormat/>
    <w:locked/>
    <w:uiPriority w:val="0"/>
    <w:rPr>
      <w:rFonts w:cs="Times New Roman"/>
      <w:kern w:val="0"/>
      <w:sz w:val="18"/>
      <w:szCs w:val="18"/>
    </w:rPr>
  </w:style>
  <w:style w:type="character" w:customStyle="1" w:styleId="134">
    <w:name w:val="Date Char"/>
    <w:qFormat/>
    <w:locked/>
    <w:uiPriority w:val="0"/>
    <w:rPr>
      <w:rFonts w:cs="Times New Roman"/>
      <w:kern w:val="2"/>
      <w:sz w:val="24"/>
    </w:rPr>
  </w:style>
  <w:style w:type="character" w:customStyle="1" w:styleId="135">
    <w:name w:val="正文文本 3 字符2"/>
    <w:qFormat/>
    <w:uiPriority w:val="0"/>
    <w:rPr>
      <w:kern w:val="2"/>
      <w:sz w:val="28"/>
      <w:szCs w:val="24"/>
    </w:rPr>
  </w:style>
  <w:style w:type="character" w:customStyle="1" w:styleId="136">
    <w:name w:val="icontext2"/>
    <w:basedOn w:val="51"/>
    <w:qFormat/>
    <w:uiPriority w:val="0"/>
    <w:rPr/>
  </w:style>
  <w:style w:type="character" w:customStyle="1" w:styleId="137">
    <w:name w:val="edit_class"/>
    <w:basedOn w:val="51"/>
    <w:qFormat/>
    <w:uiPriority w:val="0"/>
    <w:rPr/>
  </w:style>
  <w:style w:type="character" w:customStyle="1" w:styleId="138">
    <w:name w:val="cy"/>
    <w:basedOn w:val="51"/>
    <w:qFormat/>
    <w:uiPriority w:val="0"/>
    <w:rPr/>
  </w:style>
  <w:style w:type="character" w:customStyle="1" w:styleId="139">
    <w:name w:val="icontext1"/>
    <w:basedOn w:val="51"/>
    <w:qFormat/>
    <w:uiPriority w:val="0"/>
    <w:rPr/>
  </w:style>
  <w:style w:type="character" w:customStyle="1" w:styleId="140">
    <w:name w:val="ico1658"/>
    <w:basedOn w:val="51"/>
    <w:qFormat/>
    <w:uiPriority w:val="0"/>
    <w:rPr/>
  </w:style>
  <w:style w:type="character" w:customStyle="1" w:styleId="141">
    <w:name w:val="bds_more2"/>
    <w:qFormat/>
    <w:uiPriority w:val="0"/>
    <w:rPr>
      <w:rFonts w:hint="eastAsia" w:ascii="宋体" w:hAnsi="宋体" w:eastAsia="宋体" w:cs="宋体"/>
    </w:rPr>
  </w:style>
  <w:style w:type="character" w:customStyle="1" w:styleId="142">
    <w:name w:val="active2"/>
    <w:basedOn w:val="51"/>
    <w:qFormat/>
    <w:uiPriority w:val="0"/>
    <w:rPr>
      <w:color w:val="00FF00"/>
      <w:shd w:val="clear" w:color="auto" w:fill="111111"/>
    </w:rPr>
  </w:style>
  <w:style w:type="character" w:customStyle="1" w:styleId="143">
    <w:name w:val="iconline21"/>
    <w:basedOn w:val="51"/>
    <w:qFormat/>
    <w:uiPriority w:val="0"/>
    <w:rPr/>
  </w:style>
  <w:style w:type="character" w:customStyle="1" w:styleId="144">
    <w:name w:val="w32"/>
    <w:basedOn w:val="51"/>
    <w:qFormat/>
    <w:uiPriority w:val="0"/>
    <w:rPr/>
  </w:style>
  <w:style w:type="character" w:customStyle="1" w:styleId="145">
    <w:name w:val="iconline2"/>
    <w:basedOn w:val="51"/>
    <w:qFormat/>
    <w:uiPriority w:val="0"/>
    <w:rPr/>
  </w:style>
  <w:style w:type="character" w:customStyle="1" w:styleId="146">
    <w:name w:val="button4"/>
    <w:basedOn w:val="51"/>
    <w:qFormat/>
    <w:uiPriority w:val="0"/>
    <w:rPr/>
  </w:style>
  <w:style w:type="character" w:customStyle="1" w:styleId="147">
    <w:name w:val="biggerthanmax"/>
    <w:basedOn w:val="51"/>
    <w:qFormat/>
    <w:uiPriority w:val="0"/>
    <w:rPr>
      <w:shd w:val="clear" w:color="auto" w:fill="FFFF00"/>
    </w:rPr>
  </w:style>
  <w:style w:type="character" w:customStyle="1" w:styleId="148">
    <w:name w:val="layui-layer-tabnow"/>
    <w:basedOn w:val="51"/>
    <w:qFormat/>
    <w:uiPriority w:val="0"/>
    <w:rPr>
      <w:bdr w:val="single" w:color="CCCCCC" w:sz="6" w:space="0"/>
      <w:shd w:val="clear" w:color="auto" w:fill="FFFFFF"/>
    </w:rPr>
  </w:style>
  <w:style w:type="character" w:customStyle="1" w:styleId="149">
    <w:name w:val="morelink-item"/>
    <w:qFormat/>
    <w:uiPriority w:val="0"/>
  </w:style>
  <w:style w:type="character" w:customStyle="1" w:styleId="150">
    <w:name w:val="plus"/>
    <w:qFormat/>
    <w:uiPriority w:val="0"/>
    <w:rPr>
      <w:b/>
      <w:vanish/>
      <w:color w:val="1F8DEF"/>
      <w:sz w:val="24"/>
      <w:szCs w:val="24"/>
    </w:rPr>
  </w:style>
  <w:style w:type="character" w:customStyle="1" w:styleId="151">
    <w:name w:val="列出段落 Char"/>
    <w:link w:val="65"/>
    <w:qFormat/>
    <w:uiPriority w:val="34"/>
    <w:rPr>
      <w:kern w:val="2"/>
      <w:sz w:val="21"/>
    </w:rPr>
  </w:style>
  <w:style w:type="character" w:customStyle="1" w:styleId="152">
    <w:name w:val="font41"/>
    <w:qFormat/>
    <w:uiPriority w:val="0"/>
    <w:rPr>
      <w:rFonts w:hint="default" w:ascii="Times New Roman" w:hAnsi="Times New Roman" w:cs="Times New Roman"/>
      <w:color w:val="000000"/>
      <w:sz w:val="21"/>
      <w:szCs w:val="21"/>
      <w:u w:val="none"/>
    </w:rPr>
  </w:style>
  <w:style w:type="character" w:customStyle="1" w:styleId="153">
    <w:name w:val="viewscale"/>
    <w:basedOn w:val="51"/>
    <w:qFormat/>
    <w:uiPriority w:val="0"/>
    <w:rPr>
      <w:color w:val="FFFFFF"/>
      <w:sz w:val="24"/>
      <w:szCs w:val="24"/>
    </w:rPr>
  </w:style>
  <w:style w:type="character" w:customStyle="1" w:styleId="154">
    <w:name w:val="polysemyexp"/>
    <w:qFormat/>
    <w:uiPriority w:val="0"/>
    <w:rPr>
      <w:color w:val="AAAAAA"/>
      <w:sz w:val="18"/>
      <w:szCs w:val="18"/>
    </w:rPr>
  </w:style>
  <w:style w:type="character" w:customStyle="1" w:styleId="155">
    <w:name w:val="moreaction32"/>
    <w:basedOn w:val="51"/>
    <w:qFormat/>
    <w:uiPriority w:val="0"/>
    <w:rPr/>
  </w:style>
  <w:style w:type="character" w:customStyle="1" w:styleId="156">
    <w:name w:val="icontext3"/>
    <w:basedOn w:val="51"/>
    <w:qFormat/>
    <w:uiPriority w:val="0"/>
    <w:rPr/>
  </w:style>
  <w:style w:type="character" w:customStyle="1" w:styleId="157">
    <w:name w:val="drapbtn"/>
    <w:basedOn w:val="51"/>
    <w:qFormat/>
    <w:uiPriority w:val="0"/>
    <w:rPr/>
  </w:style>
  <w:style w:type="character" w:customStyle="1" w:styleId="158">
    <w:name w:val="ico1659"/>
    <w:basedOn w:val="51"/>
    <w:qFormat/>
    <w:uiPriority w:val="0"/>
    <w:rPr/>
  </w:style>
  <w:style w:type="character" w:customStyle="1" w:styleId="159">
    <w:name w:val="design_class"/>
    <w:basedOn w:val="51"/>
    <w:qFormat/>
    <w:uiPriority w:val="0"/>
    <w:rPr/>
  </w:style>
  <w:style w:type="character" w:customStyle="1" w:styleId="160">
    <w:name w:val="bds_nopic1"/>
    <w:qFormat/>
    <w:uiPriority w:val="0"/>
  </w:style>
  <w:style w:type="character" w:customStyle="1" w:styleId="161">
    <w:name w:val="xdrichtextbox"/>
    <w:basedOn w:val="51"/>
    <w:qFormat/>
    <w:uiPriority w:val="0"/>
    <w:rPr>
      <w:color w:val="auto"/>
      <w:sz w:val="18"/>
      <w:szCs w:val="18"/>
      <w:u w:val="none"/>
      <w:bdr w:val="single" w:color="DCDCDC" w:sz="8" w:space="0"/>
      <w:shd w:val="clear" w:color="auto" w:fill="auto"/>
    </w:rPr>
  </w:style>
  <w:style w:type="character" w:customStyle="1" w:styleId="162">
    <w:name w:val="browse_class&gt;span"/>
    <w:basedOn w:val="51"/>
    <w:qFormat/>
    <w:uiPriority w:val="0"/>
    <w:rPr/>
  </w:style>
  <w:style w:type="character" w:customStyle="1" w:styleId="163">
    <w:name w:val="estimate_gray"/>
    <w:basedOn w:val="51"/>
    <w:qFormat/>
    <w:uiPriority w:val="0"/>
    <w:rPr>
      <w:color w:val="FFFFFF"/>
    </w:rPr>
  </w:style>
  <w:style w:type="character" w:customStyle="1" w:styleId="164">
    <w:name w:val="hilite6"/>
    <w:basedOn w:val="51"/>
    <w:qFormat/>
    <w:uiPriority w:val="0"/>
    <w:rPr>
      <w:color w:val="FFFFFF"/>
      <w:shd w:val="clear" w:color="auto" w:fill="666666"/>
    </w:rPr>
  </w:style>
  <w:style w:type="character" w:customStyle="1" w:styleId="165">
    <w:name w:val="Body Text Char"/>
    <w:qFormat/>
    <w:locked/>
    <w:uiPriority w:val="0"/>
    <w:rPr>
      <w:rFonts w:eastAsia="宋体"/>
      <w:kern w:val="2"/>
      <w:sz w:val="21"/>
      <w:szCs w:val="24"/>
      <w:lang w:val="en-US" w:eastAsia="zh-CN" w:bidi="ar-SA"/>
    </w:rPr>
  </w:style>
  <w:style w:type="character" w:customStyle="1" w:styleId="166">
    <w:name w:val="sidecatalog-index2"/>
    <w:qFormat/>
    <w:uiPriority w:val="0"/>
    <w:rPr>
      <w:rFonts w:ascii="Arail" w:hAnsi="Arail" w:eastAsia="Arail" w:cs="Arail"/>
      <w:color w:val="999999"/>
      <w:sz w:val="21"/>
      <w:szCs w:val="21"/>
    </w:rPr>
  </w:style>
  <w:style w:type="character" w:customStyle="1" w:styleId="167">
    <w:name w:val="tmpztreemove_arrow"/>
    <w:basedOn w:val="51"/>
    <w:qFormat/>
    <w:uiPriority w:val="0"/>
    <w:rPr/>
  </w:style>
  <w:style w:type="character" w:customStyle="1" w:styleId="168">
    <w:name w:val="bds_more4"/>
    <w:qFormat/>
    <w:uiPriority w:val="0"/>
  </w:style>
  <w:style w:type="character" w:customStyle="1" w:styleId="169">
    <w:name w:val="正文文本 3 字符1"/>
    <w:qFormat/>
    <w:uiPriority w:val="0"/>
    <w:rPr>
      <w:kern w:val="2"/>
      <w:sz w:val="28"/>
      <w:szCs w:val="24"/>
    </w:rPr>
  </w:style>
  <w:style w:type="character" w:customStyle="1" w:styleId="170">
    <w:name w:val="bds_nopic"/>
    <w:qFormat/>
    <w:uiPriority w:val="0"/>
  </w:style>
  <w:style w:type="character" w:customStyle="1" w:styleId="171">
    <w:name w:val="pagechatarealistclose_box"/>
    <w:basedOn w:val="51"/>
    <w:qFormat/>
    <w:uiPriority w:val="0"/>
    <w:rPr/>
  </w:style>
  <w:style w:type="character" w:customStyle="1" w:styleId="172">
    <w:name w:val="lemmatitleh12"/>
    <w:qFormat/>
    <w:uiPriority w:val="0"/>
  </w:style>
  <w:style w:type="character" w:customStyle="1" w:styleId="173">
    <w:name w:val="polysemyred"/>
    <w:qFormat/>
    <w:uiPriority w:val="0"/>
    <w:rPr>
      <w:color w:val="FF6666"/>
      <w:sz w:val="18"/>
      <w:szCs w:val="18"/>
    </w:rPr>
  </w:style>
  <w:style w:type="character" w:customStyle="1" w:styleId="174">
    <w:name w:val="bds_more3"/>
    <w:qFormat/>
    <w:uiPriority w:val="0"/>
  </w:style>
  <w:style w:type="character" w:customStyle="1" w:styleId="175">
    <w:name w:val="desc"/>
    <w:qFormat/>
    <w:uiPriority w:val="0"/>
    <w:rPr>
      <w:color w:val="000000"/>
      <w:sz w:val="18"/>
      <w:szCs w:val="18"/>
    </w:rPr>
  </w:style>
  <w:style w:type="character" w:customStyle="1" w:styleId="176">
    <w:name w:val="after"/>
    <w:basedOn w:val="51"/>
    <w:qFormat/>
    <w:uiPriority w:val="0"/>
    <w:rPr>
      <w:sz w:val="16"/>
      <w:szCs w:val="16"/>
    </w:rPr>
  </w:style>
  <w:style w:type="character" w:customStyle="1" w:styleId="177">
    <w:name w:val="bds_nopic2"/>
    <w:qFormat/>
    <w:uiPriority w:val="0"/>
  </w:style>
  <w:style w:type="character" w:customStyle="1" w:styleId="178">
    <w:name w:val="正文缩进 Char1"/>
    <w:qFormat/>
    <w:uiPriority w:val="0"/>
    <w:rPr>
      <w:rFonts w:ascii="宋体"/>
      <w:sz w:val="24"/>
    </w:rPr>
  </w:style>
  <w:style w:type="character" w:customStyle="1" w:styleId="179">
    <w:name w:val="样式1 Char Char"/>
    <w:link w:val="66"/>
    <w:qFormat/>
    <w:uiPriority w:val="0"/>
    <w:rPr>
      <w:rFonts w:ascii="宋体" w:hAnsi="宋体"/>
      <w:kern w:val="2"/>
      <w:sz w:val="24"/>
      <w:szCs w:val="21"/>
    </w:rPr>
  </w:style>
  <w:style w:type="character" w:customStyle="1" w:styleId="180">
    <w:name w:val="带编号正文 Char Char"/>
    <w:link w:val="67"/>
    <w:qFormat/>
    <w:uiPriority w:val="0"/>
    <w:rPr>
      <w:rFonts w:ascii="宋体" w:hAnsi="宋体"/>
      <w:kern w:val="2"/>
      <w:sz w:val="24"/>
      <w:szCs w:val="21"/>
    </w:rPr>
  </w:style>
  <w:style w:type="character" w:customStyle="1" w:styleId="181">
    <w:name w:val="cdropleft"/>
    <w:basedOn w:val="51"/>
    <w:qFormat/>
    <w:uiPriority w:val="0"/>
    <w:rPr/>
  </w:style>
  <w:style w:type="character" w:customStyle="1" w:styleId="182">
    <w:name w:val="sidecatalog-dot"/>
    <w:qFormat/>
    <w:uiPriority w:val="0"/>
  </w:style>
  <w:style w:type="character" w:customStyle="1" w:styleId="183">
    <w:name w:val="first-child"/>
    <w:basedOn w:val="51"/>
    <w:qFormat/>
    <w:uiPriority w:val="0"/>
    <w:rPr/>
  </w:style>
  <w:style w:type="character" w:customStyle="1" w:styleId="184">
    <w:name w:val="font01"/>
    <w:basedOn w:val="51"/>
    <w:qFormat/>
    <w:uiPriority w:val="0"/>
    <w:rPr>
      <w:rFonts w:hint="eastAsia" w:ascii="宋体" w:hAnsi="宋体" w:eastAsia="宋体" w:cs="宋体"/>
      <w:color w:val="000000"/>
      <w:sz w:val="20"/>
      <w:szCs w:val="20"/>
      <w:u w:val="none"/>
    </w:rPr>
  </w:style>
  <w:style w:type="character" w:customStyle="1" w:styleId="185">
    <w:name w:val="bds_more1"/>
    <w:qFormat/>
    <w:uiPriority w:val="0"/>
  </w:style>
  <w:style w:type="character" w:customStyle="1" w:styleId="186">
    <w:name w:val="estimate_gray1"/>
    <w:basedOn w:val="51"/>
    <w:qFormat/>
    <w:uiPriority w:val="0"/>
    <w:rPr/>
  </w:style>
  <w:style w:type="character" w:customStyle="1" w:styleId="187">
    <w:name w:val="pagechatarealistclose_box1"/>
    <w:basedOn w:val="51"/>
    <w:qFormat/>
    <w:uiPriority w:val="0"/>
    <w:rPr/>
  </w:style>
  <w:style w:type="character" w:customStyle="1" w:styleId="188">
    <w:name w:val="正文文本 3 Char1"/>
    <w:qFormat/>
    <w:uiPriority w:val="0"/>
    <w:rPr>
      <w:kern w:val="2"/>
      <w:sz w:val="28"/>
      <w:szCs w:val="24"/>
    </w:rPr>
  </w:style>
  <w:style w:type="character" w:customStyle="1" w:styleId="189">
    <w:name w:val="font161"/>
    <w:qFormat/>
    <w:uiPriority w:val="0"/>
    <w:rPr>
      <w:b/>
      <w:bCs/>
      <w:sz w:val="32"/>
      <w:szCs w:val="32"/>
    </w:rPr>
  </w:style>
  <w:style w:type="character" w:customStyle="1" w:styleId="190">
    <w:name w:val="表格 Char Char"/>
    <w:link w:val="68"/>
    <w:qFormat/>
    <w:uiPriority w:val="0"/>
    <w:rPr>
      <w:rFonts w:ascii="华文细黑" w:hAnsi="华文细黑"/>
      <w:sz w:val="21"/>
    </w:rPr>
  </w:style>
  <w:style w:type="character" w:customStyle="1" w:styleId="191">
    <w:name w:val="menutitle7"/>
    <w:qFormat/>
    <w:uiPriority w:val="0"/>
    <w:rPr>
      <w:b/>
      <w:bCs/>
      <w:color w:val="0660A4"/>
      <w:sz w:val="18"/>
      <w:szCs w:val="18"/>
    </w:rPr>
  </w:style>
  <w:style w:type="character" w:customStyle="1" w:styleId="192">
    <w:name w:val="icontext12"/>
    <w:basedOn w:val="51"/>
    <w:qFormat/>
    <w:uiPriority w:val="0"/>
    <w:rPr/>
  </w:style>
  <w:style w:type="character" w:customStyle="1" w:styleId="193">
    <w:name w:val="icontext11"/>
    <w:basedOn w:val="51"/>
    <w:qFormat/>
    <w:uiPriority w:val="0"/>
    <w:rPr/>
  </w:style>
  <w:style w:type="character" w:customStyle="1" w:styleId="194">
    <w:name w:val="正文文本 3 字符"/>
    <w:qFormat/>
    <w:locked/>
    <w:uiPriority w:val="0"/>
    <w:rPr>
      <w:rFonts w:cs="Times New Roman"/>
      <w:kern w:val="2"/>
      <w:sz w:val="24"/>
      <w:szCs w:val="24"/>
    </w:rPr>
  </w:style>
  <w:style w:type="character" w:customStyle="1" w:styleId="195">
    <w:name w:val="choosename"/>
    <w:basedOn w:val="51"/>
    <w:qFormat/>
    <w:uiPriority w:val="0"/>
    <w:rPr/>
  </w:style>
  <w:style w:type="character" w:customStyle="1" w:styleId="196">
    <w:name w:val="font21"/>
    <w:qFormat/>
    <w:uiPriority w:val="0"/>
    <w:rPr>
      <w:rFonts w:hint="eastAsia" w:ascii="宋体" w:hAnsi="宋体" w:eastAsia="宋体" w:cs="宋体"/>
      <w:color w:val="000000"/>
      <w:sz w:val="20"/>
      <w:szCs w:val="20"/>
      <w:u w:val="none"/>
    </w:rPr>
  </w:style>
  <w:style w:type="character" w:customStyle="1" w:styleId="197">
    <w:name w:val="liked_gray"/>
    <w:basedOn w:val="51"/>
    <w:qFormat/>
    <w:uiPriority w:val="0"/>
    <w:rPr>
      <w:color w:val="FFFFFF"/>
    </w:rPr>
  </w:style>
  <w:style w:type="character" w:customStyle="1" w:styleId="198">
    <w:name w:val="bds_more"/>
    <w:qFormat/>
    <w:uiPriority w:val="0"/>
  </w:style>
  <w:style w:type="character" w:customStyle="1" w:styleId="199">
    <w:name w:val="sort1"/>
    <w:qFormat/>
    <w:uiPriority w:val="0"/>
    <w:rPr>
      <w:color w:val="FFFFFF"/>
      <w:bdr w:val="single" w:color="auto" w:sz="24" w:space="0"/>
    </w:rPr>
  </w:style>
  <w:style w:type="character" w:customStyle="1" w:styleId="200">
    <w:name w:val="cdropright"/>
    <w:basedOn w:val="51"/>
    <w:qFormat/>
    <w:uiPriority w:val="0"/>
    <w:rPr/>
  </w:style>
  <w:style w:type="character" w:customStyle="1" w:styleId="201">
    <w:name w:val="hover46"/>
    <w:basedOn w:val="51"/>
    <w:qFormat/>
    <w:uiPriority w:val="0"/>
    <w:rPr>
      <w:color w:val="FFFFFF"/>
    </w:rPr>
  </w:style>
  <w:style w:type="character" w:customStyle="1" w:styleId="202">
    <w:name w:val="sidecatalog-index1"/>
    <w:qFormat/>
    <w:uiPriority w:val="0"/>
    <w:rPr>
      <w:rFonts w:ascii="Arial" w:hAnsi="Arial" w:cs="Arial"/>
      <w:b/>
      <w:color w:val="999999"/>
      <w:sz w:val="21"/>
      <w:szCs w:val="21"/>
    </w:rPr>
  </w:style>
  <w:style w:type="character" w:customStyle="1" w:styleId="203">
    <w:name w:val="sort"/>
    <w:qFormat/>
    <w:uiPriority w:val="0"/>
  </w:style>
  <w:style w:type="character" w:customStyle="1" w:styleId="204">
    <w:name w:val="font11"/>
    <w:qFormat/>
    <w:uiPriority w:val="0"/>
    <w:rPr>
      <w:rFonts w:hint="default" w:ascii="Times New Roman" w:hAnsi="Times New Roman" w:cs="Times New Roman"/>
      <w:color w:val="000000"/>
      <w:sz w:val="22"/>
      <w:szCs w:val="22"/>
      <w:u w:val="none"/>
    </w:rPr>
  </w:style>
  <w:style w:type="character" w:customStyle="1" w:styleId="205">
    <w:name w:val="Body Text 3 Char"/>
    <w:qFormat/>
    <w:locked/>
    <w:uiPriority w:val="0"/>
    <w:rPr>
      <w:kern w:val="2"/>
      <w:sz w:val="24"/>
    </w:rPr>
  </w:style>
  <w:style w:type="character" w:customStyle="1" w:styleId="206">
    <w:name w:val="sidecatalog-dot1"/>
    <w:qFormat/>
    <w:uiPriority w:val="0"/>
  </w:style>
  <w:style w:type="character" w:customStyle="1" w:styleId="207">
    <w:name w:val="xdrichtextbox2"/>
    <w:qFormat/>
    <w:uiPriority w:val="0"/>
    <w:rPr>
      <w:color w:val="auto"/>
      <w:sz w:val="18"/>
      <w:szCs w:val="18"/>
      <w:u w:val="none"/>
      <w:bdr w:val="single" w:color="DCDCDC" w:sz="8" w:space="0"/>
      <w:shd w:val="clear" w:color="auto" w:fill="FFFFFF"/>
    </w:rPr>
  </w:style>
  <w:style w:type="character" w:customStyle="1" w:styleId="208">
    <w:name w:val="fontstyle01"/>
    <w:qFormat/>
    <w:uiPriority w:val="0"/>
    <w:rPr>
      <w:rFonts w:ascii="宋体" w:hAnsi="宋体" w:eastAsia="宋体" w:cs="宋体"/>
      <w:color w:val="3A3A3A"/>
      <w:sz w:val="14"/>
      <w:szCs w:val="1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footer" Target="footer4.xml"/><Relationship Id="rId11" Type="http://schemas.openxmlformats.org/officeDocument/2006/relationships/header" Target="header4.xml"/><Relationship Id="rId12" Type="http://schemas.openxmlformats.org/officeDocument/2006/relationships/footer" Target="footer5.xml"/><Relationship Id="rId13" Type="http://schemas.openxmlformats.org/officeDocument/2006/relationships/theme" Target="theme/theme1.xml"/><Relationship Id="rId14" Type="http://schemas.openxmlformats.org/officeDocument/2006/relationships/image" Target="media/image2.png"/><Relationship Id="rId15" Type="http://schemas.openxmlformats.org/officeDocument/2006/relationships/customXml" Target="../customXml/item1.xml"/><Relationship Id="rId16"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25316</Words>
  <Characters>27342</Characters>
  <Lines>243</Lines>
  <Paragraphs>68</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Administrator</cp:lastModifiedBy>
  <cp:lastPrinted>2024-03-13T01:27:00Z</cp:lastPrinted>
  <dcterms:modified xsi:type="dcterms:W3CDTF">2025-09-09T06:45:07Z</dcterms:modified>
  <dc:title>附件二：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DC44ADA24D714CA3A9C09E17FABB5507</vt:lpwstr>
  </property>
</Properties>
</file>