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WKZB-2025-029</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疫苗稀释液</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疫苗稀释液</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WKZB-2025-029</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疫苗稀释液</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10698"/>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FF0000"/>
          <w:szCs w:val="21"/>
          <w:highlight w:val="none"/>
          <w:lang w:val="en-US" w:bidi="zh-CN"/>
        </w:rPr>
      </w:pPr>
      <w:r>
        <w:rPr>
          <w:rFonts w:hint="eastAsia" w:ascii="宋体" w:hAnsi="宋体" w:cs="宋体"/>
          <w:color w:val="FF0000"/>
          <w:szCs w:val="21"/>
          <w:highlight w:val="none"/>
          <w:lang w:val="zh-CN" w:bidi="zh-CN"/>
        </w:rPr>
        <w:t>规模：国药集团扬州威克生物工程有限公司</w:t>
      </w:r>
      <w:r>
        <w:rPr>
          <w:rFonts w:hint="eastAsia" w:ascii="宋体" w:hAnsi="宋体" w:cs="宋体"/>
          <w:color w:val="FF0000"/>
          <w:szCs w:val="21"/>
          <w:highlight w:val="none"/>
          <w:lang w:bidi="zh-CN"/>
        </w:rPr>
        <w:t>拟采购</w:t>
      </w:r>
      <w:r>
        <w:rPr>
          <w:rFonts w:hint="eastAsia" w:ascii="宋体" w:hAnsi="宋体" w:cs="宋体"/>
          <w:color w:val="FF0000"/>
          <w:szCs w:val="21"/>
          <w:highlight w:val="none"/>
          <w:lang w:val="en-US" w:bidi="zh-CN"/>
        </w:rPr>
        <w:t>疫苗稀释液。</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pacing w:val="-5"/>
          <w:szCs w:val="21"/>
          <w:highlight w:val="none"/>
          <w:lang w:val="zh-CN" w:bidi="zh-CN"/>
        </w:rPr>
        <w:t xml:space="preserve">范围：本招标项目划分为 </w:t>
      </w:r>
      <w:r>
        <w:rPr>
          <w:rFonts w:hint="eastAsia" w:ascii="宋体" w:hAnsi="宋体" w:cs="宋体"/>
          <w:color w:val="FF0000"/>
          <w:spacing w:val="-5"/>
          <w:szCs w:val="21"/>
          <w:highlight w:val="none"/>
          <w:lang w:val="en-US" w:bidi="zh-CN"/>
        </w:rPr>
        <w:t>1</w:t>
      </w:r>
      <w:r>
        <w:rPr>
          <w:rFonts w:hint="eastAsia" w:ascii="宋体" w:hAnsi="宋体" w:cs="宋体"/>
          <w:color w:val="FF0000"/>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zCs w:val="21"/>
          <w:highlight w:val="none"/>
          <w:lang w:val="zh-CN" w:bidi="zh-CN"/>
        </w:rPr>
        <w:t>(001)国药集团扬州威克生物工程有限公司</w:t>
      </w:r>
      <w:r>
        <w:rPr>
          <w:rFonts w:hint="eastAsia" w:ascii="宋体" w:hAnsi="宋体" w:cs="宋体"/>
          <w:color w:val="FF0000"/>
          <w:szCs w:val="21"/>
          <w:highlight w:val="none"/>
          <w:lang w:val="en-US" w:bidi="zh-CN"/>
        </w:rPr>
        <w:t>疫苗稀释液</w:t>
      </w:r>
      <w:r>
        <w:rPr>
          <w:rFonts w:hint="eastAsia" w:ascii="宋体" w:hAnsi="宋体" w:cs="宋体"/>
          <w:color w:val="FF0000"/>
          <w:szCs w:val="21"/>
          <w:highlight w:val="none"/>
          <w:lang w:val="zh-CN" w:bidi="zh-CN"/>
        </w:rPr>
        <w:t>采购（</w:t>
      </w:r>
      <w:r>
        <w:rPr>
          <w:rFonts w:hint="eastAsia" w:ascii="宋体" w:hAnsi="宋体" w:cs="宋体"/>
          <w:color w:val="FF0000"/>
          <w:szCs w:val="21"/>
          <w:highlight w:val="none"/>
          <w:lang w:val="en-US" w:bidi="zh-CN"/>
        </w:rPr>
        <w:t>8ML,30ML</w:t>
      </w:r>
      <w:r>
        <w:rPr>
          <w:rFonts w:hint="eastAsia" w:ascii="宋体" w:hAnsi="宋体" w:cs="宋体"/>
          <w:color w:val="FF0000"/>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疫苗稀释液</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bookmarkStart w:id="428" w:name="_GoBack"/>
      <w:bookmarkEnd w:id="428"/>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7374"/>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商入围疫苗稀释液项目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FF0000"/>
          <w:szCs w:val="21"/>
          <w:highlight w:val="none"/>
          <w:lang w:bidi="zh-CN"/>
        </w:rPr>
      </w:pPr>
      <w:r>
        <w:rPr>
          <w:rFonts w:hint="eastAsia" w:ascii="宋体" w:hAnsi="宋体" w:cs="宋体"/>
          <w:szCs w:val="21"/>
          <w:highlight w:val="none"/>
          <w:lang w:bidi="zh-CN"/>
        </w:rPr>
        <w:t>服务期限：</w:t>
      </w:r>
      <w:r>
        <w:rPr>
          <w:rFonts w:hint="eastAsia" w:ascii="宋体" w:hAnsi="宋体" w:cs="宋体"/>
          <w:color w:val="FF0000"/>
          <w:szCs w:val="21"/>
          <w:highlight w:val="none"/>
          <w:lang w:bidi="zh-CN"/>
        </w:rPr>
        <w:t>合同签订之日起</w:t>
      </w:r>
      <w:r>
        <w:rPr>
          <w:rFonts w:hint="eastAsia" w:ascii="宋体" w:hAnsi="宋体" w:cs="宋体"/>
          <w:color w:val="FF0000"/>
          <w:szCs w:val="21"/>
          <w:highlight w:val="none"/>
          <w:lang w:val="en-US" w:bidi="zh-CN"/>
        </w:rPr>
        <w:t>1年</w:t>
      </w:r>
      <w:r>
        <w:rPr>
          <w:rFonts w:hint="eastAsia" w:ascii="宋体" w:hAnsi="宋体" w:cs="宋体"/>
          <w:color w:val="FF0000"/>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32313"/>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152045527"/>
      <w:bookmarkStart w:id="37" w:name="_Toc152042303"/>
      <w:bookmarkStart w:id="38" w:name="_Toc144974495"/>
      <w:bookmarkStart w:id="39" w:name="_Toc179632544"/>
      <w:bookmarkStart w:id="40" w:name="_Toc233102490"/>
      <w:bookmarkStart w:id="41" w:name="_Toc25653"/>
      <w:bookmarkStart w:id="42" w:name="_Toc39094050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0399"/>
      <w:bookmarkStart w:id="44" w:name="_Toc233102491"/>
      <w:bookmarkStart w:id="45" w:name="_Toc390940506"/>
      <w:bookmarkStart w:id="46" w:name="_Toc18804"/>
      <w:bookmarkStart w:id="47" w:name="_Toc152042304"/>
      <w:bookmarkStart w:id="48" w:name="_Toc109736027"/>
      <w:bookmarkStart w:id="49" w:name="_Toc179632545"/>
      <w:bookmarkStart w:id="50" w:name="_Toc152045528"/>
      <w:bookmarkStart w:id="51" w:name="_Toc14497449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default"/>
                <w:color w:val="FF0000"/>
                <w:highlight w:val="none"/>
                <w:lang w:val="en-US" w:eastAsia="zh-CN"/>
              </w:rPr>
            </w:pPr>
            <w:r>
              <w:rPr>
                <w:rFonts w:hint="eastAsia"/>
                <w:highlight w:val="none"/>
              </w:rPr>
              <w:t>2、付款方式：</w:t>
            </w:r>
            <w:r>
              <w:rPr>
                <w:rFonts w:hint="eastAsia"/>
                <w:color w:val="FF0000"/>
                <w:highlight w:val="none"/>
                <w:lang w:val="en-US" w:eastAsia="zh-CN"/>
              </w:rPr>
              <w:t>六个月款期，至少接受50%银行承兑汇票</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109736028"/>
      <w:bookmarkStart w:id="54" w:name="_Toc520356143"/>
      <w:bookmarkStart w:id="55" w:name="_Toc144974497"/>
      <w:bookmarkStart w:id="56" w:name="_Toc152042305"/>
      <w:bookmarkStart w:id="57" w:name="_Toc233102492"/>
      <w:bookmarkStart w:id="58" w:name="_Toc179632546"/>
      <w:bookmarkStart w:id="59" w:name="_Toc152045529"/>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7941"/>
      <w:bookmarkStart w:id="63" w:name="_Toc27571"/>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520356145"/>
      <w:bookmarkStart w:id="69" w:name="_Toc30223"/>
      <w:bookmarkStart w:id="70" w:name="_Toc205"/>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51636702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Toc516367022"/>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51636702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109736045"/>
      <w:bookmarkStart w:id="119" w:name="_Toc216582808"/>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16582809"/>
      <w:bookmarkStart w:id="128" w:name="_Toc109736049"/>
      <w:bookmarkStart w:id="129" w:name="_Toc23762"/>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109736055"/>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062"/>
      <w:bookmarkStart w:id="156" w:name="_Ref467306978"/>
      <w:bookmarkStart w:id="157" w:name="_Toc520356175"/>
      <w:bookmarkStart w:id="158" w:name="_Ref467307204"/>
      <w:bookmarkStart w:id="159" w:name="_Ref467306377"/>
      <w:bookmarkStart w:id="160" w:name="_Toc10973606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04"/>
      <w:bookmarkStart w:id="172" w:name="_Ref467379094"/>
      <w:bookmarkStart w:id="173" w:name="_Ref467379225"/>
      <w:bookmarkStart w:id="174" w:name="_Ref467378463"/>
      <w:bookmarkStart w:id="175" w:name="_Ref467379109"/>
      <w:bookmarkStart w:id="176" w:name="_Ref467379205"/>
      <w:bookmarkStart w:id="177" w:name="_Ref467379195"/>
      <w:bookmarkStart w:id="178" w:name="_Ref467379214"/>
      <w:bookmarkStart w:id="179" w:name="_Ref467378499"/>
      <w:bookmarkStart w:id="180" w:name="_Toc487900349"/>
      <w:bookmarkStart w:id="181" w:name="_Toc415222497"/>
      <w:bookmarkStart w:id="182" w:name="_Ref467379101"/>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31740"/>
      <w:bookmarkStart w:id="190" w:name="_Toc10889"/>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15222499"/>
      <w:bookmarkStart w:id="193" w:name="_Toc487900351"/>
      <w:bookmarkStart w:id="194" w:name="_Toc2425"/>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87900352"/>
      <w:bookmarkStart w:id="198" w:name="_Toc18031"/>
      <w:bookmarkStart w:id="199" w:name="_Toc4693"/>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415222501"/>
      <w:bookmarkStart w:id="202" w:name="_Toc17967"/>
      <w:bookmarkStart w:id="203" w:name="_Toc132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42"/>
      <w:bookmarkStart w:id="205" w:name="_Ref467378591"/>
      <w:bookmarkStart w:id="206" w:name="_Toc487900354"/>
      <w:bookmarkStart w:id="207" w:name="_Toc18715"/>
      <w:bookmarkStart w:id="208" w:name="_Ref467378541"/>
      <w:bookmarkStart w:id="209" w:name="_Ref467379527"/>
      <w:bookmarkStart w:id="210" w:name="_Toc415222502"/>
      <w:bookmarkStart w:id="211" w:name="_Toc11864"/>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87900355"/>
      <w:bookmarkStart w:id="216" w:name="_Toc415222503"/>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807"/>
      <w:bookmarkStart w:id="219" w:name="_Toc487900357"/>
      <w:bookmarkStart w:id="220" w:name="_Toc15361"/>
      <w:bookmarkStart w:id="221" w:name="_Toc415222504"/>
      <w:bookmarkStart w:id="222" w:name="_Ref467379793"/>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Ref467379923"/>
      <w:bookmarkStart w:id="226" w:name="_Toc415222505"/>
      <w:bookmarkStart w:id="227" w:name="_Ref467379852"/>
      <w:bookmarkStart w:id="228" w:name="_Toc1380"/>
      <w:bookmarkStart w:id="229" w:name="_Toc6588"/>
      <w:bookmarkStart w:id="230" w:name="_Toc48790035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28649"/>
      <w:bookmarkStart w:id="232" w:name="_Ref467379946"/>
      <w:bookmarkStart w:id="233" w:name="_Toc15447"/>
      <w:bookmarkStart w:id="234" w:name="_Ref467377798"/>
      <w:bookmarkStart w:id="235" w:name="_Toc487900359"/>
      <w:bookmarkStart w:id="236" w:name="_Ref467379937"/>
      <w:bookmarkStart w:id="237" w:name="_Toc415222506"/>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15222508"/>
      <w:bookmarkStart w:id="245" w:name="_Toc487900361"/>
      <w:bookmarkStart w:id="246" w:name="_Toc21509"/>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487900362"/>
      <w:bookmarkStart w:id="251" w:name="_Toc15086"/>
      <w:bookmarkStart w:id="252" w:name="_Toc3148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15222510"/>
      <w:bookmarkStart w:id="254" w:name="_Toc487900363"/>
      <w:bookmarkStart w:id="255" w:name="_Toc19929"/>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6322"/>
      <w:bookmarkStart w:id="258" w:name="_Toc487900364"/>
      <w:bookmarkStart w:id="259" w:name="_Ref467378121"/>
      <w:bookmarkStart w:id="260" w:name="_Toc415222511"/>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29320"/>
      <w:bookmarkStart w:id="264" w:name="_Toc1755"/>
      <w:bookmarkStart w:id="265" w:name="_Toc48790036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415222513"/>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487900367"/>
      <w:bookmarkStart w:id="273" w:name="_Toc415222514"/>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15222515"/>
      <w:bookmarkStart w:id="277" w:name="_Toc22065"/>
      <w:bookmarkStart w:id="278" w:name="_Toc23904"/>
      <w:bookmarkStart w:id="279" w:name="_Toc487900368"/>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10385"/>
      <w:bookmarkStart w:id="282" w:name="_Toc415222516"/>
      <w:bookmarkStart w:id="283" w:name="_Toc2972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2142"/>
      <w:bookmarkStart w:id="286" w:name="_Toc13194"/>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14345"/>
      <w:bookmarkStart w:id="290" w:name="_Toc415222518"/>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30523"/>
      <w:bookmarkStart w:id="293" w:name="_Toc415222519"/>
      <w:bookmarkStart w:id="294" w:name="_Toc27508"/>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87900373"/>
      <w:bookmarkStart w:id="297" w:name="_Toc23747"/>
      <w:bookmarkStart w:id="298" w:name="_Toc415222520"/>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5896"/>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326"/>
      <w:bookmarkStart w:id="314" w:name="_Toc27454"/>
      <w:bookmarkStart w:id="315" w:name="_Toc219175636"/>
      <w:bookmarkStart w:id="316" w:name="_Toc220229431"/>
      <w:bookmarkStart w:id="317" w:name="_Toc15903"/>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color w:val="FF0000"/>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5329"/>
      <w:bookmarkStart w:id="339" w:name="_Toc216582813"/>
      <w:bookmarkStart w:id="340" w:name="_Toc415222524"/>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16582814"/>
      <w:bookmarkStart w:id="346" w:name="_Ref467988705"/>
      <w:bookmarkStart w:id="347" w:name="_Toc480942350"/>
      <w:bookmarkStart w:id="348" w:name="_Toc520356218"/>
      <w:bookmarkStart w:id="349" w:name="_Toc109736070"/>
      <w:bookmarkStart w:id="350" w:name="_Toc29788"/>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疫苗稀释液</w:t>
      </w:r>
      <w:r>
        <w:rPr>
          <w:rFonts w:hint="eastAsia" w:hAnsi="宋体"/>
          <w:szCs w:val="21"/>
          <w:highlight w:val="none"/>
          <w:u w:val="single"/>
        </w:rPr>
        <w:t xml:space="preserve">                       </w:t>
      </w:r>
      <w:r>
        <w:rPr>
          <w:rFonts w:hAnsi="宋体"/>
          <w:szCs w:val="21"/>
          <w:highlight w:val="none"/>
        </w:rPr>
        <w:t xml:space="preserve">   </w:t>
      </w: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WKZB-2025-029</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3158"/>
        <w:gridCol w:w="1608"/>
        <w:gridCol w:w="1608"/>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59" w:type="pct"/>
            <w:vAlign w:val="center"/>
          </w:tcPr>
          <w:p>
            <w:pPr>
              <w:spacing w:line="380" w:lineRule="exact"/>
              <w:jc w:val="center"/>
              <w:rPr>
                <w:rFonts w:ascii="仿宋" w:hAnsi="仿宋" w:eastAsia="仿宋" w:cs="仿宋"/>
                <w:sz w:val="24"/>
                <w:highlight w:val="none"/>
              </w:rPr>
            </w:pPr>
          </w:p>
        </w:tc>
        <w:tc>
          <w:tcPr>
            <w:tcW w:w="1634"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包装规格</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/瓶</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2"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59"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疫苗稀释液</w:t>
            </w:r>
            <w:r>
              <w:rPr>
                <w:rFonts w:hint="default" w:ascii="仿宋" w:hAnsi="仿宋" w:eastAsia="仿宋" w:cs="仿宋"/>
                <w:sz w:val="24"/>
                <w:highlight w:val="none"/>
                <w:lang w:val="en-US" w:eastAsia="zh-CN"/>
              </w:rPr>
              <w:t xml:space="preserve"> </w:t>
            </w:r>
          </w:p>
        </w:tc>
        <w:tc>
          <w:tcPr>
            <w:tcW w:w="1634"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8ML</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2" w:type="pct"/>
            <w:tcBorders>
              <w:left w:val="single" w:color="auto" w:sz="4" w:space="0"/>
              <w:bottom w:val="single" w:color="auto" w:sz="4" w:space="0"/>
            </w:tcBorders>
            <w:vAlign w:val="center"/>
          </w:tcPr>
          <w:p>
            <w:pPr>
              <w:spacing w:line="380" w:lineRule="exact"/>
              <w:jc w:val="both"/>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靛蓝，玻璃瓶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59" w:type="pct"/>
            <w:tcBorders>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疫苗稀释液</w:t>
            </w:r>
            <w:r>
              <w:rPr>
                <w:rFonts w:hint="default" w:ascii="仿宋" w:hAnsi="仿宋" w:eastAsia="仿宋" w:cs="仿宋"/>
                <w:sz w:val="24"/>
                <w:highlight w:val="none"/>
                <w:lang w:val="en-US" w:eastAsia="zh-CN"/>
              </w:rPr>
              <w:t xml:space="preserve"> </w:t>
            </w:r>
          </w:p>
        </w:tc>
        <w:tc>
          <w:tcPr>
            <w:tcW w:w="1634" w:type="pct"/>
            <w:tcBorders>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30ML</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2" w:type="pct"/>
            <w:tcBorders>
              <w:left w:val="single" w:color="auto" w:sz="4" w:space="0"/>
              <w:bottom w:val="single" w:color="auto" w:sz="4" w:space="0"/>
            </w:tcBorders>
            <w:vAlign w:val="center"/>
          </w:tcPr>
          <w:p>
            <w:pPr>
              <w:spacing w:line="380" w:lineRule="exact"/>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靛蓝，塑料瓶，配套同等数量的滴头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疫苗稀释液</w:t>
      </w:r>
      <w:r>
        <w:rPr>
          <w:rFonts w:hint="eastAsia" w:hAnsi="宋体"/>
          <w:szCs w:val="21"/>
          <w:highlight w:val="none"/>
          <w:u w:val="single"/>
        </w:rPr>
        <w:t xml:space="preserve">                       </w:t>
      </w:r>
      <w:r>
        <w:rPr>
          <w:rFonts w:hAnsi="宋体"/>
          <w:szCs w:val="21"/>
          <w:highlight w:val="none"/>
        </w:rPr>
        <w:t xml:space="preserve">   </w:t>
      </w: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WKZB-2025-029</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noWrap w:val="0"/>
            <w:vAlign w:val="center"/>
          </w:tcPr>
          <w:p>
            <w:pPr>
              <w:pStyle w:val="25"/>
              <w:spacing w:line="360" w:lineRule="auto"/>
              <w:ind w:left="1080" w:leftChars="257" w:hanging="540"/>
              <w:jc w:val="both"/>
              <w:rPr>
                <w:rFonts w:hint="default" w:hAnsi="宋体"/>
                <w:szCs w:val="21"/>
                <w:highlight w:val="none"/>
                <w:lang w:val="en-US" w:eastAsia="zh-CN"/>
              </w:rPr>
            </w:pPr>
            <w:r>
              <w:rPr>
                <w:rFonts w:hint="eastAsia" w:hAnsi="宋体"/>
                <w:szCs w:val="21"/>
                <w:highlight w:val="none"/>
                <w:lang w:val="en-US" w:eastAsia="zh-CN"/>
              </w:rPr>
              <w:t>URS 5.6</w:t>
            </w:r>
          </w:p>
        </w:tc>
        <w:tc>
          <w:tcPr>
            <w:tcW w:w="2443" w:type="dxa"/>
            <w:noWrap w:val="0"/>
            <w:vAlign w:val="center"/>
          </w:tcPr>
          <w:p>
            <w:pPr>
              <w:spacing w:before="120" w:line="360" w:lineRule="exact"/>
              <w:rPr>
                <w:rFonts w:hint="eastAsia" w:hAnsi="宋体"/>
                <w:szCs w:val="21"/>
                <w:highlight w:val="none"/>
                <w:lang w:val="en-US" w:eastAsia="zh-CN"/>
              </w:rPr>
            </w:pPr>
            <w:r>
              <w:rPr>
                <w:rFonts w:hint="eastAsia" w:hAnsi="宋体"/>
                <w:szCs w:val="21"/>
                <w:highlight w:val="none"/>
                <w:lang w:val="en-US" w:eastAsia="zh-CN"/>
              </w:rPr>
              <w:t>供应商应随货带有产品的送货批次、数量、检验报告。</w:t>
            </w: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疫苗稀释液</w:t>
      </w:r>
      <w:r>
        <w:rPr>
          <w:rFonts w:hint="eastAsia" w:hAnsi="宋体"/>
          <w:szCs w:val="21"/>
          <w:highlight w:val="none"/>
          <w:u w:val="single"/>
        </w:rPr>
        <w:t xml:space="preserve">                       </w:t>
      </w:r>
      <w:r>
        <w:rPr>
          <w:rFonts w:hAnsi="宋体"/>
          <w:szCs w:val="21"/>
          <w:highlight w:val="none"/>
        </w:rPr>
        <w:t xml:space="preserve">    </w:t>
      </w:r>
    </w:p>
    <w:p>
      <w:pPr>
        <w:pStyle w:val="20"/>
        <w:rPr>
          <w:rFonts w:hint="eastAsia"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WKZB-2025-029</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对照第六章要求逐条填写，对符合的填写响应，不符合的说明“正偏离”或“负偏离”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520356224"/>
      <w:bookmarkStart w:id="361" w:name="_Ref467988543"/>
      <w:bookmarkStart w:id="362" w:name="_Toc480942355"/>
      <w:bookmarkStart w:id="363" w:name="_Toc415222530"/>
      <w:bookmarkStart w:id="364" w:name="_Toc13093"/>
      <w:bookmarkStart w:id="365" w:name="_Toc216582819"/>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3973"/>
      <w:bookmarkEnd w:id="369"/>
      <w:bookmarkStart w:id="370" w:name="_Hlt520274393"/>
      <w:bookmarkEnd w:id="370"/>
      <w:bookmarkStart w:id="371" w:name="_Hlt520274407"/>
      <w:bookmarkEnd w:id="371"/>
      <w:bookmarkStart w:id="372" w:name="_Hlt520273711"/>
      <w:bookmarkEnd w:id="372"/>
      <w:bookmarkStart w:id="373" w:name="_Hlt520274121"/>
      <w:bookmarkEnd w:id="373"/>
      <w:bookmarkStart w:id="374" w:name="_Hlt520271212"/>
      <w:bookmarkEnd w:id="374"/>
      <w:bookmarkStart w:id="375" w:name="_Hlt520274065"/>
      <w:bookmarkEnd w:id="375"/>
      <w:bookmarkStart w:id="376" w:name="_Hlt520350918"/>
      <w:bookmarkEnd w:id="376"/>
      <w:bookmarkStart w:id="377" w:name="_Hlt520343392"/>
      <w:bookmarkEnd w:id="377"/>
      <w:bookmarkStart w:id="378" w:name="_Hlt520343000"/>
      <w:bookmarkEnd w:id="378"/>
      <w:bookmarkStart w:id="379" w:name="_Hlt520350957"/>
      <w:bookmarkEnd w:id="379"/>
      <w:bookmarkStart w:id="380" w:name="_Toc2581"/>
      <w:bookmarkStart w:id="381" w:name="_Ref467990100"/>
      <w:bookmarkStart w:id="382" w:name="_Toc520125061"/>
      <w:bookmarkStart w:id="383" w:name="_Ref467990064"/>
      <w:bookmarkStart w:id="384" w:name="_Toc520125062"/>
      <w:bookmarkStart w:id="385" w:name="_Ref467988485"/>
      <w:bookmarkStart w:id="386" w:name="_Toc480942358"/>
      <w:bookmarkStart w:id="387" w:name="_Toc480942357"/>
      <w:bookmarkStart w:id="388" w:name="_Toc520356229"/>
      <w:bookmarkStart w:id="389" w:name="_Ref467990058"/>
      <w:bookmarkStart w:id="390" w:name="_Ref467990101"/>
      <w:bookmarkStart w:id="391" w:name="_Ref467988479"/>
      <w:bookmarkStart w:id="392" w:name="_Ref467988471"/>
      <w:bookmarkStart w:id="393" w:name="_Toc520356228"/>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2"/>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疫苗稀释液</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WKZB-2025-029</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216582826"/>
      <w:bookmarkStart w:id="407" w:name="_Toc219175639"/>
      <w:bookmarkStart w:id="408" w:name="_Toc109736075"/>
      <w:bookmarkStart w:id="409" w:name="_Toc220229434"/>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415" w:name="_Toc18725"/>
      <w:bookmarkStart w:id="416" w:name="_Toc1561"/>
      <w:bookmarkStart w:id="417" w:name="_Toc61418267"/>
      <w:bookmarkStart w:id="418" w:name="_Toc188181412"/>
      <w:r>
        <w:rPr>
          <w:rFonts w:hint="eastAsia" w:ascii="宋体" w:hAnsi="宋体" w:eastAsia="宋体" w:cs="Times New Roman"/>
          <w:b/>
          <w:caps w:val="0"/>
          <w:kern w:val="28"/>
          <w:sz w:val="30"/>
          <w:szCs w:val="30"/>
          <w:lang w:val="fr-FR" w:eastAsia="zh-CN" w:bidi="ar-SA"/>
        </w:rPr>
        <w:t>目的</w:t>
      </w:r>
      <w:bookmarkEnd w:id="415"/>
      <w:bookmarkEnd w:id="416"/>
    </w:p>
    <w:bookmarkEnd w:id="417"/>
    <w:bookmarkEnd w:id="418"/>
    <w:p>
      <w:pPr>
        <w:widowControl/>
        <w:spacing w:before="159" w:beforeLines="50" w:line="360" w:lineRule="auto"/>
        <w:ind w:firstLine="400" w:firstLineChars="200"/>
        <w:jc w:val="left"/>
        <w:rPr>
          <w:rFonts w:hint="eastAsia" w:ascii="宋体" w:hAnsi="宋体" w:eastAsia="宋体" w:cs="Times New Roman"/>
          <w:kern w:val="0"/>
          <w:sz w:val="20"/>
          <w:szCs w:val="20"/>
          <w:lang w:val="fr-FR"/>
        </w:rPr>
      </w:pPr>
      <w:bookmarkStart w:id="419" w:name="_Hlk528847756"/>
      <w:bookmarkStart w:id="420" w:name="_Toc28598"/>
      <w:r>
        <w:rPr>
          <w:rFonts w:ascii="Times New Roman" w:hAnsi="Times New Roman" w:eastAsia="宋体" w:cs="Times New Roman"/>
          <w:kern w:val="0"/>
          <w:sz w:val="20"/>
          <w:szCs w:val="20"/>
          <w:lang w:val="fr-FR"/>
        </w:rPr>
        <w:t>本</w:t>
      </w:r>
      <w:r>
        <w:rPr>
          <w:rFonts w:hint="eastAsia" w:ascii="Times New Roman" w:hAnsi="Times New Roman" w:eastAsia="宋体" w:cs="Times New Roman"/>
          <w:kern w:val="0"/>
          <w:sz w:val="20"/>
          <w:szCs w:val="20"/>
          <w:lang w:val="fr-FR"/>
        </w:rPr>
        <w:t>URS</w:t>
      </w:r>
      <w:r>
        <w:rPr>
          <w:rFonts w:ascii="Times New Roman" w:hAnsi="Times New Roman" w:eastAsia="宋体" w:cs="Times New Roman"/>
          <w:kern w:val="0"/>
          <w:sz w:val="20"/>
          <w:szCs w:val="20"/>
          <w:lang w:val="fr-FR"/>
        </w:rPr>
        <w:t>文件旨在以文件的形式描述</w:t>
      </w:r>
      <w:r>
        <w:rPr>
          <w:rFonts w:hint="eastAsia" w:ascii="Times New Roman" w:hAnsi="Times New Roman" w:eastAsia="宋体" w:cs="Times New Roman"/>
          <w:kern w:val="0"/>
          <w:sz w:val="20"/>
          <w:szCs w:val="20"/>
          <w:lang w:val="fr-FR"/>
        </w:rPr>
        <w:t>国药集团</w:t>
      </w:r>
      <w:r>
        <w:rPr>
          <w:rFonts w:hint="eastAsia" w:ascii="Arial" w:hAnsi="Arial" w:eastAsia="宋体" w:cs="Arial"/>
          <w:bCs/>
          <w:kern w:val="0"/>
          <w:sz w:val="20"/>
          <w:szCs w:val="21"/>
          <w:lang w:val="fr-FR"/>
        </w:rPr>
        <w:t>扬州威克生物工程有限公司疫苗配套用稀释液</w:t>
      </w:r>
      <w:r>
        <w:rPr>
          <w:rFonts w:ascii="Times New Roman" w:hAnsi="Times New Roman" w:eastAsia="宋体" w:cs="Times New Roman"/>
          <w:kern w:val="0"/>
          <w:sz w:val="20"/>
          <w:szCs w:val="20"/>
          <w:lang w:val="fr-FR"/>
        </w:rPr>
        <w:t>的</w:t>
      </w:r>
      <w:r>
        <w:rPr>
          <w:rFonts w:hint="eastAsia" w:ascii="Times New Roman" w:hAnsi="Times New Roman" w:eastAsia="宋体" w:cs="Times New Roman"/>
          <w:kern w:val="0"/>
          <w:sz w:val="20"/>
          <w:szCs w:val="20"/>
          <w:lang w:val="fr-FR"/>
        </w:rPr>
        <w:t>要求</w:t>
      </w:r>
      <w:r>
        <w:rPr>
          <w:rFonts w:ascii="Times New Roman" w:hAnsi="Times New Roman" w:eastAsia="宋体" w:cs="Times New Roman"/>
          <w:kern w:val="0"/>
          <w:sz w:val="20"/>
          <w:szCs w:val="20"/>
          <w:lang w:val="fr-FR"/>
        </w:rPr>
        <w:t>。是合同等商业行为和</w:t>
      </w:r>
      <w:r>
        <w:rPr>
          <w:rFonts w:hint="eastAsia" w:ascii="Times New Roman" w:hAnsi="Times New Roman" w:eastAsia="宋体" w:cs="Times New Roman"/>
          <w:kern w:val="0"/>
          <w:sz w:val="20"/>
          <w:szCs w:val="20"/>
          <w:lang w:val="fr-FR"/>
        </w:rPr>
        <w:t>稀释液检验与使用</w:t>
      </w:r>
      <w:r>
        <w:rPr>
          <w:rFonts w:ascii="Times New Roman" w:hAnsi="Times New Roman" w:eastAsia="宋体" w:cs="Times New Roman"/>
          <w:kern w:val="0"/>
          <w:sz w:val="20"/>
          <w:szCs w:val="20"/>
          <w:lang w:val="fr-FR"/>
        </w:rPr>
        <w:t>的依据。</w:t>
      </w:r>
      <w:r>
        <w:rPr>
          <w:rFonts w:hint="eastAsia" w:ascii="Times New Roman" w:hAnsi="Times New Roman" w:eastAsia="宋体" w:cs="Times New Roman"/>
          <w:kern w:val="0"/>
          <w:sz w:val="20"/>
          <w:szCs w:val="20"/>
          <w:lang w:val="fr-FR"/>
        </w:rPr>
        <w:t>以</w:t>
      </w:r>
      <w:r>
        <w:rPr>
          <w:rFonts w:ascii="Times New Roman" w:hAnsi="Times New Roman" w:eastAsia="宋体" w:cs="Times New Roman"/>
          <w:kern w:val="0"/>
          <w:sz w:val="20"/>
          <w:szCs w:val="20"/>
          <w:lang w:val="fr-FR"/>
        </w:rPr>
        <w:t>保证</w:t>
      </w:r>
      <w:r>
        <w:rPr>
          <w:rFonts w:hint="eastAsia" w:ascii="Times New Roman" w:hAnsi="Times New Roman" w:eastAsia="宋体" w:cs="Times New Roman"/>
          <w:kern w:val="0"/>
          <w:sz w:val="20"/>
          <w:szCs w:val="20"/>
          <w:lang w:val="fr-FR"/>
        </w:rPr>
        <w:t>供应</w:t>
      </w:r>
      <w:r>
        <w:rPr>
          <w:rFonts w:ascii="Times New Roman" w:hAnsi="Times New Roman" w:eastAsia="宋体" w:cs="Times New Roman"/>
          <w:kern w:val="0"/>
          <w:sz w:val="20"/>
          <w:szCs w:val="20"/>
          <w:lang w:val="fr-FR"/>
        </w:rPr>
        <w:t>商所提供的产品符合我公司的所有要求。</w:t>
      </w:r>
    </w:p>
    <w:bookmarkEnd w:id="419"/>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1" w:name="_Toc716"/>
      <w:r>
        <w:rPr>
          <w:rFonts w:hint="eastAsia" w:ascii="宋体" w:hAnsi="宋体" w:eastAsia="宋体" w:cs="Times New Roman"/>
          <w:b/>
          <w:caps/>
          <w:kern w:val="28"/>
          <w:sz w:val="30"/>
          <w:szCs w:val="30"/>
          <w:lang w:val="en-US" w:eastAsia="zh-CN" w:bidi="ar-SA"/>
        </w:rPr>
        <w:t>范围</w:t>
      </w:r>
      <w:bookmarkEnd w:id="420"/>
      <w:bookmarkEnd w:id="421"/>
    </w:p>
    <w:p>
      <w:pPr>
        <w:widowControl/>
        <w:ind w:left="360"/>
        <w:jc w:val="left"/>
        <w:rPr>
          <w:rFonts w:hint="eastAsia" w:ascii="Times New Roman" w:hAnsi="Times New Roman" w:eastAsia="宋体" w:cs="Times New Roman"/>
          <w:kern w:val="0"/>
          <w:sz w:val="20"/>
          <w:szCs w:val="20"/>
          <w:lang w:val="fr-FR"/>
        </w:rPr>
      </w:pPr>
      <w:bookmarkStart w:id="422" w:name="_Hlk528847449"/>
      <w:bookmarkStart w:id="423" w:name="_Toc16805"/>
      <w:bookmarkStart w:id="424" w:name="_Toc26852"/>
      <w:r>
        <w:rPr>
          <w:rFonts w:hint="eastAsia" w:ascii="Times New Roman" w:hAnsi="Times New Roman" w:eastAsia="宋体" w:cs="Times New Roman"/>
          <w:kern w:val="0"/>
          <w:sz w:val="20"/>
          <w:szCs w:val="20"/>
          <w:lang w:val="fr-FR"/>
        </w:rPr>
        <w:t>适用于疫苗配套用稀释液的招标。</w:t>
      </w:r>
      <w:bookmarkEnd w:id="422"/>
    </w:p>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r>
        <w:rPr>
          <w:rFonts w:hint="eastAsia" w:ascii="宋体" w:hAnsi="宋体" w:eastAsia="宋体" w:cs="Times New Roman"/>
          <w:b/>
          <w:caps/>
          <w:kern w:val="28"/>
          <w:sz w:val="30"/>
          <w:szCs w:val="30"/>
          <w:lang w:val="fr-FR" w:eastAsia="zh-CN" w:bidi="ar-SA"/>
        </w:rPr>
        <w:t>定义和缩略语</w:t>
      </w:r>
      <w:bookmarkEnd w:id="423"/>
      <w:bookmarkEnd w:id="424"/>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ind w:firstLine="160" w:firstLineChars="67"/>
              <w:jc w:val="center"/>
              <w:rPr>
                <w:rFonts w:ascii="宋体" w:hAnsi="宋体" w:eastAsia="宋体" w:cs="Times New Roman"/>
                <w:kern w:val="0"/>
                <w:sz w:val="24"/>
                <w:szCs w:val="24"/>
                <w:lang w:val="fr-FR"/>
              </w:rPr>
            </w:pPr>
            <w:bookmarkStart w:id="425" w:name="_Hlk528847918"/>
            <w:r>
              <w:rPr>
                <w:rFonts w:ascii="宋体" w:hAnsi="宋体" w:eastAsia="宋体" w:cs="Times New Roman"/>
                <w:kern w:val="0"/>
                <w:sz w:val="24"/>
                <w:szCs w:val="24"/>
                <w:lang w:val="fr-FR"/>
              </w:rPr>
              <w:t>缩写</w:t>
            </w:r>
          </w:p>
        </w:tc>
        <w:tc>
          <w:tcPr>
            <w:tcW w:w="7371" w:type="dxa"/>
            <w:shd w:val="clear" w:color="auto" w:fill="D9D9D9"/>
            <w:noWrap w:val="0"/>
            <w:vAlign w:val="center"/>
          </w:tcPr>
          <w:p>
            <w:pPr>
              <w:widowControl/>
              <w:ind w:firstLine="420"/>
              <w:jc w:val="center"/>
              <w:rPr>
                <w:rFonts w:ascii="宋体" w:hAnsi="宋体" w:eastAsia="宋体" w:cs="Times New Roman"/>
                <w:kern w:val="0"/>
                <w:sz w:val="24"/>
                <w:szCs w:val="24"/>
                <w:lang w:val="fr-FR"/>
              </w:rPr>
            </w:pPr>
            <w:r>
              <w:rPr>
                <w:rFonts w:ascii="宋体" w:hAnsi="宋体" w:eastAsia="宋体" w:cs="Times New Roman"/>
                <w:kern w:val="0"/>
                <w:sz w:val="24"/>
                <w:szCs w:val="24"/>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GMP</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FDA</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URS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WHO</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World Health Organization 世界卫生组织</w:t>
            </w:r>
          </w:p>
        </w:tc>
      </w:tr>
      <w:bookmarkEnd w:id="425"/>
    </w:tbl>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6" w:name="_Toc20878"/>
      <w:bookmarkStart w:id="427" w:name="_Toc14542"/>
      <w:r>
        <w:rPr>
          <w:rFonts w:hint="eastAsia" w:ascii="宋体" w:hAnsi="宋体" w:eastAsia="宋体" w:cs="Times New Roman"/>
          <w:b/>
          <w:caps/>
          <w:color w:val="000000"/>
          <w:kern w:val="28"/>
          <w:sz w:val="30"/>
          <w:szCs w:val="30"/>
          <w:lang w:val="en-US" w:eastAsia="zh-CN" w:bidi="ar-SA"/>
        </w:rPr>
        <w:t>产品规格</w:t>
      </w:r>
      <w:bookmarkEnd w:id="426"/>
      <w:bookmarkEnd w:id="427"/>
    </w:p>
    <w:p>
      <w:pPr>
        <w:widowControl/>
        <w:numPr>
          <w:ilvl w:val="0"/>
          <w:numId w:val="0"/>
        </w:numPr>
        <w:ind w:leftChars="0" w:firstLine="400" w:firstLineChars="20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US" w:eastAsia="zh-CN"/>
        </w:rPr>
        <w:t>8</w:t>
      </w:r>
      <w:r>
        <w:rPr>
          <w:rFonts w:hint="eastAsia" w:ascii="Times New Roman" w:hAnsi="Times New Roman" w:eastAsia="宋体" w:cs="Times New Roman"/>
          <w:kern w:val="0"/>
          <w:sz w:val="20"/>
          <w:szCs w:val="20"/>
          <w:lang w:val="fr-FR"/>
        </w:rPr>
        <w:t>ml、30ml稀释液。</w:t>
      </w:r>
    </w:p>
    <w:p>
      <w:pPr>
        <w:widowControl/>
        <w:ind w:firstLine="400" w:firstLineChars="200"/>
        <w:jc w:val="left"/>
        <w:rPr>
          <w:rFonts w:hint="eastAsia" w:ascii="宋体" w:hAnsi="宋体" w:eastAsia="宋体" w:cs="宋体"/>
          <w:color w:val="000000"/>
          <w:kern w:val="2"/>
          <w:sz w:val="20"/>
          <w:szCs w:val="20"/>
          <w:lang w:val="en-US"/>
        </w:rPr>
      </w:pPr>
    </w:p>
    <w:p>
      <w:pPr>
        <w:keepNext/>
        <w:numPr>
          <w:ilvl w:val="1"/>
          <w:numId w:val="15"/>
        </w:numPr>
        <w:spacing w:before="240" w:beforeLines="0" w:after="60" w:afterLines="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标准依据</w:t>
      </w:r>
    </w:p>
    <w:p>
      <w:pPr>
        <w:widowControl/>
        <w:jc w:val="left"/>
        <w:rPr>
          <w:rFonts w:hint="eastAsia" w:ascii="宋体" w:hAnsi="宋体" w:eastAsia="宋体" w:cs="Times New Roman"/>
          <w:color w:val="000000"/>
          <w:kern w:val="0"/>
          <w:sz w:val="20"/>
          <w:szCs w:val="20"/>
          <w:lang w:val="en-US" w:eastAsia="zh-CN"/>
        </w:rPr>
      </w:pPr>
      <w:r>
        <w:rPr>
          <w:rFonts w:hint="eastAsia" w:ascii="宋体" w:hAnsi="宋体" w:eastAsia="宋体" w:cs="Times New Roman"/>
          <w:color w:val="000000"/>
          <w:kern w:val="0"/>
          <w:sz w:val="20"/>
          <w:szCs w:val="20"/>
          <w:lang w:val="en-US"/>
        </w:rPr>
        <w:t>标准依据</w:t>
      </w:r>
      <w:r>
        <w:rPr>
          <w:rFonts w:hint="eastAsia" w:ascii="宋体" w:hAnsi="宋体" w:eastAsia="宋体" w:cs="Times New Roman"/>
          <w:color w:val="000000"/>
          <w:kern w:val="0"/>
          <w:sz w:val="20"/>
          <w:szCs w:val="20"/>
          <w:lang w:val="en-US" w:eastAsia="zh-CN"/>
        </w:rPr>
        <w:t>现行</w:t>
      </w:r>
      <w:r>
        <w:rPr>
          <w:rFonts w:hint="eastAsia" w:ascii="宋体" w:hAnsi="宋体" w:eastAsia="宋体" w:cs="Times New Roman"/>
          <w:color w:val="000000"/>
          <w:kern w:val="0"/>
          <w:sz w:val="20"/>
          <w:szCs w:val="20"/>
          <w:lang w:val="en-US"/>
        </w:rPr>
        <w:t>《中华人民共和国兽药典》</w:t>
      </w:r>
      <w:r>
        <w:rPr>
          <w:rFonts w:hint="eastAsia" w:ascii="宋体" w:hAnsi="宋体" w:eastAsia="宋体" w:cs="Times New Roman"/>
          <w:color w:val="000000"/>
          <w:kern w:val="0"/>
          <w:sz w:val="20"/>
          <w:szCs w:val="20"/>
          <w:lang w:val="en-US" w:eastAsia="zh-CN"/>
        </w:rPr>
        <w:t>2020年版一部</w:t>
      </w:r>
      <w:r>
        <w:rPr>
          <w:rFonts w:hint="eastAsia" w:ascii="宋体" w:hAnsi="宋体" w:eastAsia="宋体" w:cs="Times New Roman"/>
          <w:color w:val="000000"/>
          <w:kern w:val="0"/>
          <w:sz w:val="20"/>
          <w:szCs w:val="20"/>
          <w:lang w:val="en-US"/>
        </w:rPr>
        <w:t>附录</w:t>
      </w:r>
      <w:r>
        <w:rPr>
          <w:rFonts w:hint="eastAsia" w:ascii="宋体" w:hAnsi="宋体" w:eastAsia="宋体" w:cs="Times New Roman"/>
          <w:color w:val="000000"/>
          <w:kern w:val="0"/>
          <w:sz w:val="20"/>
          <w:szCs w:val="20"/>
          <w:lang w:val="en-US" w:eastAsia="zh-CN"/>
        </w:rPr>
        <w:t>检验。</w:t>
      </w: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 xml:space="preserve"> 质量标准</w:t>
      </w:r>
    </w:p>
    <w:p>
      <w:pPr>
        <w:widowControl/>
        <w:numPr>
          <w:ilvl w:val="0"/>
          <w:numId w:val="16"/>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*装量准确：</w:t>
      </w:r>
      <w:r>
        <w:rPr>
          <w:rFonts w:hint="eastAsia"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fr-FR"/>
        </w:rPr>
        <w:t>规格*1%。</w:t>
      </w:r>
    </w:p>
    <w:p>
      <w:pPr>
        <w:widowControl/>
        <w:numPr>
          <w:ilvl w:val="0"/>
          <w:numId w:val="16"/>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*在20-25</w:t>
      </w:r>
      <w:r>
        <w:rPr>
          <w:rFonts w:hint="eastAsia" w:ascii="宋体" w:hAnsi="宋体" w:eastAsia="宋体" w:cs="Times New Roman"/>
          <w:kern w:val="0"/>
          <w:sz w:val="20"/>
          <w:szCs w:val="20"/>
          <w:lang w:val="fr-FR"/>
        </w:rPr>
        <w:t>℃</w:t>
      </w:r>
      <w:r>
        <w:rPr>
          <w:rFonts w:hint="eastAsia" w:ascii="Times New Roman" w:hAnsi="Times New Roman" w:eastAsia="宋体" w:cs="Times New Roman"/>
          <w:kern w:val="0"/>
          <w:sz w:val="20"/>
          <w:szCs w:val="20"/>
          <w:lang w:val="fr-FR"/>
        </w:rPr>
        <w:t>时用pH计测定pH值，pH应在6.0-7.2之间。</w:t>
      </w:r>
    </w:p>
    <w:p>
      <w:pPr>
        <w:widowControl/>
        <w:numPr>
          <w:ilvl w:val="0"/>
          <w:numId w:val="16"/>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运输必须能保护产品质量并使包装保持完整无损。</w:t>
      </w:r>
    </w:p>
    <w:p>
      <w:pPr>
        <w:widowControl/>
        <w:numPr>
          <w:ilvl w:val="0"/>
          <w:numId w:val="16"/>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运输过程中要保证产品处于常温</w:t>
      </w:r>
      <w:r>
        <w:rPr>
          <w:rFonts w:hint="eastAsia" w:ascii="宋体" w:hAnsi="宋体" w:eastAsia="宋体" w:cs="Times New Roman"/>
          <w:kern w:val="0"/>
          <w:sz w:val="20"/>
          <w:szCs w:val="20"/>
          <w:lang w:val="fr-FR"/>
        </w:rPr>
        <w:t>条件下。</w:t>
      </w:r>
    </w:p>
    <w:p>
      <w:pPr>
        <w:widowControl/>
        <w:numPr>
          <w:ilvl w:val="0"/>
          <w:numId w:val="16"/>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*用凝胶限量试验测定，内毒素的含量不超过10EU/ml。</w:t>
      </w:r>
    </w:p>
    <w:p>
      <w:pPr>
        <w:widowControl/>
        <w:numPr>
          <w:ilvl w:val="0"/>
          <w:numId w:val="16"/>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肉眼观察应为无色的澄明液体</w:t>
      </w:r>
      <w:r>
        <w:rPr>
          <w:rFonts w:hint="eastAsia" w:ascii="Times New Roman" w:hAnsi="Times New Roman" w:eastAsia="宋体" w:cs="Times New Roman"/>
          <w:kern w:val="0"/>
          <w:sz w:val="20"/>
          <w:szCs w:val="20"/>
          <w:lang w:val="fr-FR" w:eastAsia="zh-CN"/>
        </w:rPr>
        <w:t>。</w:t>
      </w:r>
    </w:p>
    <w:p>
      <w:pPr>
        <w:widowControl/>
        <w:numPr>
          <w:ilvl w:val="0"/>
          <w:numId w:val="16"/>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产品包装完好</w:t>
      </w:r>
      <w:r>
        <w:rPr>
          <w:rFonts w:hint="eastAsia" w:ascii="Times New Roman" w:hAnsi="Times New Roman" w:eastAsia="宋体" w:cs="Times New Roman"/>
          <w:kern w:val="0"/>
          <w:sz w:val="20"/>
          <w:szCs w:val="20"/>
          <w:lang w:val="fr-FR" w:eastAsia="zh-CN"/>
        </w:rPr>
        <w:t>。</w:t>
      </w:r>
    </w:p>
    <w:p>
      <w:pPr>
        <w:widowControl/>
        <w:numPr>
          <w:ilvl w:val="0"/>
          <w:numId w:val="0"/>
        </w:numPr>
        <w:ind w:leftChars="0"/>
        <w:jc w:val="left"/>
        <w:rPr>
          <w:rFonts w:hint="eastAsia" w:ascii="Times New Roman" w:hAnsi="Times New Roman" w:eastAsia="宋体" w:cs="Times New Roman"/>
          <w:kern w:val="0"/>
          <w:sz w:val="20"/>
          <w:szCs w:val="20"/>
          <w:lang w:val="fr-FR"/>
        </w:rPr>
      </w:pPr>
    </w:p>
    <w:p>
      <w:pPr>
        <w:keepNext/>
        <w:numPr>
          <w:ilvl w:val="0"/>
          <w:numId w:val="15"/>
        </w:numPr>
        <w:spacing w:before="240" w:beforeLines="0" w:after="60" w:afterLines="0"/>
        <w:outlineLvl w:val="0"/>
        <w:rPr>
          <w:rFonts w:hint="eastAsia" w:ascii="宋体" w:hAnsi="宋体" w:eastAsia="宋体" w:cs="Times New Roman"/>
          <w:b/>
          <w:caps/>
          <w:color w:val="000000"/>
          <w:kern w:val="28"/>
          <w:sz w:val="30"/>
          <w:szCs w:val="30"/>
          <w:lang w:val="en-US" w:eastAsia="zh-CN" w:bidi="ar-SA"/>
        </w:rPr>
      </w:pPr>
      <w:r>
        <w:rPr>
          <w:rFonts w:hint="eastAsia" w:ascii="宋体" w:hAnsi="宋体" w:eastAsia="宋体" w:cs="Times New Roman"/>
          <w:b/>
          <w:caps/>
          <w:color w:val="000000"/>
          <w:kern w:val="28"/>
          <w:sz w:val="30"/>
          <w:szCs w:val="30"/>
          <w:lang w:val="en-US" w:eastAsia="zh-CN" w:bidi="ar-SA"/>
        </w:rPr>
        <w:t>供货要求</w:t>
      </w:r>
    </w:p>
    <w:p>
      <w:pPr>
        <w:widowControl/>
        <w:numPr>
          <w:ilvl w:val="0"/>
          <w:numId w:val="17"/>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采购方应提前</w:t>
      </w:r>
      <w:r>
        <w:rPr>
          <w:rFonts w:hint="eastAsia" w:ascii="Times New Roman" w:hAnsi="Times New Roman" w:eastAsia="宋体" w:cs="Times New Roman"/>
          <w:kern w:val="0"/>
          <w:sz w:val="20"/>
          <w:szCs w:val="20"/>
          <w:lang w:val="en-US" w:eastAsia="zh-CN"/>
        </w:rPr>
        <w:t>15</w:t>
      </w:r>
      <w:r>
        <w:rPr>
          <w:rFonts w:hint="eastAsia" w:ascii="Times New Roman" w:hAnsi="Times New Roman" w:eastAsia="宋体" w:cs="Times New Roman"/>
          <w:kern w:val="0"/>
          <w:sz w:val="20"/>
          <w:szCs w:val="20"/>
          <w:lang w:val="fr-FR"/>
        </w:rPr>
        <w:t>天将采购计划下达给供应商，发货日期由采购方书面通知为准。</w:t>
      </w:r>
    </w:p>
    <w:p>
      <w:pPr>
        <w:widowControl/>
        <w:numPr>
          <w:ilvl w:val="0"/>
          <w:numId w:val="17"/>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供应商在接到采购计划后按计划安排生产、运输，运输过程中按要求做好保温、防雨、防晒控制。有特殊原因应至少提前</w:t>
      </w:r>
      <w:r>
        <w:rPr>
          <w:rFonts w:ascii="Times New Roman" w:hAnsi="Times New Roman" w:eastAsia="宋体" w:cs="Times New Roman"/>
          <w:kern w:val="0"/>
          <w:sz w:val="20"/>
          <w:szCs w:val="20"/>
          <w:lang w:val="fr-FR"/>
        </w:rPr>
        <w:t>72</w:t>
      </w:r>
      <w:r>
        <w:rPr>
          <w:rFonts w:hint="eastAsia" w:ascii="Times New Roman" w:hAnsi="Times New Roman" w:eastAsia="宋体" w:cs="Times New Roman"/>
          <w:kern w:val="0"/>
          <w:sz w:val="20"/>
          <w:szCs w:val="20"/>
          <w:lang w:val="fr-FR"/>
        </w:rPr>
        <w:t>小时通知采购方，由供应商负责协商解决方案。</w:t>
      </w:r>
    </w:p>
    <w:p>
      <w:pPr>
        <w:widowControl/>
        <w:numPr>
          <w:ilvl w:val="0"/>
          <w:numId w:val="17"/>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*供应商应按计划将稀释液运输至采购方指定地点，负责从车辆上将货物卸至采购方指定位置。</w:t>
      </w:r>
    </w:p>
    <w:p>
      <w:pPr>
        <w:widowControl/>
        <w:numPr>
          <w:ilvl w:val="0"/>
          <w:numId w:val="17"/>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收货现场检查产品包装完好，如有破损，采购方有权拒收。</w:t>
      </w:r>
    </w:p>
    <w:p>
      <w:pPr>
        <w:widowControl/>
        <w:numPr>
          <w:ilvl w:val="0"/>
          <w:numId w:val="17"/>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上述凭现场的初步验收，不能解除在使用过程中供应商对货物的内部缺陷应负的责任</w:t>
      </w:r>
      <w:r>
        <w:rPr>
          <w:rFonts w:hint="eastAsia" w:ascii="Times New Roman" w:hAnsi="Times New Roman" w:eastAsia="宋体" w:cs="Times New Roman"/>
          <w:kern w:val="0"/>
          <w:sz w:val="20"/>
          <w:szCs w:val="20"/>
          <w:lang w:val="fr-FR" w:eastAsia="zh-CN"/>
        </w:rPr>
        <w:t>。</w:t>
      </w:r>
    </w:p>
    <w:p>
      <w:pPr>
        <w:widowControl/>
        <w:numPr>
          <w:ilvl w:val="0"/>
          <w:numId w:val="17"/>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供应商应随货带有产品的送货批次、数量</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检验报告。</w:t>
      </w:r>
    </w:p>
    <w:p>
      <w:pPr>
        <w:widowControl/>
        <w:numPr>
          <w:ilvl w:val="0"/>
          <w:numId w:val="17"/>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每批稀释液，都应随附检验报告。</w:t>
      </w:r>
    </w:p>
    <w:p>
      <w:pPr>
        <w:widowControl/>
        <w:numPr>
          <w:ilvl w:val="0"/>
          <w:numId w:val="0"/>
        </w:numPr>
        <w:ind w:leftChars="0"/>
        <w:jc w:val="left"/>
        <w:rPr>
          <w:rFonts w:hint="eastAsia" w:ascii="Times New Roman" w:hAnsi="Times New Roman" w:eastAsia="宋体" w:cs="Times New Roman"/>
          <w:kern w:val="0"/>
          <w:sz w:val="20"/>
          <w:szCs w:val="20"/>
          <w:lang w:val="fr-FR"/>
        </w:rPr>
      </w:pPr>
    </w:p>
    <w:p>
      <w:pPr>
        <w:widowControl/>
        <w:ind w:left="420" w:leftChars="200"/>
        <w:jc w:val="left"/>
        <w:rPr>
          <w:rFonts w:hint="eastAsia" w:ascii="宋体" w:hAnsi="宋体" w:eastAsia="宋体" w:cs="宋体"/>
          <w:kern w:val="0"/>
          <w:sz w:val="20"/>
          <w:szCs w:val="20"/>
          <w:lang w:val="en-US"/>
        </w:rPr>
      </w:pPr>
    </w:p>
    <w:p>
      <w:pPr>
        <w:keepNext/>
        <w:numPr>
          <w:ilvl w:val="0"/>
          <w:numId w:val="15"/>
        </w:numPr>
        <w:spacing w:before="240" w:beforeLines="0" w:after="60" w:afterLines="0"/>
        <w:outlineLvl w:val="0"/>
        <w:rPr>
          <w:rFonts w:hint="eastAsia" w:ascii="宋体" w:hAnsi="宋体" w:eastAsia="宋体" w:cs="Times New Roman"/>
          <w:b/>
          <w:caps/>
          <w:color w:val="000000"/>
          <w:kern w:val="28"/>
          <w:sz w:val="30"/>
          <w:szCs w:val="30"/>
          <w:lang w:val="en-US" w:eastAsia="zh-CN" w:bidi="ar-SA"/>
        </w:rPr>
      </w:pPr>
      <w:r>
        <w:rPr>
          <w:rFonts w:hint="eastAsia" w:ascii="宋体" w:hAnsi="宋体" w:eastAsia="宋体" w:cs="Times New Roman"/>
          <w:b/>
          <w:caps/>
          <w:color w:val="000000"/>
          <w:kern w:val="28"/>
          <w:sz w:val="30"/>
          <w:szCs w:val="30"/>
          <w:lang w:val="en-US" w:eastAsia="zh-CN" w:bidi="ar-SA"/>
        </w:rPr>
        <w:t>抽样检测</w:t>
      </w:r>
    </w:p>
    <w:p>
      <w:pPr>
        <w:widowControl/>
        <w:numPr>
          <w:ilvl w:val="0"/>
          <w:numId w:val="18"/>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采购方每批固定抽取20瓶稀释液，用于本批次相关检测。</w:t>
      </w:r>
    </w:p>
    <w:p>
      <w:pPr>
        <w:widowControl/>
        <w:numPr>
          <w:ilvl w:val="0"/>
          <w:numId w:val="18"/>
        </w:numPr>
        <w:ind w:left="420" w:hanging="420"/>
        <w:jc w:val="left"/>
        <w:rPr>
          <w:rFonts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供应商随时准备接受采购方的现场审计，供应商有责任向采购方提供供货批次的检验记录。</w:t>
      </w:r>
    </w:p>
    <w:p>
      <w:pPr>
        <w:widowControl/>
        <w:numPr>
          <w:ilvl w:val="0"/>
          <w:numId w:val="18"/>
        </w:numPr>
        <w:ind w:left="420" w:leftChars="0" w:hanging="420"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fr-FR"/>
        </w:rPr>
        <w:t>采购方应在接收稀释液后两周内完成检验，如有不合格情况，应及时通报给供应商。</w:t>
      </w:r>
    </w:p>
    <w:p>
      <w:pPr>
        <w:bidi w:val="0"/>
        <w:rPr>
          <w:rFonts w:hint="eastAsia" w:ascii="Times New Roman" w:hAnsi="Times New Roman" w:eastAsia="宋体" w:cs="Times New Roman"/>
          <w:kern w:val="2"/>
          <w:sz w:val="21"/>
          <w:szCs w:val="24"/>
          <w:lang w:val="en-US" w:eastAsia="zh-CN" w:bidi="ar-SA"/>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04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BB9310C"/>
    <w:multiLevelType w:val="multilevel"/>
    <w:tmpl w:val="1BB931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3">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4360197"/>
    <w:multiLevelType w:val="multilevel"/>
    <w:tmpl w:val="743601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712509D"/>
    <w:multiLevelType w:val="multilevel"/>
    <w:tmpl w:val="771250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7">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9"/>
  </w:num>
  <w:num w:numId="2">
    <w:abstractNumId w:val="1"/>
  </w:num>
  <w:num w:numId="3">
    <w:abstractNumId w:val="3"/>
  </w:num>
  <w:num w:numId="4">
    <w:abstractNumId w:val="17"/>
  </w:num>
  <w:num w:numId="5">
    <w:abstractNumId w:val="2"/>
  </w:num>
  <w:num w:numId="6">
    <w:abstractNumId w:val="16"/>
  </w:num>
  <w:num w:numId="7">
    <w:abstractNumId w:val="11"/>
  </w:num>
  <w:num w:numId="8">
    <w:abstractNumId w:val="5"/>
  </w:num>
  <w:num w:numId="9">
    <w:abstractNumId w:val="0"/>
  </w:num>
  <w:num w:numId="10">
    <w:abstractNumId w:val="12"/>
  </w:num>
  <w:num w:numId="11">
    <w:abstractNumId w:val="10"/>
  </w:num>
  <w:num w:numId="12">
    <w:abstractNumId w:val="13"/>
  </w:num>
  <w:num w:numId="13">
    <w:abstractNumId w:val="6"/>
  </w:num>
  <w:num w:numId="14">
    <w:abstractNumId w:val="7"/>
  </w:num>
  <w:num w:numId="15">
    <w:abstractNumId w:val="4"/>
  </w:num>
  <w:num w:numId="16">
    <w:abstractNumId w:val="8"/>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2A63"/>
    <w:rsid w:val="034072F4"/>
    <w:rsid w:val="03D33F78"/>
    <w:rsid w:val="05BD6C4F"/>
    <w:rsid w:val="05BF60C0"/>
    <w:rsid w:val="068A051E"/>
    <w:rsid w:val="07714A42"/>
    <w:rsid w:val="07A27794"/>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8E591C"/>
    <w:rsid w:val="21B8302F"/>
    <w:rsid w:val="21ED0E21"/>
    <w:rsid w:val="2208613B"/>
    <w:rsid w:val="225D0766"/>
    <w:rsid w:val="22C96A86"/>
    <w:rsid w:val="238649B8"/>
    <w:rsid w:val="23AD4E1E"/>
    <w:rsid w:val="24AD2B4B"/>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503E51"/>
    <w:rsid w:val="30923BB0"/>
    <w:rsid w:val="31A71994"/>
    <w:rsid w:val="31C03214"/>
    <w:rsid w:val="3371124C"/>
    <w:rsid w:val="33716BC9"/>
    <w:rsid w:val="33BB31BC"/>
    <w:rsid w:val="33DA7906"/>
    <w:rsid w:val="3436155A"/>
    <w:rsid w:val="347A6C66"/>
    <w:rsid w:val="34E83EA9"/>
    <w:rsid w:val="3558117B"/>
    <w:rsid w:val="35865A65"/>
    <w:rsid w:val="359C48DD"/>
    <w:rsid w:val="35F37D16"/>
    <w:rsid w:val="3674202A"/>
    <w:rsid w:val="368E0516"/>
    <w:rsid w:val="371116F1"/>
    <w:rsid w:val="379C09D5"/>
    <w:rsid w:val="38023102"/>
    <w:rsid w:val="384D3D8D"/>
    <w:rsid w:val="389F657A"/>
    <w:rsid w:val="38A02D03"/>
    <w:rsid w:val="38A92A23"/>
    <w:rsid w:val="39E25AC3"/>
    <w:rsid w:val="3A601B79"/>
    <w:rsid w:val="3A9A2C2A"/>
    <w:rsid w:val="3BCD47A7"/>
    <w:rsid w:val="3C440E8D"/>
    <w:rsid w:val="3CC80902"/>
    <w:rsid w:val="3D342B6E"/>
    <w:rsid w:val="3E7034D9"/>
    <w:rsid w:val="3F4534B5"/>
    <w:rsid w:val="402D4B16"/>
    <w:rsid w:val="405F495E"/>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B97030"/>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6720D23"/>
    <w:rsid w:val="68DA1A60"/>
    <w:rsid w:val="6A1D6B70"/>
    <w:rsid w:val="6A903AE2"/>
    <w:rsid w:val="6AF56893"/>
    <w:rsid w:val="6B085BBE"/>
    <w:rsid w:val="6B0C4773"/>
    <w:rsid w:val="6B277F37"/>
    <w:rsid w:val="6B716B29"/>
    <w:rsid w:val="6C741EF9"/>
    <w:rsid w:val="6D094D94"/>
    <w:rsid w:val="6DC65A80"/>
    <w:rsid w:val="6DD07BEA"/>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99F11C0"/>
    <w:rsid w:val="7AAB15D2"/>
    <w:rsid w:val="7B6706DA"/>
    <w:rsid w:val="7C0F7C94"/>
    <w:rsid w:val="7C437203"/>
    <w:rsid w:val="7C6A2093"/>
    <w:rsid w:val="7CA009C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2">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2"/>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2"/>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2"/>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2"/>
    <w:next w:val="1"/>
    <w:qFormat/>
    <w:uiPriority w:val="0"/>
    <w:pPr>
      <w:spacing w:before="360" w:beforeLines="0" w:after="120" w:afterLines="0" w:line="440" w:lineRule="exact"/>
    </w:pPr>
    <w:rPr>
      <w:rFonts w:ascii="仿宋_GB2312"/>
      <w:sz w:val="24"/>
    </w:rPr>
  </w:style>
  <w:style w:type="paragraph" w:customStyle="1" w:styleId="189">
    <w:name w:val="Lilly Heading 3"/>
    <w:basedOn w:val="2"/>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3864</Words>
  <Characters>4117</Characters>
  <Lines>243</Lines>
  <Paragraphs>68</Paragraphs>
  <TotalTime>1</TotalTime>
  <ScaleCrop>false</ScaleCrop>
  <LinksUpToDate>false</LinksUpToDate>
  <CharactersWithSpaces>4331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2025-10-27T01:42:20Z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