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0"/>
        <w:spacing w:line="360" w:lineRule="auto"/>
        <w:ind w:left="1440" w:right="-22" w:firstLine="422"/>
        <w:rPr>
          <w:rFonts w:ascii="宋体" w:hAnsi="宋体"/>
          <w:b/>
          <w:szCs w:val="21"/>
          <w:highlight w:val="none"/>
        </w:rPr>
      </w:pPr>
    </w:p>
    <w:p>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WKZB-2024-026</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禽用复核佐剂</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四</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禽用复核佐剂</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WKZB-2024-026</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24469"/>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禽用复核佐剂</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6931"/>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禽用复核佐剂。</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禽用复核佐剂</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15843"/>
      <w:bookmarkStart w:id="17" w:name="_Toc23826"/>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禽用复核佐剂</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3</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从 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zh-CN" w:bidi="zh-CN"/>
        </w:rPr>
        <w:t>（</w:t>
      </w:r>
      <w:r>
        <w:rPr>
          <w:rFonts w:hint="eastAsia" w:ascii="宋体" w:hAnsi="宋体" w:cs="宋体"/>
          <w:szCs w:val="21"/>
          <w:highlight w:val="yellow"/>
          <w:lang w:bidi="zh-CN"/>
        </w:rPr>
        <w:t>每天上午8：30-12：00；下午13：30-1</w:t>
      </w:r>
      <w:r>
        <w:rPr>
          <w:rFonts w:hint="eastAsia" w:ascii="宋体" w:hAnsi="宋体" w:cs="宋体"/>
          <w:szCs w:val="21"/>
          <w:highlight w:val="yellow"/>
          <w:lang w:val="en-US" w:bidi="zh-CN"/>
        </w:rPr>
        <w:t>7</w:t>
      </w:r>
      <w:r>
        <w:rPr>
          <w:rFonts w:hint="eastAsia" w:ascii="宋体" w:hAnsi="宋体" w:cs="宋体"/>
          <w:szCs w:val="21"/>
          <w:highlight w:val="yellow"/>
          <w:lang w:bidi="zh-CN"/>
        </w:rPr>
        <w:t>：</w:t>
      </w:r>
      <w:r>
        <w:rPr>
          <w:rFonts w:hint="eastAsia" w:ascii="宋体" w:hAnsi="宋体" w:cs="宋体"/>
          <w:szCs w:val="21"/>
          <w:highlight w:val="yellow"/>
          <w:lang w:val="en-US" w:bidi="zh-CN"/>
        </w:rPr>
        <w:t>0</w:t>
      </w:r>
      <w:r>
        <w:rPr>
          <w:rFonts w:hint="eastAsia" w:ascii="宋体" w:hAnsi="宋体" w:cs="宋体"/>
          <w:szCs w:val="21"/>
          <w:highlight w:val="yellow"/>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en-US" w:bidi="zh-CN"/>
        </w:rPr>
        <w:t>17</w:t>
      </w:r>
      <w:r>
        <w:rPr>
          <w:rFonts w:hint="eastAsia" w:ascii="宋体" w:hAnsi="宋体" w:cs="宋体"/>
          <w:szCs w:val="21"/>
          <w:highlight w:val="yellow"/>
          <w:lang w:val="zh-CN" w:bidi="zh-CN"/>
        </w:rPr>
        <w:t>时</w:t>
      </w:r>
      <w:r>
        <w:rPr>
          <w:rFonts w:hint="eastAsia" w:ascii="宋体" w:hAnsi="宋体" w:cs="宋体"/>
          <w:szCs w:val="21"/>
          <w:highlight w:val="yellow"/>
          <w:lang w:val="en-US" w:bidi="zh-CN"/>
        </w:rPr>
        <w:t>00</w:t>
      </w:r>
      <w:r>
        <w:rPr>
          <w:rFonts w:hint="eastAsia" w:ascii="宋体" w:hAnsi="宋体" w:cs="宋体"/>
          <w:szCs w:val="21"/>
          <w:highlight w:val="yellow"/>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禽用复核佐剂</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1816"/>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2303"/>
      <w:bookmarkStart w:id="36" w:name="_Toc152045527"/>
      <w:bookmarkStart w:id="37" w:name="_Toc233102490"/>
      <w:bookmarkStart w:id="38" w:name="_Toc109736026"/>
      <w:bookmarkStart w:id="39" w:name="_Toc144974495"/>
      <w:bookmarkStart w:id="40" w:name="_Toc390940505"/>
      <w:bookmarkStart w:id="41" w:name="_Toc25653"/>
      <w:bookmarkStart w:id="42" w:name="_Toc179632544"/>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52042304"/>
      <w:bookmarkStart w:id="44" w:name="_Toc109736027"/>
      <w:bookmarkStart w:id="45" w:name="_Toc179632545"/>
      <w:bookmarkStart w:id="46" w:name="_Toc20399"/>
      <w:bookmarkStart w:id="47" w:name="_Toc390940506"/>
      <w:bookmarkStart w:id="48" w:name="_Toc18804"/>
      <w:bookmarkStart w:id="49" w:name="_Toc144974496"/>
      <w:bookmarkStart w:id="50" w:name="_Toc152045528"/>
      <w:bookmarkStart w:id="51" w:name="_Toc233102491"/>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3</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202</w:t>
            </w:r>
            <w:r>
              <w:rPr>
                <w:rFonts w:hint="eastAsia" w:ascii="宋体" w:hAnsi="宋体"/>
                <w:b/>
                <w:bCs/>
                <w:szCs w:val="21"/>
                <w:highlight w:val="yellow"/>
                <w:u w:val="single"/>
                <w:lang w:val="en-US" w:eastAsia="zh-CN"/>
              </w:rPr>
              <w:t>4</w:t>
            </w:r>
            <w:r>
              <w:rPr>
                <w:rFonts w:hint="eastAsia" w:ascii="宋体" w:hAnsi="宋体"/>
                <w:b/>
                <w:bCs/>
                <w:szCs w:val="21"/>
                <w:highlight w:val="yellow"/>
                <w:u w:val="single"/>
              </w:rPr>
              <w:t>年</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月</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日</w:t>
            </w:r>
            <w:r>
              <w:rPr>
                <w:rFonts w:hint="eastAsia" w:ascii="宋体" w:hAnsi="宋体"/>
                <w:b/>
                <w:bCs/>
                <w:szCs w:val="21"/>
                <w:highlight w:val="yellow"/>
                <w:u w:val="single"/>
                <w:lang w:val="en-US" w:eastAsia="zh-CN"/>
              </w:rPr>
              <w:t xml:space="preserve"> 下</w:t>
            </w:r>
            <w:r>
              <w:rPr>
                <w:rFonts w:hint="eastAsia" w:ascii="宋体" w:hAnsi="宋体"/>
                <w:b/>
                <w:bCs/>
                <w:szCs w:val="21"/>
                <w:highlight w:val="yellow"/>
                <w:u w:val="single"/>
              </w:rPr>
              <w:t>午1</w:t>
            </w:r>
            <w:r>
              <w:rPr>
                <w:rFonts w:hint="eastAsia" w:ascii="宋体" w:hAnsi="宋体"/>
                <w:b/>
                <w:bCs/>
                <w:szCs w:val="21"/>
                <w:highlight w:val="yellow"/>
                <w:u w:val="single"/>
                <w:lang w:val="en-US" w:eastAsia="zh-CN"/>
              </w:rPr>
              <w:t>7</w:t>
            </w:r>
            <w:r>
              <w:rPr>
                <w:rFonts w:hint="eastAsia" w:ascii="宋体" w:hAnsi="宋体"/>
                <w:b/>
                <w:bCs/>
                <w:szCs w:val="21"/>
                <w:highlight w:val="yellow"/>
                <w:u w:val="single"/>
              </w:rPr>
              <w:t>:</w:t>
            </w:r>
            <w:r>
              <w:rPr>
                <w:rFonts w:hint="eastAsia" w:ascii="宋体" w:hAnsi="宋体"/>
                <w:b/>
                <w:bCs/>
                <w:szCs w:val="21"/>
                <w:highlight w:val="yellow"/>
                <w:u w:val="single"/>
                <w:lang w:val="en-US" w:eastAsia="zh-CN"/>
              </w:rPr>
              <w:t>0</w:t>
            </w:r>
            <w:r>
              <w:rPr>
                <w:rFonts w:hint="eastAsia" w:ascii="宋体" w:hAnsi="宋体"/>
                <w:b/>
                <w:bCs/>
                <w:szCs w:val="21"/>
                <w:highlight w:val="yellow"/>
                <w:u w:val="single"/>
              </w:rPr>
              <w:t>0</w:t>
            </w:r>
            <w:r>
              <w:rPr>
                <w:rFonts w:hint="eastAsia" w:ascii="宋体" w:hAnsi="宋体"/>
                <w:szCs w:val="21"/>
                <w:highlight w:val="yellow"/>
              </w:rPr>
              <w:t>（北京时间）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u w:val="single"/>
                <w:lang w:val="en-US" w:eastAsia="zh-CN"/>
              </w:rPr>
              <w:t>1-2</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single"/>
                <w:lang w:val="en-US" w:bidi="zh-CN"/>
              </w:rPr>
              <w:t>1</w:t>
            </w:r>
            <w:r>
              <w:rPr>
                <w:rFonts w:hint="eastAsia" w:ascii="宋体" w:hAnsi="宋体" w:cs="宋体"/>
                <w:szCs w:val="21"/>
                <w:highlight w:val="none"/>
                <w:lang w:val="en-US" w:bidi="zh-CN"/>
              </w:rPr>
              <w:t>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520356143"/>
      <w:bookmarkStart w:id="54" w:name="_Toc216582805"/>
      <w:bookmarkStart w:id="55" w:name="_Toc152045529"/>
      <w:bookmarkStart w:id="56" w:name="_Toc152042305"/>
      <w:bookmarkStart w:id="57" w:name="_Toc233102492"/>
      <w:bookmarkStart w:id="58" w:name="_Toc144974497"/>
      <w:bookmarkStart w:id="59" w:name="_Toc179632546"/>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109736029"/>
      <w:bookmarkStart w:id="63" w:name="_Toc520356144"/>
      <w:bookmarkStart w:id="64" w:name="_Toc1794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29658"/>
      <w:bookmarkStart w:id="66" w:name="_Toc541"/>
      <w:bookmarkStart w:id="67" w:name="_Toc109736030"/>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205"/>
      <w:bookmarkStart w:id="70" w:name="_Toc520356145"/>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27623"/>
      <w:bookmarkStart w:id="74" w:name="_Toc47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216582806"/>
      <w:bookmarkStart w:id="76" w:name="_Toc109736033"/>
      <w:bookmarkStart w:id="77" w:name="_Toc1810"/>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520356149"/>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109736038"/>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Toc516367022"/>
      <w:bookmarkStart w:id="96" w:name="_Ref467306195"/>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520356153"/>
      <w:bookmarkStart w:id="104" w:name="_Toc109736040"/>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Toc520356156"/>
      <w:bookmarkStart w:id="110" w:name="_Ref467306513"/>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3629"/>
      <w:bookmarkStart w:id="118" w:name="_Toc520356159"/>
      <w:bookmarkStart w:id="119" w:name="_Toc109736045"/>
      <w:bookmarkStart w:id="120" w:name="_Toc216582808"/>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109736049"/>
      <w:bookmarkStart w:id="128" w:name="_Toc520356163"/>
      <w:bookmarkStart w:id="129" w:name="_Toc23762"/>
      <w:bookmarkStart w:id="130" w:name="_Toc21658280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109736055"/>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Toc520356170"/>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6377"/>
      <w:bookmarkStart w:id="156" w:name="_Ref467307204"/>
      <w:bookmarkStart w:id="157" w:name="_Toc109736060"/>
      <w:bookmarkStart w:id="158" w:name="_Ref467306978"/>
      <w:bookmarkStart w:id="159" w:name="_Toc520356175"/>
      <w:bookmarkStart w:id="160" w:name="_Ref467307062"/>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8499"/>
      <w:bookmarkStart w:id="172" w:name="_Toc415222497"/>
      <w:bookmarkStart w:id="173" w:name="_Ref467379225"/>
      <w:bookmarkStart w:id="174" w:name="_Ref467379195"/>
      <w:bookmarkStart w:id="175" w:name="_Toc487900349"/>
      <w:bookmarkStart w:id="176" w:name="_Ref467378404"/>
      <w:bookmarkStart w:id="177" w:name="_Ref467379101"/>
      <w:bookmarkStart w:id="178" w:name="_Ref467379109"/>
      <w:bookmarkStart w:id="179" w:name="_Ref467379205"/>
      <w:bookmarkStart w:id="180" w:name="_Ref467378463"/>
      <w:bookmarkStart w:id="181" w:name="_Ref467379214"/>
      <w:bookmarkStart w:id="182" w:name="_Ref467379094"/>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10889"/>
      <w:bookmarkStart w:id="189" w:name="_Toc31740"/>
      <w:bookmarkStart w:id="190" w:name="_Toc487900350"/>
      <w:bookmarkStart w:id="191" w:name="_Toc415222498"/>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15222499"/>
      <w:bookmarkStart w:id="193" w:name="_Toc487900351"/>
      <w:bookmarkStart w:id="194" w:name="_Toc10492"/>
      <w:bookmarkStart w:id="195" w:name="_Toc2425"/>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18031"/>
      <w:bookmarkStart w:id="197" w:name="_Toc487900352"/>
      <w:bookmarkStart w:id="198" w:name="_Toc415222500"/>
      <w:bookmarkStart w:id="199" w:name="_Toc4693"/>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323"/>
      <w:bookmarkStart w:id="201" w:name="_Toc487900353"/>
      <w:bookmarkStart w:id="202" w:name="_Toc415222501"/>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42"/>
      <w:bookmarkStart w:id="205" w:name="_Ref467379536"/>
      <w:bookmarkStart w:id="206" w:name="_Toc487900354"/>
      <w:bookmarkStart w:id="207" w:name="_Toc11864"/>
      <w:bookmarkStart w:id="208" w:name="_Ref467378591"/>
      <w:bookmarkStart w:id="209" w:name="_Ref467379527"/>
      <w:bookmarkStart w:id="210" w:name="_Toc415222502"/>
      <w:bookmarkStart w:id="211" w:name="_Ref467378541"/>
      <w:bookmarkStart w:id="212" w:name="_Toc18715"/>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415222503"/>
      <w:bookmarkStart w:id="216" w:name="_Toc487900355"/>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87900357"/>
      <w:bookmarkStart w:id="219" w:name="_Ref467379807"/>
      <w:bookmarkStart w:id="220" w:name="_Toc15361"/>
      <w:bookmarkStart w:id="221" w:name="_Ref467379793"/>
      <w:bookmarkStart w:id="222" w:name="_Toc415222504"/>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6588"/>
      <w:bookmarkStart w:id="225" w:name="_Ref467379852"/>
      <w:bookmarkStart w:id="226" w:name="_Ref467379923"/>
      <w:bookmarkStart w:id="227" w:name="_Toc415222505"/>
      <w:bookmarkStart w:id="228" w:name="_Toc1380"/>
      <w:bookmarkStart w:id="229" w:name="_Ref467379863"/>
      <w:bookmarkStart w:id="230" w:name="_Toc48790035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15222506"/>
      <w:bookmarkStart w:id="232" w:name="_Ref467379946"/>
      <w:bookmarkStart w:id="233" w:name="_Ref467379937"/>
      <w:bookmarkStart w:id="234" w:name="_Ref467377962"/>
      <w:bookmarkStart w:id="235" w:name="_Toc15447"/>
      <w:bookmarkStart w:id="236" w:name="_Toc28649"/>
      <w:bookmarkStart w:id="237" w:name="_Toc487900359"/>
      <w:bookmarkStart w:id="238" w:name="_Ref467377798"/>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415222507"/>
      <w:bookmarkStart w:id="242" w:name="_Toc7155"/>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487900361"/>
      <w:bookmarkStart w:id="246" w:name="_Toc415222508"/>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87900362"/>
      <w:bookmarkStart w:id="250" w:name="_Toc15086"/>
      <w:bookmarkStart w:id="251" w:name="_Toc31482"/>
      <w:bookmarkStart w:id="252" w:name="_Toc415222509"/>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487900363"/>
      <w:bookmarkStart w:id="255" w:name="_Toc3725"/>
      <w:bookmarkStart w:id="256" w:name="_Toc415222510"/>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87900364"/>
      <w:bookmarkStart w:id="258" w:name="_Toc22040"/>
      <w:bookmarkStart w:id="259" w:name="_Ref467378121"/>
      <w:bookmarkStart w:id="260" w:name="_Toc415222511"/>
      <w:bookmarkStart w:id="261" w:name="_Toc6322"/>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29320"/>
      <w:bookmarkStart w:id="264" w:name="_Toc1755"/>
      <w:bookmarkStart w:id="265" w:name="_Toc48790036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16231"/>
      <w:bookmarkStart w:id="272" w:name="_Toc9543"/>
      <w:bookmarkStart w:id="273" w:name="_Toc415222514"/>
      <w:bookmarkStart w:id="274" w:name="_Toc487900367"/>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22065"/>
      <w:bookmarkStart w:id="278" w:name="_Toc415222515"/>
      <w:bookmarkStart w:id="279" w:name="_Toc23904"/>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15222516"/>
      <w:bookmarkStart w:id="281" w:name="_Toc10385"/>
      <w:bookmarkStart w:id="282" w:name="_Toc29725"/>
      <w:bookmarkStart w:id="283" w:name="_Toc487900369"/>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15222517"/>
      <w:bookmarkStart w:id="285" w:name="_Toc13194"/>
      <w:bookmarkStart w:id="286" w:name="_Toc2142"/>
      <w:bookmarkStart w:id="287" w:name="_Toc487900370"/>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737"/>
      <w:bookmarkStart w:id="289" w:name="_Toc415222518"/>
      <w:bookmarkStart w:id="290" w:name="_Toc487900371"/>
      <w:bookmarkStart w:id="291" w:name="_Toc14345"/>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415222519"/>
      <w:bookmarkStart w:id="294" w:name="_Toc30523"/>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8567"/>
      <w:bookmarkStart w:id="297" w:name="_Toc487900373"/>
      <w:bookmarkStart w:id="298" w:name="_Toc23747"/>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5896"/>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8935339"/>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0"/>
        <w:spacing w:line="360" w:lineRule="auto"/>
        <w:ind w:left="540" w:leftChars="257"/>
        <w:rPr>
          <w:rFonts w:hint="eastAsia" w:ascii="宋体" w:hAnsi="宋体" w:cs="宋体"/>
          <w:szCs w:val="21"/>
          <w:highlight w:val="none"/>
        </w:rPr>
      </w:pPr>
    </w:p>
    <w:p>
      <w:pPr>
        <w:pStyle w:val="10"/>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8935352"/>
      <w:bookmarkStart w:id="314" w:name="_Toc15903"/>
      <w:bookmarkStart w:id="315" w:name="_Toc220229326"/>
      <w:bookmarkStart w:id="316" w:name="_Toc27454"/>
      <w:bookmarkStart w:id="317" w:name="_Toc220229431"/>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发票开具3个月支付（含50%承兑</w:t>
      </w:r>
      <w:r>
        <w:rPr>
          <w:rFonts w:hint="eastAsia" w:ascii="宋体" w:hAnsi="宋体" w:cs="宋体"/>
          <w:szCs w:val="21"/>
          <w:highlight w:val="none"/>
          <w:u w:val="single"/>
        </w:rPr>
        <w:t>　</w:t>
      </w:r>
      <w:r>
        <w:rPr>
          <w:rFonts w:hint="eastAsia" w:ascii="宋体" w:hAnsi="宋体" w:cs="宋体"/>
          <w:szCs w:val="21"/>
          <w:highlight w:val="none"/>
          <w:u w:val="single"/>
          <w:lang w:eastAsia="zh-CN"/>
        </w:rPr>
        <w:t>）</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投标人负责货物运输及卸货</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货物验收合格后，六个月账期，含100%银行承兑汇票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5329"/>
      <w:bookmarkStart w:id="339" w:name="_Toc109736069"/>
      <w:bookmarkStart w:id="340" w:name="_Toc415222524"/>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（1）附投标价格表中规定的应提交和交付的货物投标</w:t>
      </w:r>
      <w:r>
        <w:rPr>
          <w:rFonts w:hint="eastAsia" w:hAnsi="宋体"/>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520356218"/>
      <w:bookmarkStart w:id="346" w:name="_Toc415222525"/>
      <w:bookmarkStart w:id="347" w:name="_Toc216582814"/>
      <w:bookmarkStart w:id="348" w:name="_Toc109736070"/>
      <w:bookmarkStart w:id="349" w:name="_Toc29788"/>
      <w:bookmarkStart w:id="350" w:name="_Toc480942350"/>
      <w:bookmarkStart w:id="351" w:name="_Ref46798870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WKZB-2024-026</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5"/>
        <w:gridCol w:w="1869"/>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ascii="仿宋" w:hAnsi="仿宋" w:eastAsia="仿宋" w:cs="仿宋"/>
                <w:sz w:val="24"/>
                <w:highlight w:val="none"/>
              </w:rPr>
            </w:pPr>
          </w:p>
        </w:tc>
        <w:tc>
          <w:tcPr>
            <w:tcW w:w="716"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1198"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/L</w:t>
            </w:r>
            <w:r>
              <w:rPr>
                <w:rFonts w:hint="eastAsia" w:ascii="仿宋" w:hAnsi="仿宋" w:eastAsia="仿宋" w:cs="仿宋"/>
                <w:sz w:val="24"/>
                <w:highlight w:val="none"/>
              </w:rPr>
              <w:t>）</w:t>
            </w:r>
          </w:p>
        </w:tc>
        <w:tc>
          <w:tcPr>
            <w:tcW w:w="967"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490"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禽用复核佐剂</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p>
        </w:tc>
        <w:tc>
          <w:tcPr>
            <w:tcW w:w="1198"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967"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490"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w:t>
            </w:r>
            <w:r>
              <w:rPr>
                <w:rFonts w:hint="eastAsia"/>
                <w:highlight w:val="none"/>
              </w:rPr>
              <w:t>年。</w:t>
            </w:r>
          </w:p>
          <w:p>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415222529"/>
      <w:bookmarkStart w:id="354" w:name="_Toc109736072"/>
    </w:p>
    <w:p>
      <w:pPr>
        <w:rPr>
          <w:rFonts w:hint="eastAsia" w:ascii="宋体" w:hAnsi="宋体" w:eastAsia="宋体"/>
          <w:sz w:val="21"/>
          <w:szCs w:val="21"/>
          <w:highlight w:val="none"/>
        </w:rPr>
      </w:pP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5"/>
        <w:spacing w:line="360" w:lineRule="auto"/>
        <w:ind w:left="1080" w:leftChars="257" w:hanging="540"/>
        <w:rPr>
          <w:rFonts w:hint="eastAsia" w:hAnsi="宋体"/>
          <w:szCs w:val="21"/>
          <w:highlight w:val="none"/>
        </w:rPr>
      </w:pP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供应商负责货物运输，并卸货至采购方指定位置</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付款周期：6个月</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default" w:hAnsi="宋体"/>
                <w:szCs w:val="21"/>
                <w:highlight w:val="none"/>
                <w:lang w:val="en-US" w:eastAsia="zh-CN"/>
              </w:rPr>
              <w:t>付款承兑比例</w:t>
            </w:r>
            <w:r>
              <w:rPr>
                <w:rFonts w:hint="eastAsia" w:hAnsi="宋体"/>
                <w:szCs w:val="21"/>
                <w:highlight w:val="none"/>
                <w:lang w:val="en-US" w:eastAsia="zh-CN"/>
              </w:rPr>
              <w:t>：100%</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eastAsia="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至少应包含对货物运输装卸、合同付款方式的响应情况</w:t>
      </w:r>
      <w:r>
        <w:rPr>
          <w:rFonts w:hint="eastAsia" w:hAnsi="宋体"/>
          <w:color w:val="FF0000"/>
          <w:szCs w:val="21"/>
          <w:highlight w:val="none"/>
          <w:lang w:eastAsia="zh-CN"/>
        </w:rPr>
        <w:t>）</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216582817"/>
      <w:bookmarkStart w:id="359" w:name="_Toc109736073"/>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
        <w:rPr>
          <w:rFonts w:hint="eastAsia" w:hAnsi="宋体"/>
          <w:szCs w:val="21"/>
          <w:highlight w:val="none"/>
          <w:u w:val="singl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13093"/>
      <w:bookmarkStart w:id="364" w:name="_Toc109736074"/>
      <w:bookmarkStart w:id="365" w:name="_Toc415222530"/>
      <w:bookmarkStart w:id="366" w:name="_Toc216582819"/>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273973"/>
      <w:bookmarkEnd w:id="369"/>
      <w:bookmarkStart w:id="370" w:name="_Hlt520274065"/>
      <w:bookmarkEnd w:id="370"/>
      <w:bookmarkStart w:id="371" w:name="_Hlt520274121"/>
      <w:bookmarkEnd w:id="371"/>
      <w:bookmarkStart w:id="372" w:name="_Hlt520350957"/>
      <w:bookmarkEnd w:id="372"/>
      <w:bookmarkStart w:id="373" w:name="_Hlt520343392"/>
      <w:bookmarkEnd w:id="373"/>
      <w:bookmarkStart w:id="374" w:name="_Hlt520271212"/>
      <w:bookmarkEnd w:id="374"/>
      <w:bookmarkStart w:id="375" w:name="_Hlt520350918"/>
      <w:bookmarkEnd w:id="375"/>
      <w:bookmarkStart w:id="376" w:name="_Hlt520273711"/>
      <w:bookmarkEnd w:id="376"/>
      <w:bookmarkStart w:id="377" w:name="_Hlt520274393"/>
      <w:bookmarkEnd w:id="377"/>
      <w:bookmarkStart w:id="378" w:name="_Hlt520274407"/>
      <w:bookmarkEnd w:id="378"/>
      <w:bookmarkStart w:id="379" w:name="_Hlt520343000"/>
      <w:bookmarkEnd w:id="379"/>
      <w:bookmarkStart w:id="380" w:name="_Toc480942358"/>
      <w:bookmarkStart w:id="381" w:name="_Toc520125061"/>
      <w:bookmarkStart w:id="382" w:name="_Toc520356228"/>
      <w:bookmarkStart w:id="383" w:name="_Ref467990058"/>
      <w:bookmarkStart w:id="384" w:name="_Ref467990100"/>
      <w:bookmarkStart w:id="385" w:name="_Ref467988479"/>
      <w:bookmarkStart w:id="386" w:name="_Ref467990101"/>
      <w:bookmarkStart w:id="387" w:name="_Ref467988471"/>
      <w:bookmarkStart w:id="388" w:name="_Toc520125062"/>
      <w:bookmarkStart w:id="389" w:name="_Ref467990064"/>
      <w:bookmarkStart w:id="390" w:name="_Toc480942357"/>
      <w:bookmarkStart w:id="391" w:name="_Toc520356229"/>
      <w:bookmarkStart w:id="392" w:name="_Ref467988485"/>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tabs>
          <w:tab w:val="left" w:pos="1800"/>
          <w:tab w:val="left" w:pos="5580"/>
        </w:tabs>
        <w:spacing w:line="360" w:lineRule="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w:t>
      </w:r>
      <w:r>
        <w:rPr>
          <w:rFonts w:hint="eastAsia" w:hAnsi="宋体"/>
          <w:b/>
          <w:bCs/>
          <w:color w:val="FF0000"/>
          <w:szCs w:val="21"/>
          <w:highlight w:val="none"/>
        </w:rPr>
        <w:t>类似</w:t>
      </w:r>
      <w:r>
        <w:rPr>
          <w:rFonts w:hint="eastAsia" w:hAnsi="宋体"/>
          <w:b/>
          <w:bCs/>
          <w:color w:val="FF0000"/>
          <w:szCs w:val="21"/>
          <w:highlight w:val="none"/>
          <w:lang w:val="en-US" w:eastAsia="zh-CN"/>
        </w:rPr>
        <w:t>行业内</w:t>
      </w:r>
      <w:r>
        <w:rPr>
          <w:rFonts w:hint="eastAsia" w:hAnsi="宋体"/>
          <w:b/>
          <w:bCs/>
          <w:szCs w:val="21"/>
          <w:highlight w:val="none"/>
        </w:rPr>
        <w:t>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109736075"/>
      <w:bookmarkStart w:id="406" w:name="_Toc216582826"/>
      <w:bookmarkStart w:id="407" w:name="_Toc218935355"/>
      <w:bookmarkStart w:id="408" w:name="_Toc219175639"/>
      <w:bookmarkStart w:id="409" w:name="_Toc220229434"/>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2335"/>
        <w:gridCol w:w="4473"/>
        <w:gridCol w:w="12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2"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企业技术能力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获得国家级技术奖项，每有一项得1分；获得省级奖项得0.5分，通过国家高新技术企业认证，得1分；最高不超过5分。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企业质量管理能力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通过ISO、GMP等管理体系认证，每通过一项认证得1分，最高得5分,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款期</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付款周期三个月以上的投标人根据时间长短按排名得分，最长得6分，其次得4分，依此类推，付款周期不到三个月不得分。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付款承兑比例</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投标人接受全部货款用银行承兑汇票支付得5分，接受银行承兑汇票超过货款总额90%以上但未达到100%者得3分，接受银行承兑汇票超过货款总额80%以上但未达到90%者得1分，接受银行承兑汇票超过货款总额70%以上但未达到80%者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2"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2"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szCs w:val="21"/>
          <w:highlight w:val="none"/>
        </w:rPr>
      </w:pPr>
    </w:p>
    <w:p>
      <w:pPr>
        <w:pStyle w:val="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pStyle w:val="3"/>
        <w:jc w:val="both"/>
        <w:rPr>
          <w:rFonts w:hint="eastAsia"/>
          <w:caps w:val="0"/>
        </w:rPr>
      </w:pPr>
      <w:bookmarkStart w:id="415" w:name="_Toc31331"/>
      <w:r>
        <w:rPr>
          <w:rFonts w:hint="eastAsia"/>
          <w:caps w:val="0"/>
        </w:rPr>
        <w:t>目的</w:t>
      </w:r>
      <w:bookmarkEnd w:id="415"/>
    </w:p>
    <w:p>
      <w:pPr>
        <w:pStyle w:val="18"/>
        <w:spacing w:line="360" w:lineRule="auto"/>
        <w:ind w:firstLine="420" w:firstLineChars="200"/>
        <w:rPr>
          <w:szCs w:val="21"/>
        </w:rPr>
      </w:pPr>
      <w:bookmarkStart w:id="416" w:name="_Hlk528847756"/>
      <w:r>
        <w:rPr>
          <w:rFonts w:hint="eastAsia"/>
          <w:szCs w:val="21"/>
        </w:rPr>
        <w:t>本URS</w:t>
      </w:r>
      <w:r>
        <w:rPr>
          <w:rFonts w:hint="eastAsia" w:ascii="宋体" w:hAnsi="宋体"/>
          <w:szCs w:val="21"/>
        </w:rPr>
        <w:t>描述了对</w:t>
      </w:r>
      <w:r>
        <w:rPr>
          <w:rFonts w:hint="eastAsia" w:ascii="宋体" w:hAnsi="宋体"/>
          <w:szCs w:val="21"/>
          <w:lang w:val="en-US" w:eastAsia="zh-CN"/>
        </w:rPr>
        <w:t>禽用复合佐剂的</w:t>
      </w:r>
      <w:r>
        <w:rPr>
          <w:rFonts w:hint="eastAsia" w:ascii="宋体" w:hAnsi="宋体"/>
          <w:szCs w:val="21"/>
        </w:rPr>
        <w:t>基本需求。</w:t>
      </w:r>
      <w:r>
        <w:rPr>
          <w:rFonts w:hint="eastAsia"/>
          <w:szCs w:val="21"/>
        </w:rPr>
        <w:t>供应商应对本URS的所有</w:t>
      </w:r>
      <w:r>
        <w:rPr>
          <w:rFonts w:hint="eastAsia"/>
          <w:szCs w:val="21"/>
          <w:lang w:val="en-US" w:eastAsia="zh-CN"/>
        </w:rPr>
        <w:t>条款</w:t>
      </w:r>
      <w:r>
        <w:rPr>
          <w:rFonts w:hint="eastAsia"/>
          <w:szCs w:val="21"/>
        </w:rPr>
        <w:t>进行充分确认，对相关技术信息与我方进行充分沟通，确保能够遵循和满足本URS的要求。双方最终确认的URS将作为采购合同的重要部分。</w:t>
      </w:r>
    </w:p>
    <w:p>
      <w:pPr>
        <w:tabs>
          <w:tab w:val="left" w:pos="-709"/>
          <w:tab w:val="left" w:pos="720"/>
        </w:tabs>
        <w:spacing w:line="360" w:lineRule="auto"/>
        <w:ind w:firstLine="420" w:firstLineChars="200"/>
        <w:rPr>
          <w:rFonts w:hint="eastAsia"/>
        </w:rPr>
      </w:pPr>
      <w:r>
        <w:rPr>
          <w:rFonts w:hAnsi="宋体"/>
          <w:szCs w:val="21"/>
        </w:rPr>
        <w:t>本</w:t>
      </w:r>
      <w:r>
        <w:rPr>
          <w:szCs w:val="21"/>
        </w:rPr>
        <w:t>URS</w:t>
      </w:r>
      <w:r>
        <w:rPr>
          <w:rFonts w:hAnsi="宋体"/>
          <w:szCs w:val="21"/>
        </w:rPr>
        <w:t>也是开</w:t>
      </w:r>
      <w:r>
        <w:rPr>
          <w:rFonts w:hint="eastAsia" w:ascii="宋体" w:hAnsi="宋体"/>
          <w:szCs w:val="21"/>
        </w:rPr>
        <w:t>展后续</w:t>
      </w:r>
      <w:r>
        <w:rPr>
          <w:rFonts w:hint="eastAsia" w:ascii="宋体" w:hAnsi="宋体"/>
          <w:szCs w:val="21"/>
          <w:lang w:val="en-US" w:eastAsia="zh-CN"/>
        </w:rPr>
        <w:t>生产质量追踪等</w:t>
      </w:r>
      <w:r>
        <w:rPr>
          <w:rFonts w:hint="eastAsia" w:ascii="宋体" w:hAnsi="宋体"/>
          <w:szCs w:val="21"/>
        </w:rPr>
        <w:t>相关</w:t>
      </w:r>
      <w:r>
        <w:rPr>
          <w:rFonts w:hint="eastAsia" w:ascii="宋体" w:hAnsi="宋体"/>
          <w:szCs w:val="21"/>
          <w:lang w:val="en-US" w:eastAsia="zh-CN"/>
        </w:rPr>
        <w:t>工作</w:t>
      </w:r>
      <w:r>
        <w:rPr>
          <w:rFonts w:hint="eastAsia" w:ascii="宋体" w:hAnsi="宋体"/>
          <w:szCs w:val="21"/>
        </w:rPr>
        <w:t>确认或验证工作的基础。</w:t>
      </w:r>
      <w:bookmarkEnd w:id="416"/>
    </w:p>
    <w:p>
      <w:pPr>
        <w:pStyle w:val="3"/>
        <w:rPr>
          <w:rFonts w:hint="eastAsia"/>
        </w:rPr>
      </w:pPr>
      <w:bookmarkStart w:id="417" w:name="_Toc28598"/>
      <w:bookmarkStart w:id="418" w:name="_Toc17139"/>
      <w:r>
        <w:rPr>
          <w:rFonts w:hint="eastAsia"/>
          <w:lang w:val="en-US" w:eastAsia="zh-CN"/>
        </w:rPr>
        <w:t>范围</w:t>
      </w:r>
      <w:bookmarkEnd w:id="417"/>
      <w:bookmarkEnd w:id="418"/>
    </w:p>
    <w:p>
      <w:pPr>
        <w:keepNext/>
        <w:spacing w:before="240" w:after="60"/>
        <w:outlineLvl w:val="0"/>
        <w:rPr>
          <w:rFonts w:hint="eastAsia" w:eastAsia="宋体"/>
          <w:lang w:eastAsia="zh-CN"/>
        </w:rPr>
      </w:pPr>
      <w:r>
        <w:rPr>
          <w:rFonts w:hint="eastAsia"/>
          <w:szCs w:val="21"/>
        </w:rPr>
        <w:t>本URS适用于拟采购</w:t>
      </w:r>
      <w:r>
        <w:rPr>
          <w:rFonts w:hint="eastAsia"/>
          <w:szCs w:val="21"/>
          <w:lang w:val="en-US" w:eastAsia="zh-CN"/>
        </w:rPr>
        <w:t>禽用复合佐剂作为禽用灭活疫苗主要原材料的</w:t>
      </w:r>
      <w:r>
        <w:rPr>
          <w:rFonts w:hint="eastAsia" w:ascii="宋体" w:hAnsi="宋体"/>
          <w:lang w:val="en-US" w:eastAsia="zh-CN"/>
        </w:rPr>
        <w:t>质量标准。</w:t>
      </w:r>
    </w:p>
    <w:p>
      <w:pPr>
        <w:rPr>
          <w:rFonts w:hint="eastAsia"/>
        </w:rPr>
      </w:pPr>
    </w:p>
    <w:p>
      <w:pPr>
        <w:pStyle w:val="3"/>
        <w:rPr>
          <w:rFonts w:hint="eastAsia"/>
        </w:rPr>
      </w:pPr>
      <w:bookmarkStart w:id="419" w:name="_Toc26852"/>
      <w:bookmarkStart w:id="420" w:name="_Toc3438"/>
      <w:r>
        <w:rPr>
          <w:rFonts w:hint="eastAsia"/>
        </w:rPr>
        <w:t>定义和缩略语</w:t>
      </w:r>
      <w:bookmarkEnd w:id="419"/>
      <w:bookmarkEnd w:id="420"/>
    </w:p>
    <w:tbl>
      <w:tblPr>
        <w:tblStyle w:val="52"/>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noWrap w:val="0"/>
            <w:vAlign w:val="center"/>
          </w:tcPr>
          <w:p>
            <w:pPr>
              <w:jc w:val="center"/>
              <w:rPr>
                <w:rFonts w:hint="eastAsia"/>
                <w:b/>
              </w:rPr>
            </w:pPr>
            <w:bookmarkStart w:id="421" w:name="_Toc18809"/>
            <w:r>
              <w:rPr>
                <w:b/>
              </w:rPr>
              <w:t>缩略语</w:t>
            </w:r>
            <w:r>
              <w:rPr>
                <w:rFonts w:hint="eastAsia"/>
                <w:b/>
              </w:rPr>
              <w:t>/术语</w:t>
            </w:r>
          </w:p>
        </w:tc>
        <w:tc>
          <w:tcPr>
            <w:tcW w:w="7205" w:type="dxa"/>
            <w:noWrap w:val="0"/>
            <w:vAlign w:val="center"/>
          </w:tcPr>
          <w:p>
            <w:pPr>
              <w:jc w:val="center"/>
              <w:rPr>
                <w:b/>
              </w:rPr>
            </w:pPr>
            <w:r>
              <w:rPr>
                <w:b/>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rFonts w:hint="default" w:eastAsia="宋体"/>
                <w:lang w:val="en-US" w:eastAsia="zh-CN"/>
              </w:rPr>
            </w:pPr>
            <w:r>
              <w:rPr>
                <w:rFonts w:hint="eastAsia"/>
                <w:bCs/>
                <w:lang w:val="en-US" w:eastAsia="zh-CN"/>
              </w:rPr>
              <w:t>URS</w:t>
            </w:r>
          </w:p>
        </w:tc>
        <w:tc>
          <w:tcPr>
            <w:tcW w:w="7205" w:type="dxa"/>
            <w:noWrap w:val="0"/>
            <w:vAlign w:val="center"/>
          </w:tcPr>
          <w:p>
            <w:pPr>
              <w:jc w:val="center"/>
              <w:rPr>
                <w:rFonts w:hint="default" w:eastAsia="宋体"/>
                <w:lang w:val="en-US" w:eastAsia="zh-CN"/>
              </w:rPr>
            </w:pPr>
            <w:r>
              <w:rPr>
                <w:rFonts w:hint="eastAsia"/>
                <w:lang w:val="en-US" w:eastAsia="zh-CN"/>
              </w:rPr>
              <w:t>User Requirement Specification用户需求说明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lang w:val="fr-FR" w:eastAsia="zh-CN" w:bidi="ar-SA"/>
              </w:rPr>
            </w:pPr>
            <w:r>
              <w:rPr>
                <w:bCs/>
              </w:rPr>
              <w:t>GMP</w:t>
            </w:r>
          </w:p>
        </w:tc>
        <w:tc>
          <w:tcPr>
            <w:tcW w:w="7205" w:type="dxa"/>
            <w:noWrap w:val="0"/>
            <w:vAlign w:val="center"/>
          </w:tcPr>
          <w:p>
            <w:pPr>
              <w:jc w:val="center"/>
              <w:rPr>
                <w:lang w:val="fr-FR" w:eastAsia="zh-CN" w:bidi="ar-SA"/>
              </w:rPr>
            </w:pPr>
            <w:r>
              <w:rPr>
                <w:bCs/>
              </w:rPr>
              <w:t>Good Manufacturing Practice    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bCs/>
              </w:rPr>
            </w:pPr>
            <w:r>
              <w:rPr>
                <w:bCs/>
              </w:rPr>
              <w:t>SOP</w:t>
            </w:r>
          </w:p>
        </w:tc>
        <w:tc>
          <w:tcPr>
            <w:tcW w:w="7205" w:type="dxa"/>
            <w:noWrap w:val="0"/>
            <w:vAlign w:val="center"/>
          </w:tcPr>
          <w:p>
            <w:pPr>
              <w:jc w:val="center"/>
              <w:rPr>
                <w:bCs/>
              </w:rPr>
            </w:pPr>
            <w:r>
              <w:rPr>
                <w:bCs/>
              </w:rPr>
              <w:t>Standard Operating Procedure    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noWrap w:val="0"/>
            <w:vAlign w:val="center"/>
          </w:tcPr>
          <w:p>
            <w:pPr>
              <w:jc w:val="center"/>
              <w:rPr>
                <w:bCs/>
              </w:rPr>
            </w:pPr>
            <w:r>
              <w:rPr>
                <w:rFonts w:hint="eastAsia"/>
                <w:bCs/>
              </w:rPr>
              <w:t>CQA</w:t>
            </w:r>
          </w:p>
        </w:tc>
        <w:tc>
          <w:tcPr>
            <w:tcW w:w="7205" w:type="dxa"/>
            <w:noWrap w:val="0"/>
            <w:vAlign w:val="center"/>
          </w:tcPr>
          <w:p>
            <w:pPr>
              <w:jc w:val="center"/>
              <w:rPr>
                <w:bCs/>
              </w:rPr>
            </w:pPr>
            <w:r>
              <w:rPr>
                <w:bCs/>
              </w:rPr>
              <w:t>Critical Quality Attribute</w:t>
            </w:r>
            <w:r>
              <w:rPr>
                <w:rFonts w:hint="eastAsia"/>
                <w:bCs/>
              </w:rPr>
              <w:t xml:space="preserve">    </w:t>
            </w:r>
            <w:r>
              <w:rPr>
                <w:bCs/>
              </w:rPr>
              <w:t>关键质量属性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rPr>
                <w:bCs/>
              </w:rPr>
            </w:pPr>
            <w:r>
              <w:rPr>
                <w:bCs/>
              </w:rPr>
              <w:t>N/A</w:t>
            </w:r>
          </w:p>
        </w:tc>
        <w:tc>
          <w:tcPr>
            <w:tcW w:w="7205" w:type="dxa"/>
            <w:noWrap w:val="0"/>
            <w:vAlign w:val="center"/>
          </w:tcPr>
          <w:p>
            <w:pPr>
              <w:jc w:val="center"/>
              <w:rPr>
                <w:bCs/>
              </w:rPr>
            </w:pPr>
            <w:r>
              <w:rPr>
                <w:bCs/>
              </w:rPr>
              <w:t>Not Applicable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noWrap w:val="0"/>
            <w:vAlign w:val="center"/>
          </w:tcPr>
          <w:p>
            <w:pPr>
              <w:jc w:val="center"/>
            </w:pPr>
            <w:r>
              <w:t>... ...</w:t>
            </w:r>
          </w:p>
        </w:tc>
        <w:tc>
          <w:tcPr>
            <w:tcW w:w="7205" w:type="dxa"/>
            <w:noWrap w:val="0"/>
            <w:vAlign w:val="center"/>
          </w:tcPr>
          <w:p>
            <w:pPr>
              <w:jc w:val="center"/>
              <w:rPr>
                <w:bCs/>
              </w:rPr>
            </w:pPr>
            <w:r>
              <w:rPr>
                <w:bCs/>
              </w:rPr>
              <w:t>... ...</w:t>
            </w:r>
          </w:p>
        </w:tc>
      </w:tr>
    </w:tbl>
    <w:p>
      <w:pPr>
        <w:pStyle w:val="3"/>
        <w:rPr>
          <w:rFonts w:hint="eastAsia"/>
        </w:rPr>
      </w:pPr>
      <w:bookmarkStart w:id="422" w:name="_Toc13671"/>
      <w:r>
        <w:rPr>
          <w:rFonts w:hint="eastAsia"/>
          <w:lang w:val="en-US" w:eastAsia="zh-CN"/>
        </w:rPr>
        <w:t>参考文件</w:t>
      </w:r>
      <w:bookmarkEnd w:id="422"/>
    </w:p>
    <w:p>
      <w:pPr>
        <w:rPr>
          <w:rFonts w:hint="default"/>
          <w:lang w:val="en-US"/>
        </w:rPr>
      </w:pPr>
      <w:r>
        <w:rPr>
          <w:rFonts w:hint="eastAsia"/>
          <w:lang w:val="en-US" w:eastAsia="zh-CN"/>
        </w:rPr>
        <w:t>本URS报告编制时参考相关质量标准。</w:t>
      </w:r>
    </w:p>
    <w:p>
      <w:pPr>
        <w:pStyle w:val="3"/>
        <w:rPr>
          <w:rFonts w:hint="eastAsia"/>
        </w:rPr>
      </w:pPr>
      <w:bookmarkStart w:id="423" w:name="_Toc2922"/>
      <w:r>
        <w:rPr>
          <w:rFonts w:hint="eastAsia"/>
        </w:rPr>
        <w:t>需</w:t>
      </w:r>
      <w:r>
        <w:rPr>
          <w:rFonts w:hint="eastAsia"/>
          <w:lang w:val="en-US" w:eastAsia="zh-CN"/>
        </w:rPr>
        <w:t>求</w:t>
      </w:r>
      <w:r>
        <w:rPr>
          <w:rFonts w:hint="eastAsia"/>
        </w:rPr>
        <w:t>设备/工艺的简单描述</w:t>
      </w:r>
      <w:bookmarkEnd w:id="421"/>
      <w:bookmarkEnd w:id="423"/>
    </w:p>
    <w:p>
      <w:pPr>
        <w:rPr>
          <w:rFonts w:hint="eastAsia"/>
        </w:rPr>
      </w:pPr>
      <w:r>
        <w:rPr>
          <w:rFonts w:hint="eastAsia"/>
          <w:lang w:val="en-US" w:eastAsia="zh-CN"/>
        </w:rPr>
        <w:t>暂无</w:t>
      </w:r>
      <w:r>
        <w:rPr>
          <w:rFonts w:hint="eastAsia"/>
        </w:rPr>
        <w:t>。</w:t>
      </w:r>
    </w:p>
    <w:p>
      <w:pPr>
        <w:pStyle w:val="3"/>
        <w:rPr>
          <w:rFonts w:hint="eastAsia"/>
        </w:rPr>
      </w:pPr>
      <w:bookmarkStart w:id="424" w:name="_Toc13063"/>
      <w:bookmarkStart w:id="425" w:name="_Toc14542"/>
      <w:r>
        <w:rPr>
          <w:rFonts w:hint="eastAsia"/>
          <w:lang w:val="en-US" w:eastAsia="zh-CN"/>
        </w:rPr>
        <w:t>技术规格</w:t>
      </w:r>
      <w:bookmarkEnd w:id="424"/>
      <w:bookmarkEnd w:id="425"/>
    </w:p>
    <w:p>
      <w:pPr>
        <w:ind w:firstLine="420" w:firstLineChars="200"/>
        <w:rPr>
          <w:rFonts w:hint="eastAsia" w:eastAsia="宋体"/>
          <w:lang w:eastAsia="zh-CN"/>
        </w:rPr>
      </w:pPr>
      <w:r>
        <w:rPr>
          <w:rFonts w:hint="eastAsia"/>
          <w:szCs w:val="21"/>
        </w:rPr>
        <w:t>本URS明确了</w:t>
      </w:r>
      <w:r>
        <w:rPr>
          <w:rFonts w:hint="eastAsia"/>
          <w:szCs w:val="21"/>
          <w:lang w:val="en-US" w:eastAsia="zh-CN"/>
        </w:rPr>
        <w:t>复合佐剂的</w:t>
      </w:r>
      <w:r>
        <w:rPr>
          <w:rFonts w:hint="eastAsia"/>
          <w:szCs w:val="21"/>
        </w:rPr>
        <w:t>重要信息，但</w:t>
      </w:r>
      <w:r>
        <w:rPr>
          <w:rFonts w:hint="eastAsia" w:ascii="宋体" w:hAnsi="宋体"/>
          <w:szCs w:val="21"/>
        </w:rPr>
        <w:t>并未限制供应商提供更加</w:t>
      </w:r>
      <w:r>
        <w:rPr>
          <w:rFonts w:hint="eastAsia" w:ascii="宋体" w:hAnsi="宋体"/>
          <w:szCs w:val="21"/>
          <w:lang w:val="en-US" w:eastAsia="zh-CN"/>
        </w:rPr>
        <w:t>优质的服务</w:t>
      </w:r>
      <w:r>
        <w:rPr>
          <w:rFonts w:hint="eastAsia" w:ascii="宋体" w:hAnsi="宋体"/>
          <w:szCs w:val="21"/>
        </w:rPr>
        <w:t>、</w:t>
      </w:r>
      <w:r>
        <w:rPr>
          <w:rFonts w:hint="eastAsia"/>
          <w:szCs w:val="21"/>
        </w:rPr>
        <w:t>质量标准更高、成本效益更优的</w:t>
      </w:r>
      <w:r>
        <w:rPr>
          <w:rFonts w:hint="eastAsia"/>
          <w:szCs w:val="21"/>
          <w:lang w:val="en-US" w:eastAsia="zh-CN"/>
        </w:rPr>
        <w:t>产品</w:t>
      </w:r>
      <w:r>
        <w:rPr>
          <w:rFonts w:hint="eastAsia"/>
          <w:szCs w:val="21"/>
        </w:rPr>
        <w:t>。此外，</w:t>
      </w:r>
      <w:r>
        <w:rPr>
          <w:rFonts w:hint="eastAsia" w:ascii="宋体" w:hAnsi="宋体"/>
          <w:szCs w:val="21"/>
        </w:rPr>
        <w:t>供应商提供的</w:t>
      </w:r>
      <w:r>
        <w:rPr>
          <w:rFonts w:hint="eastAsia" w:ascii="宋体" w:hAnsi="宋体"/>
          <w:szCs w:val="21"/>
          <w:lang w:val="en-US" w:eastAsia="zh-CN"/>
        </w:rPr>
        <w:t>复合佐剂</w:t>
      </w:r>
      <w:r>
        <w:rPr>
          <w:rFonts w:hint="eastAsia" w:ascii="宋体" w:hAnsi="宋体"/>
          <w:szCs w:val="21"/>
        </w:rPr>
        <w:t>应满足中国</w:t>
      </w:r>
      <w:r>
        <w:rPr>
          <w:rFonts w:hint="eastAsia" w:ascii="宋体" w:hAnsi="宋体"/>
          <w:szCs w:val="21"/>
          <w:lang w:val="en-US" w:eastAsia="zh-CN"/>
        </w:rPr>
        <w:t>及现行行业的生物</w:t>
      </w:r>
      <w:r>
        <w:rPr>
          <w:rFonts w:hint="eastAsia" w:ascii="宋体" w:hAnsi="宋体"/>
          <w:szCs w:val="21"/>
        </w:rPr>
        <w:t>安全</w:t>
      </w:r>
      <w:r>
        <w:rPr>
          <w:rFonts w:hint="eastAsia" w:ascii="宋体" w:hAnsi="宋体"/>
          <w:szCs w:val="21"/>
          <w:lang w:val="en-US" w:eastAsia="zh-CN"/>
        </w:rPr>
        <w:t>等</w:t>
      </w:r>
      <w:r>
        <w:rPr>
          <w:rFonts w:hint="eastAsia" w:ascii="宋体" w:hAnsi="宋体"/>
          <w:szCs w:val="21"/>
        </w:rPr>
        <w:t>强制性标准的要求。如遇与供应商所执行的标准发生矛盾时，应按较高标准执行（强制性标准除外）</w:t>
      </w:r>
      <w:r>
        <w:rPr>
          <w:rFonts w:hint="eastAsia" w:ascii="宋体" w:hAnsi="宋体"/>
          <w:szCs w:val="21"/>
          <w:lang w:eastAsia="zh-CN"/>
        </w:rPr>
        <w:t>。</w:t>
      </w:r>
    </w:p>
    <w:p>
      <w:pPr>
        <w:pStyle w:val="4"/>
        <w:rPr>
          <w:rFonts w:hint="eastAsia"/>
          <w:lang w:val="en-GB"/>
        </w:rPr>
      </w:pPr>
      <w:bookmarkStart w:id="426" w:name="_Toc5954"/>
      <w:bookmarkStart w:id="427" w:name="_Toc17648"/>
      <w:bookmarkStart w:id="428" w:name="_Toc330560354"/>
      <w:r>
        <w:rPr>
          <w:rFonts w:hint="eastAsia"/>
          <w:lang w:val="en-US" w:eastAsia="zh-CN"/>
        </w:rPr>
        <w:t>质量要求</w:t>
      </w:r>
      <w:bookmarkEnd w:id="426"/>
      <w:bookmarkEnd w:id="427"/>
      <w:bookmarkEnd w:id="428"/>
    </w:p>
    <w:tbl>
      <w:tblPr>
        <w:tblStyle w:val="51"/>
        <w:tblW w:w="95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7032"/>
        <w:gridCol w:w="14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top w:val="single" w:color="auto" w:sz="4" w:space="0"/>
              <w:left w:val="single" w:color="auto" w:sz="4" w:space="0"/>
              <w:bottom w:val="single" w:color="auto" w:sz="4" w:space="0"/>
            </w:tcBorders>
            <w:shd w:val="clear" w:color="auto" w:fill="D9D9D9"/>
            <w:noWrap w:val="0"/>
            <w:vAlign w:val="center"/>
          </w:tcPr>
          <w:p>
            <w:pPr>
              <w:snapToGrid w:val="0"/>
              <w:jc w:val="center"/>
              <w:rPr>
                <w:b/>
                <w:szCs w:val="21"/>
              </w:rPr>
            </w:pPr>
            <w:r>
              <w:rPr>
                <w:b/>
                <w:szCs w:val="21"/>
              </w:rPr>
              <w:t>序号</w:t>
            </w:r>
          </w:p>
        </w:tc>
        <w:tc>
          <w:tcPr>
            <w:tcW w:w="7032" w:type="dxa"/>
            <w:tcBorders>
              <w:top w:val="single" w:color="auto" w:sz="4" w:space="0"/>
              <w:bottom w:val="single" w:color="auto" w:sz="6" w:space="0"/>
              <w:right w:val="single" w:color="auto" w:sz="4" w:space="0"/>
            </w:tcBorders>
            <w:shd w:val="clear" w:color="auto" w:fill="D9D9D9"/>
            <w:noWrap w:val="0"/>
            <w:vAlign w:val="center"/>
          </w:tcPr>
          <w:p>
            <w:pPr>
              <w:snapToGrid w:val="0"/>
              <w:jc w:val="center"/>
              <w:rPr>
                <w:b/>
                <w:szCs w:val="21"/>
              </w:rPr>
            </w:pPr>
            <w:r>
              <w:rPr>
                <w:b/>
                <w:szCs w:val="21"/>
              </w:rPr>
              <w:t>要求</w:t>
            </w:r>
          </w:p>
        </w:tc>
        <w:tc>
          <w:tcPr>
            <w:tcW w:w="1421" w:type="dxa"/>
            <w:tcBorders>
              <w:top w:val="single" w:color="auto" w:sz="4" w:space="0"/>
              <w:bottom w:val="single" w:color="auto" w:sz="6" w:space="0"/>
              <w:right w:val="single" w:color="auto" w:sz="4" w:space="0"/>
            </w:tcBorders>
            <w:shd w:val="clear" w:color="auto" w:fill="D9D9D9"/>
            <w:noWrap w:val="0"/>
            <w:vAlign w:val="center"/>
          </w:tcPr>
          <w:p>
            <w:pPr>
              <w:snapToGrid w:val="0"/>
              <w:jc w:val="center"/>
              <w:rPr>
                <w:b/>
                <w:szCs w:val="21"/>
              </w:rPr>
            </w:pPr>
            <w:r>
              <w:rPr>
                <w:b/>
                <w:szCs w:val="21"/>
              </w:rPr>
              <w:t>必需或期望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szCs w:val="21"/>
              </w:rPr>
            </w:pPr>
            <w:r>
              <w:rPr>
                <w:szCs w:val="21"/>
              </w:rPr>
              <w:t>URS001</w:t>
            </w:r>
          </w:p>
        </w:tc>
        <w:tc>
          <w:tcPr>
            <w:tcW w:w="7032" w:type="dxa"/>
            <w:tcBorders>
              <w:top w:val="single" w:color="auto" w:sz="6" w:space="0"/>
              <w:bottom w:val="single" w:color="auto" w:sz="6" w:space="0"/>
              <w:right w:val="single" w:color="auto" w:sz="4" w:space="0"/>
            </w:tcBorders>
            <w:noWrap w:val="0"/>
            <w:vAlign w:val="center"/>
          </w:tcPr>
          <w:p>
            <w:pPr>
              <w:jc w:val="left"/>
              <w:rPr>
                <w:szCs w:val="21"/>
              </w:rPr>
            </w:pPr>
            <w:r>
              <w:rPr>
                <w:rFonts w:hint="eastAsia" w:ascii="Times New Roman" w:hAnsi="Times New Roman" w:eastAsia="宋体" w:cs="Times New Roman"/>
                <w:i w:val="0"/>
                <w:spacing w:val="-3"/>
                <w:w w:val="95"/>
                <w:sz w:val="21"/>
                <w:szCs w:val="21"/>
                <w:lang w:val="en-US" w:eastAsia="zh-CN" w:bidi="ar-SA"/>
              </w:rPr>
              <w:t>应符合中国现行GMP的要求，符合生产主要原材料标准。</w:t>
            </w:r>
          </w:p>
        </w:tc>
        <w:tc>
          <w:tcPr>
            <w:tcW w:w="1421" w:type="dxa"/>
            <w:tcBorders>
              <w:right w:val="single" w:color="auto" w:sz="4" w:space="0"/>
            </w:tcBorders>
            <w:noWrap w:val="0"/>
            <w:vAlign w:val="center"/>
          </w:tcPr>
          <w:p>
            <w:pPr>
              <w:snapToGrid w:val="0"/>
              <w:jc w:val="center"/>
              <w:rPr>
                <w:szCs w:val="21"/>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rPr>
            </w:pPr>
            <w:r>
              <w:rPr>
                <w:szCs w:val="21"/>
              </w:rPr>
              <w:t>URS00</w:t>
            </w:r>
            <w:r>
              <w:rPr>
                <w:rFonts w:hint="eastAsia"/>
                <w:szCs w:val="21"/>
                <w:lang w:val="en-US" w:eastAsia="zh-CN"/>
              </w:rPr>
              <w:t>2</w:t>
            </w:r>
          </w:p>
        </w:tc>
        <w:tc>
          <w:tcPr>
            <w:tcW w:w="7032" w:type="dxa"/>
            <w:tcBorders>
              <w:top w:val="single" w:color="auto" w:sz="6" w:space="0"/>
              <w:bottom w:val="single" w:color="auto" w:sz="6" w:space="0"/>
              <w:right w:val="single" w:color="auto" w:sz="4" w:space="0"/>
            </w:tcBorders>
            <w:noWrap w:val="0"/>
            <w:vAlign w:val="center"/>
          </w:tcPr>
          <w:p>
            <w:pPr>
              <w:jc w:val="both"/>
              <w:rPr>
                <w:rFonts w:hint="default"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应符合中国现行GMP的要求，符合生物安全等强制性标准。。</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eastAsia="zh-CN"/>
              </w:rPr>
            </w:pPr>
            <w:r>
              <w:rPr>
                <w:szCs w:val="21"/>
              </w:rPr>
              <w:t>URS00</w:t>
            </w:r>
            <w:r>
              <w:rPr>
                <w:rFonts w:hint="eastAsia"/>
                <w:szCs w:val="21"/>
                <w:lang w:val="en-US" w:eastAsia="zh-CN"/>
              </w:rPr>
              <w:t>3</w:t>
            </w:r>
          </w:p>
        </w:tc>
        <w:tc>
          <w:tcPr>
            <w:tcW w:w="7032" w:type="dxa"/>
            <w:tcBorders>
              <w:top w:val="single" w:color="auto" w:sz="6" w:space="0"/>
              <w:bottom w:val="single" w:color="auto" w:sz="6" w:space="0"/>
              <w:right w:val="single" w:color="auto" w:sz="4" w:space="0"/>
            </w:tcBorders>
            <w:noWrap w:val="0"/>
            <w:vAlign w:val="center"/>
          </w:tcPr>
          <w:p>
            <w:pPr>
              <w:jc w:val="both"/>
              <w:rPr>
                <w:rFonts w:hint="default"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产品无菌要求，应无菌包装，便于使用。</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eastAsia="zh-CN"/>
              </w:rPr>
            </w:pPr>
            <w:r>
              <w:rPr>
                <w:szCs w:val="21"/>
              </w:rPr>
              <w:t>URS00</w:t>
            </w:r>
            <w:r>
              <w:rPr>
                <w:rFonts w:hint="eastAsia"/>
                <w:szCs w:val="21"/>
                <w:lang w:val="en-US" w:eastAsia="zh-CN"/>
              </w:rPr>
              <w:t>4</w:t>
            </w:r>
          </w:p>
        </w:tc>
        <w:tc>
          <w:tcPr>
            <w:tcW w:w="7032" w:type="dxa"/>
            <w:tcBorders>
              <w:top w:val="single" w:color="auto" w:sz="6" w:space="0"/>
              <w:bottom w:val="single" w:color="auto" w:sz="6" w:space="0"/>
              <w:right w:val="single" w:color="auto" w:sz="4" w:space="0"/>
            </w:tcBorders>
            <w:noWrap w:val="0"/>
            <w:vAlign w:val="center"/>
          </w:tcPr>
          <w:p>
            <w:pPr>
              <w:jc w:val="both"/>
              <w:rPr>
                <w:rFonts w:hint="default"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产品规格：由采购方决定产品规格，配制产品应为倍数关系。</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135" w:type="dxa"/>
            <w:tcBorders>
              <w:left w:val="single" w:color="auto" w:sz="4" w:space="0"/>
            </w:tcBorders>
            <w:noWrap w:val="0"/>
            <w:vAlign w:val="center"/>
          </w:tcPr>
          <w:p>
            <w:pPr>
              <w:snapToGrid w:val="0"/>
              <w:jc w:val="center"/>
              <w:rPr>
                <w:rFonts w:hint="eastAsia" w:eastAsia="宋体"/>
                <w:szCs w:val="21"/>
                <w:lang w:eastAsia="zh-CN"/>
              </w:rPr>
            </w:pPr>
            <w:r>
              <w:rPr>
                <w:szCs w:val="21"/>
              </w:rPr>
              <w:t>URS00</w:t>
            </w:r>
            <w:r>
              <w:rPr>
                <w:rFonts w:hint="eastAsia"/>
                <w:szCs w:val="21"/>
                <w:lang w:val="en-US" w:eastAsia="zh-CN"/>
              </w:rPr>
              <w:t>5</w:t>
            </w:r>
          </w:p>
        </w:tc>
        <w:tc>
          <w:tcPr>
            <w:tcW w:w="7032" w:type="dxa"/>
            <w:tcBorders>
              <w:top w:val="single" w:color="auto" w:sz="6" w:space="0"/>
              <w:bottom w:val="single" w:color="auto" w:sz="6" w:space="0"/>
              <w:right w:val="single" w:color="auto" w:sz="4" w:space="0"/>
            </w:tcBorders>
            <w:noWrap w:val="0"/>
            <w:vAlign w:val="center"/>
          </w:tcPr>
          <w:p>
            <w:pPr>
              <w:pStyle w:val="5"/>
              <w:numPr>
                <w:ilvl w:val="0"/>
                <w:numId w:val="0"/>
              </w:numPr>
              <w:rPr>
                <w:rFonts w:hint="default" w:ascii="Times New Roman" w:hAnsi="Times New Roman" w:eastAsia="宋体" w:cs="Times New Roman"/>
                <w:i w:val="0"/>
                <w:spacing w:val="-3"/>
                <w:w w:val="95"/>
                <w:sz w:val="21"/>
                <w:szCs w:val="21"/>
                <w:lang w:val="en-US" w:eastAsia="zh-CN" w:bidi="ar-SA"/>
              </w:rPr>
            </w:pPr>
            <w:r>
              <w:rPr>
                <w:rFonts w:hint="eastAsia" w:ascii="Times New Roman" w:hAnsi="Times New Roman" w:eastAsia="宋体" w:cs="Times New Roman"/>
                <w:i w:val="0"/>
                <w:spacing w:val="-3"/>
                <w:w w:val="95"/>
                <w:sz w:val="21"/>
                <w:szCs w:val="21"/>
                <w:lang w:val="en-US" w:eastAsia="zh-CN" w:bidi="ar-SA"/>
              </w:rPr>
              <w:t>供货产品为液体或干粉状态情况下，液体优先原则。</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eastAsia="zh-CN"/>
              </w:rPr>
            </w:pPr>
            <w:r>
              <w:rPr>
                <w:szCs w:val="21"/>
              </w:rPr>
              <w:t>URS00</w:t>
            </w:r>
            <w:r>
              <w:rPr>
                <w:rFonts w:hint="eastAsia"/>
                <w:szCs w:val="21"/>
                <w:lang w:val="en-US" w:eastAsia="zh-CN"/>
              </w:rPr>
              <w:t>6</w:t>
            </w:r>
          </w:p>
        </w:tc>
        <w:tc>
          <w:tcPr>
            <w:tcW w:w="7032" w:type="dxa"/>
            <w:tcBorders>
              <w:top w:val="single" w:color="auto" w:sz="6" w:space="0"/>
              <w:bottom w:val="single" w:color="auto" w:sz="6" w:space="0"/>
              <w:right w:val="single" w:color="auto" w:sz="4" w:space="0"/>
            </w:tcBorders>
            <w:noWrap w:val="0"/>
            <w:vAlign w:val="center"/>
          </w:tcPr>
          <w:p>
            <w:pPr>
              <w:jc w:val="both"/>
              <w:rPr>
                <w:rFonts w:hint="default" w:ascii="Times New Roman" w:hAnsi="Times New Roman" w:eastAsia="宋体" w:cs="Times New Roman"/>
                <w:i w:val="0"/>
                <w:spacing w:val="-3"/>
                <w:w w:val="95"/>
                <w:sz w:val="21"/>
                <w:szCs w:val="21"/>
                <w:lang w:val="en-US" w:eastAsia="zh-CN" w:bidi="ar-SA"/>
              </w:rPr>
            </w:pPr>
            <w:r>
              <w:rPr>
                <w:rFonts w:hint="eastAsia" w:ascii="Times New Roman" w:hAnsi="Times New Roman" w:eastAsia="宋体" w:cs="Times New Roman"/>
                <w:i w:val="0"/>
                <w:spacing w:val="-3"/>
                <w:w w:val="95"/>
                <w:sz w:val="21"/>
                <w:szCs w:val="21"/>
                <w:lang w:val="en-US" w:eastAsia="zh-CN" w:bidi="ar-SA"/>
              </w:rPr>
              <w:t>如为液体包装，应标明PH值，PH一般不超过8.5；产品黏度不超过50cP。</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7</w:t>
            </w:r>
          </w:p>
        </w:tc>
        <w:tc>
          <w:tcPr>
            <w:tcW w:w="7032" w:type="dxa"/>
            <w:tcBorders>
              <w:top w:val="single" w:color="auto" w:sz="6" w:space="0"/>
              <w:bottom w:val="single" w:color="auto" w:sz="6" w:space="0"/>
              <w:right w:val="single" w:color="auto" w:sz="4" w:space="0"/>
            </w:tcBorders>
            <w:noWrap w:val="0"/>
            <w:vAlign w:val="center"/>
          </w:tcPr>
          <w:p>
            <w:pPr>
              <w:jc w:val="both"/>
              <w:rPr>
                <w:rFonts w:hint="eastAsia" w:ascii="Times New Roman" w:hAnsi="Times New Roman" w:eastAsia="宋体" w:cs="Times New Roman"/>
                <w:i w:val="0"/>
                <w:spacing w:val="-3"/>
                <w:w w:val="95"/>
                <w:sz w:val="21"/>
                <w:szCs w:val="21"/>
                <w:lang w:val="en-US" w:eastAsia="zh-CN" w:bidi="ar-SA"/>
              </w:rPr>
            </w:pPr>
            <w:r>
              <w:rPr>
                <w:rFonts w:hint="eastAsia" w:ascii="Times New Roman" w:hAnsi="Times New Roman" w:eastAsia="宋体" w:cs="Times New Roman"/>
                <w:i w:val="0"/>
                <w:spacing w:val="-3"/>
                <w:w w:val="95"/>
                <w:sz w:val="21"/>
                <w:szCs w:val="21"/>
                <w:lang w:val="en-US" w:eastAsia="zh-CN" w:bidi="ar-SA"/>
              </w:rPr>
              <w:t>如为液体包装，</w:t>
            </w:r>
            <w:r>
              <w:rPr>
                <w:rFonts w:hint="eastAsia"/>
                <w:spacing w:val="-3"/>
                <w:w w:val="95"/>
                <w:sz w:val="21"/>
                <w:szCs w:val="21"/>
              </w:rPr>
              <w:t>内毒素含量不得超过</w:t>
            </w:r>
            <w:r>
              <w:rPr>
                <w:rFonts w:hint="eastAsia"/>
                <w:spacing w:val="-3"/>
                <w:w w:val="95"/>
                <w:sz w:val="21"/>
                <w:szCs w:val="21"/>
                <w:lang w:val="en-US" w:eastAsia="zh-CN"/>
              </w:rPr>
              <w:t>2</w:t>
            </w:r>
            <w:r>
              <w:rPr>
                <w:spacing w:val="-3"/>
                <w:w w:val="95"/>
                <w:sz w:val="21"/>
                <w:szCs w:val="21"/>
              </w:rPr>
              <w:t>EU/</w:t>
            </w:r>
            <w:r>
              <w:rPr>
                <w:rFonts w:hint="eastAsia"/>
                <w:spacing w:val="-3"/>
                <w:w w:val="95"/>
                <w:sz w:val="21"/>
                <w:szCs w:val="21"/>
              </w:rPr>
              <w:t>ml。</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8</w:t>
            </w:r>
          </w:p>
        </w:tc>
        <w:tc>
          <w:tcPr>
            <w:tcW w:w="7032" w:type="dxa"/>
            <w:tcBorders>
              <w:top w:val="single" w:color="auto" w:sz="6" w:space="0"/>
              <w:bottom w:val="single" w:color="auto" w:sz="6" w:space="0"/>
              <w:right w:val="single" w:color="auto" w:sz="4" w:space="0"/>
            </w:tcBorders>
            <w:noWrap w:val="0"/>
            <w:vAlign w:val="center"/>
          </w:tcPr>
          <w:p>
            <w:pPr>
              <w:jc w:val="both"/>
              <w:rPr>
                <w:rFonts w:hint="eastAsia" w:ascii="Times New Roman" w:hAnsi="Times New Roman" w:eastAsia="宋体" w:cs="Times New Roman"/>
                <w:i w:val="0"/>
                <w:spacing w:val="-3"/>
                <w:w w:val="95"/>
                <w:sz w:val="21"/>
                <w:szCs w:val="21"/>
                <w:lang w:val="en-US" w:eastAsia="zh-CN" w:bidi="ar-SA"/>
              </w:rPr>
            </w:pPr>
            <w:r>
              <w:rPr>
                <w:rFonts w:hint="eastAsia" w:ascii="Times New Roman" w:hAnsi="Times New Roman" w:eastAsia="宋体" w:cs="Times New Roman"/>
                <w:i w:val="0"/>
                <w:spacing w:val="-3"/>
                <w:w w:val="95"/>
                <w:sz w:val="21"/>
                <w:szCs w:val="21"/>
                <w:lang w:val="en-US" w:eastAsia="zh-CN" w:bidi="ar-SA"/>
              </w:rPr>
              <w:t>如是干粉包装在使用时，能够采用过滤方式进行除菌，且透过性好。</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URS00</w:t>
            </w:r>
            <w:r>
              <w:rPr>
                <w:rFonts w:hint="eastAsia"/>
                <w:szCs w:val="21"/>
                <w:lang w:val="en-US" w:eastAsia="zh-CN"/>
              </w:rPr>
              <w:t>9</w:t>
            </w:r>
          </w:p>
        </w:tc>
        <w:tc>
          <w:tcPr>
            <w:tcW w:w="7032" w:type="dxa"/>
            <w:tcBorders>
              <w:top w:val="single" w:color="auto" w:sz="6" w:space="0"/>
              <w:bottom w:val="single" w:color="auto" w:sz="6" w:space="0"/>
              <w:right w:val="single" w:color="auto" w:sz="4" w:space="0"/>
            </w:tcBorders>
            <w:noWrap w:val="0"/>
            <w:vAlign w:val="center"/>
          </w:tcPr>
          <w:p>
            <w:pPr>
              <w:jc w:val="both"/>
              <w:rPr>
                <w:rFonts w:hint="eastAsia" w:ascii="Times New Roman" w:hAnsi="Times New Roman" w:eastAsia="宋体" w:cs="Times New Roman"/>
                <w:i w:val="0"/>
                <w:spacing w:val="-3"/>
                <w:w w:val="95"/>
                <w:sz w:val="21"/>
                <w:szCs w:val="21"/>
                <w:lang w:val="en-US" w:eastAsia="zh-CN" w:bidi="ar-SA"/>
              </w:rPr>
            </w:pPr>
            <w:r>
              <w:rPr>
                <w:rFonts w:hint="eastAsia"/>
                <w:spacing w:val="-3"/>
                <w:w w:val="95"/>
                <w:sz w:val="21"/>
                <w:szCs w:val="21"/>
              </w:rPr>
              <w:t>稳定性能高，与抗原结合不易分层或析出。</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default" w:eastAsia="宋体"/>
                <w:szCs w:val="21"/>
                <w:lang w:val="en-US" w:eastAsia="zh-CN" w:bidi="ar-SA"/>
              </w:rPr>
            </w:pPr>
            <w:r>
              <w:rPr>
                <w:szCs w:val="21"/>
              </w:rPr>
              <w:t>URS0</w:t>
            </w:r>
            <w:r>
              <w:rPr>
                <w:rFonts w:hint="eastAsia"/>
                <w:szCs w:val="21"/>
                <w:lang w:val="en-US" w:eastAsia="zh-CN"/>
              </w:rPr>
              <w:t>10</w:t>
            </w:r>
          </w:p>
        </w:tc>
        <w:tc>
          <w:tcPr>
            <w:tcW w:w="7032" w:type="dxa"/>
            <w:tcBorders>
              <w:top w:val="single" w:color="auto" w:sz="6" w:space="0"/>
              <w:bottom w:val="single" w:color="auto" w:sz="6" w:space="0"/>
              <w:right w:val="single" w:color="auto" w:sz="4" w:space="0"/>
            </w:tcBorders>
            <w:noWrap w:val="0"/>
            <w:vAlign w:val="center"/>
          </w:tcPr>
          <w:p>
            <w:pPr>
              <w:jc w:val="both"/>
              <w:rPr>
                <w:rFonts w:hint="eastAsia"/>
                <w:spacing w:val="-3"/>
                <w:w w:val="95"/>
                <w:sz w:val="21"/>
                <w:szCs w:val="21"/>
              </w:rPr>
            </w:pPr>
            <w:r>
              <w:rPr>
                <w:rFonts w:hint="eastAsia"/>
                <w:spacing w:val="-3"/>
                <w:w w:val="95"/>
                <w:sz w:val="21"/>
                <w:szCs w:val="21"/>
              </w:rPr>
              <w:t>与抗原</w:t>
            </w:r>
            <w:r>
              <w:rPr>
                <w:rFonts w:hint="eastAsia"/>
                <w:spacing w:val="-3"/>
                <w:w w:val="95"/>
                <w:sz w:val="21"/>
                <w:szCs w:val="21"/>
                <w:lang w:val="en-US" w:eastAsia="zh-CN"/>
              </w:rPr>
              <w:t>注射用白油</w:t>
            </w:r>
            <w:r>
              <w:rPr>
                <w:rFonts w:hint="eastAsia"/>
                <w:spacing w:val="-3"/>
                <w:w w:val="95"/>
                <w:sz w:val="21"/>
                <w:szCs w:val="21"/>
              </w:rPr>
              <w:t>混合乳化后，应</w:t>
            </w:r>
            <w:r>
              <w:rPr>
                <w:rFonts w:hint="eastAsia"/>
                <w:spacing w:val="-3"/>
                <w:w w:val="95"/>
                <w:sz w:val="21"/>
                <w:szCs w:val="21"/>
                <w:lang w:val="en-US" w:eastAsia="zh-CN"/>
              </w:rPr>
              <w:t>不改变</w:t>
            </w:r>
            <w:r>
              <w:rPr>
                <w:rFonts w:hint="eastAsia"/>
                <w:spacing w:val="-3"/>
                <w:w w:val="95"/>
                <w:sz w:val="21"/>
                <w:szCs w:val="21"/>
              </w:rPr>
              <w:t>乳白色乳剂</w:t>
            </w:r>
            <w:r>
              <w:rPr>
                <w:rFonts w:hint="eastAsia"/>
                <w:spacing w:val="-3"/>
                <w:w w:val="95"/>
                <w:sz w:val="21"/>
                <w:szCs w:val="21"/>
                <w:lang w:val="en-US" w:eastAsia="zh-CN"/>
              </w:rPr>
              <w:t>、</w:t>
            </w:r>
            <w:r>
              <w:rPr>
                <w:rFonts w:hint="eastAsia"/>
                <w:spacing w:val="-3"/>
                <w:w w:val="95"/>
                <w:sz w:val="21"/>
                <w:szCs w:val="21"/>
              </w:rPr>
              <w:t>粘度</w:t>
            </w:r>
            <w:r>
              <w:rPr>
                <w:rFonts w:hint="eastAsia"/>
                <w:spacing w:val="-3"/>
                <w:w w:val="95"/>
                <w:sz w:val="21"/>
                <w:szCs w:val="21"/>
                <w:lang w:val="en-US" w:eastAsia="zh-CN"/>
              </w:rPr>
              <w:t>等理化</w:t>
            </w:r>
            <w:r>
              <w:rPr>
                <w:rFonts w:hint="eastAsia"/>
                <w:spacing w:val="-3"/>
                <w:w w:val="95"/>
                <w:sz w:val="21"/>
                <w:szCs w:val="21"/>
              </w:rPr>
              <w:t>要求。</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w:t>
            </w:r>
            <w:r>
              <w:rPr>
                <w:rFonts w:hint="eastAsia"/>
                <w:szCs w:val="21"/>
                <w:lang w:val="en-US" w:eastAsia="zh-CN"/>
              </w:rPr>
              <w:t>11</w:t>
            </w:r>
          </w:p>
        </w:tc>
        <w:tc>
          <w:tcPr>
            <w:tcW w:w="7032" w:type="dxa"/>
            <w:tcBorders>
              <w:top w:val="single" w:color="auto" w:sz="6" w:space="0"/>
              <w:bottom w:val="single" w:color="auto" w:sz="6" w:space="0"/>
              <w:right w:val="single" w:color="auto" w:sz="4" w:space="0"/>
            </w:tcBorders>
            <w:noWrap w:val="0"/>
            <w:vAlign w:val="center"/>
          </w:tcPr>
          <w:p>
            <w:pPr>
              <w:pStyle w:val="5"/>
              <w:numPr>
                <w:ilvl w:val="0"/>
                <w:numId w:val="0"/>
              </w:numPr>
              <w:rPr>
                <w:rFonts w:hint="default" w:ascii="Times New Roman" w:hAnsi="Times New Roman" w:eastAsia="宋体" w:cs="Times New Roman"/>
                <w:i w:val="0"/>
                <w:spacing w:val="-3"/>
                <w:w w:val="95"/>
                <w:sz w:val="21"/>
                <w:szCs w:val="21"/>
                <w:lang w:val="en-US" w:eastAsia="zh-CN" w:bidi="ar-SA"/>
              </w:rPr>
            </w:pPr>
            <w:r>
              <w:rPr>
                <w:rFonts w:hint="eastAsia" w:ascii="Times New Roman" w:hAnsi="Times New Roman" w:eastAsia="宋体" w:cs="Times New Roman"/>
                <w:i w:val="0"/>
                <w:spacing w:val="-3"/>
                <w:w w:val="95"/>
                <w:sz w:val="21"/>
                <w:szCs w:val="21"/>
                <w:lang w:val="en-US" w:eastAsia="zh-CN" w:bidi="ar-SA"/>
              </w:rPr>
              <w:t>复合佐剂在田间应用中不应出现产品吸收不好等不良应激反应</w:t>
            </w:r>
            <w:bookmarkStart w:id="429" w:name="_GoBack"/>
            <w:bookmarkEnd w:id="429"/>
          </w:p>
        </w:tc>
        <w:tc>
          <w:tcPr>
            <w:tcW w:w="1421" w:type="dxa"/>
            <w:tcBorders>
              <w:right w:val="single" w:color="auto" w:sz="4" w:space="0"/>
            </w:tcBorders>
            <w:noWrap w:val="0"/>
            <w:vAlign w:val="center"/>
          </w:tcPr>
          <w:p>
            <w:pPr>
              <w:jc w:val="both"/>
              <w:rPr>
                <w:rFonts w:hint="eastAsia" w:ascii="Times New Roman" w:hAnsi="Times New Roman" w:eastAsia="宋体" w:cs="Times New Roman"/>
                <w:i w:val="0"/>
                <w:spacing w:val="-3"/>
                <w:w w:val="95"/>
                <w:sz w:val="21"/>
                <w:szCs w:val="21"/>
                <w:lang w:val="en-US" w:eastAsia="zh-CN" w:bidi="ar-SA"/>
              </w:rPr>
            </w:pPr>
            <w:r>
              <w:rPr>
                <w:rFonts w:hint="eastAsia" w:ascii="Times New Roman" w:hAnsi="Times New Roman" w:eastAsia="宋体" w:cs="Times New Roman"/>
                <w:i w:val="0"/>
                <w:spacing w:val="-3"/>
                <w:w w:val="95"/>
                <w:sz w:val="21"/>
                <w:szCs w:val="21"/>
                <w:lang w:val="en-US" w:eastAsia="zh-CN" w:bidi="ar-SA"/>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w:t>
            </w:r>
            <w:r>
              <w:rPr>
                <w:rFonts w:hint="eastAsia"/>
                <w:szCs w:val="21"/>
                <w:lang w:val="en-US" w:eastAsia="zh-CN"/>
              </w:rPr>
              <w:t>12</w:t>
            </w:r>
          </w:p>
        </w:tc>
        <w:tc>
          <w:tcPr>
            <w:tcW w:w="7032" w:type="dxa"/>
            <w:tcBorders>
              <w:top w:val="single" w:color="auto" w:sz="6" w:space="0"/>
              <w:bottom w:val="single" w:color="auto" w:sz="6" w:space="0"/>
              <w:right w:val="single" w:color="auto" w:sz="4" w:space="0"/>
            </w:tcBorders>
            <w:noWrap w:val="0"/>
            <w:vAlign w:val="center"/>
          </w:tcPr>
          <w:p>
            <w:pPr>
              <w:jc w:val="both"/>
              <w:rPr>
                <w:rFonts w:hint="default"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复合佐剂在田间应用中不应出现禽生产性能下降</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szCs w:val="21"/>
                <w:lang w:val="en-US" w:eastAsia="zh-CN" w:bidi="ar-SA"/>
              </w:rPr>
            </w:pPr>
            <w:r>
              <w:rPr>
                <w:szCs w:val="21"/>
              </w:rPr>
              <w:t>URS0</w:t>
            </w:r>
            <w:r>
              <w:rPr>
                <w:rFonts w:hint="eastAsia"/>
                <w:szCs w:val="21"/>
                <w:lang w:val="en-US" w:eastAsia="zh-CN"/>
              </w:rPr>
              <w:t>13</w:t>
            </w:r>
          </w:p>
        </w:tc>
        <w:tc>
          <w:tcPr>
            <w:tcW w:w="7032" w:type="dxa"/>
            <w:tcBorders>
              <w:top w:val="single" w:color="auto" w:sz="6" w:space="0"/>
              <w:bottom w:val="single" w:color="auto" w:sz="6" w:space="0"/>
              <w:right w:val="single" w:color="auto" w:sz="4" w:space="0"/>
            </w:tcBorders>
            <w:noWrap w:val="0"/>
            <w:vAlign w:val="center"/>
          </w:tcPr>
          <w:p>
            <w:pPr>
              <w:jc w:val="both"/>
              <w:rPr>
                <w:rFonts w:hint="default"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复合佐剂在其正常使用免疫基础上抗体水平至少提高1个滴度。</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rPr>
            </w:pPr>
            <w:r>
              <w:rPr>
                <w:rFonts w:hint="eastAsia" w:ascii="Times New Roman" w:hAnsi="Times New Roman" w:eastAsia="宋体" w:cs="Times New Roman"/>
                <w:spacing w:val="-3"/>
                <w:w w:val="95"/>
                <w:sz w:val="21"/>
                <w:szCs w:val="21"/>
                <w:lang w:val="en-US" w:eastAsia="zh-CN"/>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default"/>
                <w:szCs w:val="21"/>
                <w:lang w:val="en-US" w:eastAsia="zh-CN" w:bidi="ar-SA"/>
              </w:rPr>
            </w:pPr>
            <w:r>
              <w:rPr>
                <w:szCs w:val="21"/>
              </w:rPr>
              <w:t>URS0</w:t>
            </w:r>
            <w:r>
              <w:rPr>
                <w:rFonts w:hint="eastAsia"/>
                <w:szCs w:val="21"/>
                <w:lang w:val="en-US" w:eastAsia="zh-CN"/>
              </w:rPr>
              <w:t>14</w:t>
            </w:r>
          </w:p>
        </w:tc>
        <w:tc>
          <w:tcPr>
            <w:tcW w:w="7032" w:type="dxa"/>
            <w:tcBorders>
              <w:top w:val="single" w:color="auto" w:sz="6" w:space="0"/>
              <w:bottom w:val="single" w:color="auto" w:sz="6" w:space="0"/>
              <w:right w:val="single" w:color="auto" w:sz="4" w:space="0"/>
            </w:tcBorders>
            <w:noWrap w:val="0"/>
            <w:vAlign w:val="center"/>
          </w:tcPr>
          <w:p>
            <w:pPr>
              <w:pStyle w:val="5"/>
              <w:numPr>
                <w:ilvl w:val="0"/>
                <w:numId w:val="0"/>
              </w:numPr>
              <w:ind w:left="0" w:leftChars="0" w:firstLine="0" w:firstLineChars="0"/>
              <w:rPr>
                <w:rFonts w:hint="default"/>
                <w:i/>
                <w:sz w:val="24"/>
                <w:szCs w:val="21"/>
                <w:lang w:val="en-US" w:eastAsia="zh-CN" w:bidi="ar-SA"/>
              </w:rPr>
            </w:pPr>
            <w:r>
              <w:rPr>
                <w:rFonts w:hint="eastAsia" w:ascii="Times New Roman" w:hAnsi="Times New Roman" w:eastAsia="宋体" w:cs="Times New Roman"/>
                <w:i w:val="0"/>
                <w:spacing w:val="-3"/>
                <w:w w:val="95"/>
                <w:sz w:val="21"/>
                <w:szCs w:val="21"/>
                <w:lang w:val="en-US" w:eastAsia="zh-CN" w:bidi="ar-SA"/>
              </w:rPr>
              <w:t>产品出厂提供安全性检测和其他质检报告。</w:t>
            </w:r>
          </w:p>
        </w:tc>
        <w:tc>
          <w:tcPr>
            <w:tcW w:w="1421" w:type="dxa"/>
            <w:tcBorders>
              <w:right w:val="single" w:color="auto" w:sz="4" w:space="0"/>
            </w:tcBorders>
            <w:noWrap w:val="0"/>
            <w:vAlign w:val="center"/>
          </w:tcPr>
          <w:p>
            <w:pPr>
              <w:jc w:val="both"/>
              <w:rPr>
                <w:rFonts w:hint="eastAsia" w:ascii="Times New Roman" w:hAnsi="Times New Roman" w:eastAsia="宋体" w:cs="Times New Roman"/>
                <w:spacing w:val="-3"/>
                <w:w w:val="95"/>
                <w:sz w:val="21"/>
                <w:szCs w:val="21"/>
                <w:lang w:val="en-US" w:eastAsia="zh-CN" w:bidi="ar-SA"/>
              </w:rPr>
            </w:pPr>
            <w:r>
              <w:rPr>
                <w:rFonts w:hint="eastAsia" w:ascii="Times New Roman" w:hAnsi="Times New Roman" w:eastAsia="宋体" w:cs="Times New Roman"/>
                <w:spacing w:val="-3"/>
                <w:w w:val="95"/>
                <w:sz w:val="21"/>
                <w:szCs w:val="21"/>
                <w:lang w:val="en-US" w:eastAsia="zh-CN"/>
              </w:rPr>
              <w:t>必需</w:t>
            </w:r>
          </w:p>
        </w:tc>
      </w:tr>
    </w:tbl>
    <w:p>
      <w:pPr>
        <w:bidi w:val="0"/>
        <w:ind w:firstLine="506" w:firstLineChars="0"/>
        <w:jc w:val="left"/>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99777A"/>
    <w:rsid w:val="03310133"/>
    <w:rsid w:val="033A7147"/>
    <w:rsid w:val="034072F4"/>
    <w:rsid w:val="03D33F78"/>
    <w:rsid w:val="05BD6C4F"/>
    <w:rsid w:val="068A051E"/>
    <w:rsid w:val="07714A42"/>
    <w:rsid w:val="084367D4"/>
    <w:rsid w:val="084E0615"/>
    <w:rsid w:val="09545AC8"/>
    <w:rsid w:val="0AFF4E4A"/>
    <w:rsid w:val="0B933243"/>
    <w:rsid w:val="0BD842AB"/>
    <w:rsid w:val="0BEE13A6"/>
    <w:rsid w:val="0D792EAC"/>
    <w:rsid w:val="0D8D0EA8"/>
    <w:rsid w:val="0E175D7C"/>
    <w:rsid w:val="100F10E1"/>
    <w:rsid w:val="114C6D7B"/>
    <w:rsid w:val="124848DD"/>
    <w:rsid w:val="12AF40AF"/>
    <w:rsid w:val="143E54A0"/>
    <w:rsid w:val="149208C7"/>
    <w:rsid w:val="17493924"/>
    <w:rsid w:val="17524BB4"/>
    <w:rsid w:val="17634B0D"/>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C96A86"/>
    <w:rsid w:val="238649B8"/>
    <w:rsid w:val="23AD4E1E"/>
    <w:rsid w:val="24C741C2"/>
    <w:rsid w:val="25350541"/>
    <w:rsid w:val="268E2E7C"/>
    <w:rsid w:val="27A02191"/>
    <w:rsid w:val="27E04F0C"/>
    <w:rsid w:val="285C308D"/>
    <w:rsid w:val="28865E00"/>
    <w:rsid w:val="289A3148"/>
    <w:rsid w:val="2907617B"/>
    <w:rsid w:val="29A273A6"/>
    <w:rsid w:val="29BF6597"/>
    <w:rsid w:val="29F518B2"/>
    <w:rsid w:val="2AE26DC9"/>
    <w:rsid w:val="2F6D3579"/>
    <w:rsid w:val="30343EB8"/>
    <w:rsid w:val="31A71994"/>
    <w:rsid w:val="31C03214"/>
    <w:rsid w:val="3371124C"/>
    <w:rsid w:val="33716BC9"/>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402D4B16"/>
    <w:rsid w:val="40B567C2"/>
    <w:rsid w:val="411A359C"/>
    <w:rsid w:val="44E645F9"/>
    <w:rsid w:val="45E40A76"/>
    <w:rsid w:val="45EB594E"/>
    <w:rsid w:val="48AC304C"/>
    <w:rsid w:val="49772E24"/>
    <w:rsid w:val="4B6C5100"/>
    <w:rsid w:val="4BE75898"/>
    <w:rsid w:val="4C0C1018"/>
    <w:rsid w:val="4DED1D23"/>
    <w:rsid w:val="4DF06CFE"/>
    <w:rsid w:val="4E2539F2"/>
    <w:rsid w:val="4FE85234"/>
    <w:rsid w:val="50C06A6F"/>
    <w:rsid w:val="51AB25E2"/>
    <w:rsid w:val="531A366F"/>
    <w:rsid w:val="53455313"/>
    <w:rsid w:val="53B7054A"/>
    <w:rsid w:val="54181E8F"/>
    <w:rsid w:val="55AB065F"/>
    <w:rsid w:val="56074CC6"/>
    <w:rsid w:val="56456AAE"/>
    <w:rsid w:val="574F5F4C"/>
    <w:rsid w:val="589715D5"/>
    <w:rsid w:val="59FA3F6D"/>
    <w:rsid w:val="5A0A5462"/>
    <w:rsid w:val="5AAF3A76"/>
    <w:rsid w:val="5ADB1E70"/>
    <w:rsid w:val="5B4C57D4"/>
    <w:rsid w:val="5C3667D4"/>
    <w:rsid w:val="5CDB033A"/>
    <w:rsid w:val="5CFA0384"/>
    <w:rsid w:val="5DAF2A40"/>
    <w:rsid w:val="5E284D12"/>
    <w:rsid w:val="5F042803"/>
    <w:rsid w:val="5F5D6BEB"/>
    <w:rsid w:val="5FAD636F"/>
    <w:rsid w:val="600B149F"/>
    <w:rsid w:val="61994029"/>
    <w:rsid w:val="61F6744C"/>
    <w:rsid w:val="635D0E7E"/>
    <w:rsid w:val="63827325"/>
    <w:rsid w:val="639F5962"/>
    <w:rsid w:val="65130267"/>
    <w:rsid w:val="6A1D6B70"/>
    <w:rsid w:val="6AF56893"/>
    <w:rsid w:val="6B0C4773"/>
    <w:rsid w:val="6B277F37"/>
    <w:rsid w:val="6B716B29"/>
    <w:rsid w:val="6C741EF9"/>
    <w:rsid w:val="6D094D94"/>
    <w:rsid w:val="6DC65A80"/>
    <w:rsid w:val="6E380D0C"/>
    <w:rsid w:val="6ED42A0E"/>
    <w:rsid w:val="6EE168B7"/>
    <w:rsid w:val="70977707"/>
    <w:rsid w:val="711663FD"/>
    <w:rsid w:val="714D5CAB"/>
    <w:rsid w:val="73951FFE"/>
    <w:rsid w:val="753B3AE9"/>
    <w:rsid w:val="76190D95"/>
    <w:rsid w:val="770478DC"/>
    <w:rsid w:val="773C186D"/>
    <w:rsid w:val="78BC2324"/>
    <w:rsid w:val="78CC6D3B"/>
    <w:rsid w:val="78DC67E8"/>
    <w:rsid w:val="792340C6"/>
    <w:rsid w:val="7AAB15D2"/>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23695</Words>
  <Characters>25171</Characters>
  <Lines>243</Lines>
  <Paragraphs>68</Paragraphs>
  <TotalTime>0</TotalTime>
  <ScaleCrop>false</ScaleCrop>
  <LinksUpToDate>false</LinksUpToDate>
  <CharactersWithSpaces>28170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yl</cp:lastModifiedBy>
  <cp:lastPrinted>2024-03-13T01:27:00Z</cp:lastPrinted>
  <dcterms:modified xsi:type="dcterms:W3CDTF">2024-11-01T01:02:43Z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8D6FC3DBF8254D519C05161FA4153797</vt:lpwstr>
  </property>
</Properties>
</file>