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WKZB-2025-02</w:t>
      </w:r>
      <w:r>
        <w:rPr>
          <w:rFonts w:hint="eastAsia" w:ascii="宋体" w:hAnsi="宋体"/>
          <w:b/>
          <w:sz w:val="30"/>
          <w:szCs w:val="30"/>
          <w:highlight w:val="none"/>
          <w:lang w:val="en-US" w:eastAsia="zh-CN"/>
        </w:rPr>
        <w:t>2</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胶塞</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八</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390940504"/>
      <w:bookmarkStart w:id="3" w:name="_Toc109736025"/>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胶塞</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4790"/>
      <w:bookmarkStart w:id="8" w:name="_Toc6492"/>
      <w:r>
        <w:rPr>
          <w:rFonts w:hint="eastAsia" w:ascii="宋体" w:hAnsi="宋体" w:cs="宋体"/>
          <w:szCs w:val="21"/>
          <w:highlight w:val="none"/>
        </w:rPr>
        <w:t>（招标编号：</w:t>
      </w:r>
      <w:r>
        <w:rPr>
          <w:rFonts w:hint="eastAsia" w:ascii="宋体" w:hAnsi="宋体" w:cs="宋体"/>
          <w:szCs w:val="21"/>
          <w:highlight w:val="none"/>
          <w:lang w:val="en-US" w:eastAsia="zh-CN"/>
        </w:rPr>
        <w:t>WKZB-2025-022</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24469"/>
      <w:bookmarkStart w:id="10" w:name="_Toc8276"/>
      <w:bookmarkStart w:id="11" w:name="_Toc598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胶塞</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6931"/>
      <w:bookmarkStart w:id="13" w:name="_Toc10698"/>
      <w:bookmarkStart w:id="14" w:name="_Toc28608"/>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szCs w:val="21"/>
          <w:highlight w:val="none"/>
          <w:lang w:val="en-US" w:bidi="zh-CN"/>
        </w:rPr>
        <w:t>胶塞 1台。</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(001)国药集团扬州威克生物工程有限公司</w:t>
      </w:r>
      <w:r>
        <w:rPr>
          <w:rFonts w:hint="eastAsia" w:ascii="宋体" w:hAnsi="宋体" w:cs="宋体"/>
          <w:szCs w:val="21"/>
          <w:highlight w:val="none"/>
          <w:lang w:val="en-US" w:bidi="zh-CN"/>
        </w:rPr>
        <w:t>胶塞</w:t>
      </w:r>
      <w:r>
        <w:rPr>
          <w:rFonts w:hint="eastAsia" w:ascii="宋体" w:hAnsi="宋体" w:cs="宋体"/>
          <w:szCs w:val="21"/>
          <w:highlight w:val="none"/>
          <w:lang w:val="zh-CN" w:bidi="zh-CN"/>
        </w:rPr>
        <w:t xml:space="preserve">采购;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23826"/>
      <w:bookmarkStart w:id="16" w:name="_Toc15843"/>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胶塞</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4</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w:t>
      </w:r>
      <w:bookmarkStart w:id="484" w:name="_GoBack"/>
      <w:bookmarkEnd w:id="484"/>
      <w:r>
        <w:rPr>
          <w:rFonts w:hint="eastAsia" w:ascii="宋体" w:hAnsi="宋体" w:cs="宋体"/>
          <w:bCs/>
          <w:szCs w:val="21"/>
          <w:highlight w:val="none"/>
        </w:rPr>
        <w:t>前6个月内任意连续3个月已缴凭证）；</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31840"/>
      <w:bookmarkStart w:id="20" w:name="_Toc7377"/>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邮件或电话另行通知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7374"/>
      <w:bookmarkStart w:id="27" w:name="_Toc11141"/>
      <w:bookmarkStart w:id="28" w:name="_Toc21387"/>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商入围胶塞项目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24185"/>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390940505"/>
      <w:bookmarkStart w:id="37" w:name="_Toc152045527"/>
      <w:bookmarkStart w:id="38" w:name="_Toc25653"/>
      <w:bookmarkStart w:id="39" w:name="_Toc233102490"/>
      <w:bookmarkStart w:id="40" w:name="_Toc152042303"/>
      <w:bookmarkStart w:id="41" w:name="_Toc179632544"/>
      <w:bookmarkStart w:id="42" w:name="_Toc144974495"/>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33102491"/>
      <w:bookmarkStart w:id="44" w:name="_Toc109736027"/>
      <w:bookmarkStart w:id="45" w:name="_Toc152045528"/>
      <w:bookmarkStart w:id="46" w:name="_Toc20399"/>
      <w:bookmarkStart w:id="47" w:name="_Toc390940506"/>
      <w:bookmarkStart w:id="48" w:name="_Toc179632545"/>
      <w:bookmarkStart w:id="49" w:name="_Toc144974496"/>
      <w:bookmarkStart w:id="50" w:name="_Toc152042304"/>
      <w:bookmarkStart w:id="51" w:name="_Toc18804"/>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4</w:t>
            </w:r>
            <w:r>
              <w:rPr>
                <w:rFonts w:hint="eastAsia"/>
                <w:highlight w:val="none"/>
              </w:rPr>
              <w:t>年年度经会计师事务所审计财务报表，含资</w:t>
            </w:r>
          </w:p>
          <w:p>
            <w:pPr>
              <w:spacing w:line="360" w:lineRule="auto"/>
              <w:rPr>
                <w:rFonts w:hint="eastAsia"/>
                <w:highlight w:val="none"/>
              </w:rPr>
            </w:pPr>
            <w:r>
              <w:rPr>
                <w:rFonts w:hint="eastAsia"/>
                <w:highlight w:val="none"/>
              </w:rPr>
              <w:t>产负债表、损益表（利润表）、现金流量表，有依法缴纳税收和社会</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w:t>
            </w:r>
          </w:p>
          <w:p>
            <w:pPr>
              <w:spacing w:line="320" w:lineRule="exact"/>
              <w:rPr>
                <w:rFonts w:hint="eastAsia" w:ascii="宋体" w:hAnsi="宋体"/>
                <w:szCs w:val="21"/>
                <w:highlight w:val="none"/>
              </w:rPr>
            </w:pPr>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highlight w:val="none"/>
                <w:lang w:val="en-US" w:eastAsia="zh-CN"/>
              </w:rPr>
              <w:t>1-2</w:t>
            </w:r>
            <w:r>
              <w:rPr>
                <w:rFonts w:hint="eastAsia"/>
                <w:highlight w:val="none"/>
              </w:rPr>
              <w:t>家供应商，以实际订单为准。</w:t>
            </w:r>
          </w:p>
          <w:p>
            <w:pPr>
              <w:spacing w:line="360" w:lineRule="auto"/>
              <w:rPr>
                <w:rFonts w:hint="eastAsia"/>
                <w:highlight w:val="none"/>
              </w:rPr>
            </w:pPr>
            <w:r>
              <w:rPr>
                <w:rFonts w:hint="eastAsia"/>
                <w:highlight w:val="none"/>
              </w:rPr>
              <w:t>2、付款方式：参照合同。</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520356143"/>
      <w:bookmarkStart w:id="53" w:name="_Toc216582805"/>
      <w:bookmarkStart w:id="54" w:name="_Toc109736028"/>
      <w:bookmarkStart w:id="55" w:name="_Toc152045529"/>
      <w:bookmarkStart w:id="56" w:name="_Toc144974497"/>
      <w:bookmarkStart w:id="57" w:name="_Toc179632546"/>
      <w:bookmarkStart w:id="58" w:name="_Toc152042305"/>
      <w:bookmarkStart w:id="59" w:name="_Toc233102492"/>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109736029"/>
      <w:bookmarkStart w:id="62" w:name="_Toc27571"/>
      <w:bookmarkStart w:id="63" w:name="_Toc17941"/>
      <w:bookmarkStart w:id="64" w:name="_Toc520356144"/>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29658"/>
      <w:bookmarkStart w:id="66" w:name="_Toc109736030"/>
      <w:bookmarkStart w:id="67" w:name="_Toc541"/>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520356145"/>
      <w:bookmarkStart w:id="70" w:name="_Toc30223"/>
      <w:bookmarkStart w:id="71" w:name="_Toc20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47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810"/>
      <w:bookmarkStart w:id="76" w:name="_Toc109736033"/>
      <w:bookmarkStart w:id="77" w:name="_Toc520356146"/>
      <w:bookmarkStart w:id="78" w:name="_Toc21658280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109736034"/>
      <w:bookmarkStart w:id="80" w:name="_Toc520356147"/>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520356148"/>
      <w:bookmarkStart w:id="82" w:name="_Toc109736035"/>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Toc520356149"/>
      <w:bookmarkStart w:id="84" w:name="_Ref467378678"/>
      <w:bookmarkStart w:id="85" w:name="_Toc109736036"/>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109736037"/>
      <w:bookmarkStart w:id="90" w:name="_Toc8001"/>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16367021"/>
      <w:bookmarkStart w:id="92" w:name="_Toc52035615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Ref467306195"/>
      <w:bookmarkStart w:id="95" w:name="_Ref467306676"/>
      <w:bookmarkStart w:id="96" w:name="_Toc516367022"/>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109736041"/>
      <w:bookmarkStart w:id="107" w:name="_Toc520356155"/>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Toc109736042"/>
      <w:bookmarkStart w:id="109" w:name="_Ref467306513"/>
      <w:bookmarkStart w:id="110" w:name="_Toc520356156"/>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216582808"/>
      <w:bookmarkStart w:id="118" w:name="_Toc520356159"/>
      <w:bookmarkStart w:id="119" w:name="_Toc109736045"/>
      <w:bookmarkStart w:id="120" w:name="_Toc23629"/>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109736046"/>
      <w:bookmarkStart w:id="122" w:name="_Toc520356160"/>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520356161"/>
      <w:bookmarkStart w:id="124" w:name="_Toc109736047"/>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109736048"/>
      <w:bookmarkStart w:id="126" w:name="_Toc520356162"/>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520356163"/>
      <w:bookmarkStart w:id="128" w:name="_Toc23762"/>
      <w:bookmarkStart w:id="129" w:name="_Toc109736049"/>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216582810"/>
      <w:bookmarkStart w:id="143" w:name="_Toc690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Ref467306874"/>
      <w:bookmarkStart w:id="151" w:name="_Toc520356173"/>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520356175"/>
      <w:bookmarkStart w:id="156" w:name="_Ref467307204"/>
      <w:bookmarkStart w:id="157" w:name="_Toc109736060"/>
      <w:bookmarkStart w:id="158" w:name="_Ref467306978"/>
      <w:bookmarkStart w:id="159" w:name="_Ref467306377"/>
      <w:bookmarkStart w:id="160" w:name="_Ref467307062"/>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Ref467306425"/>
      <w:bookmarkStart w:id="162" w:name="_Toc520356176"/>
      <w:bookmarkStart w:id="163" w:name="_Ref467307090"/>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1185"/>
      <w:bookmarkStart w:id="170" w:name="_Toc10973606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Ref467379101"/>
      <w:bookmarkStart w:id="172" w:name="_Ref467379214"/>
      <w:bookmarkStart w:id="173" w:name="_Toc487900349"/>
      <w:bookmarkStart w:id="174" w:name="_Ref467378404"/>
      <w:bookmarkStart w:id="175" w:name="_Ref467379205"/>
      <w:bookmarkStart w:id="176" w:name="_Ref467379109"/>
      <w:bookmarkStart w:id="177" w:name="_Ref467379225"/>
      <w:bookmarkStart w:id="178" w:name="_Ref467378499"/>
      <w:bookmarkStart w:id="179" w:name="_Ref467379195"/>
      <w:bookmarkStart w:id="180" w:name="_Ref467378463"/>
      <w:bookmarkStart w:id="181" w:name="_Toc415222497"/>
      <w:bookmarkStart w:id="182" w:name="_Ref467379094"/>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10889"/>
      <w:bookmarkStart w:id="189" w:name="_Toc415222498"/>
      <w:bookmarkStart w:id="190" w:name="_Toc31740"/>
      <w:bookmarkStart w:id="191" w:name="_Toc487900350"/>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415222499"/>
      <w:bookmarkStart w:id="193" w:name="_Toc2425"/>
      <w:bookmarkStart w:id="194" w:name="_Toc487900351"/>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4693"/>
      <w:bookmarkStart w:id="197" w:name="_Toc487900352"/>
      <w:bookmarkStart w:id="198" w:name="_Toc415222500"/>
      <w:bookmarkStart w:id="199" w:name="_Toc18031"/>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15222501"/>
      <w:bookmarkStart w:id="201" w:name="_Toc1323"/>
      <w:bookmarkStart w:id="202" w:name="_Toc17967"/>
      <w:bookmarkStart w:id="203" w:name="_Toc487900353"/>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8541"/>
      <w:bookmarkStart w:id="205" w:name="_Toc11864"/>
      <w:bookmarkStart w:id="206" w:name="_Ref467379536"/>
      <w:bookmarkStart w:id="207" w:name="_Toc415222502"/>
      <w:bookmarkStart w:id="208" w:name="_Ref467378591"/>
      <w:bookmarkStart w:id="209" w:name="_Toc18715"/>
      <w:bookmarkStart w:id="210" w:name="_Toc487900354"/>
      <w:bookmarkStart w:id="211" w:name="_Ref467379527"/>
      <w:bookmarkStart w:id="212" w:name="_Ref467379542"/>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6625"/>
      <w:bookmarkStart w:id="216" w:name="_Toc487900355"/>
      <w:bookmarkStart w:id="217" w:name="_Toc415222503"/>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26337"/>
      <w:bookmarkStart w:id="219" w:name="_Ref467379807"/>
      <w:bookmarkStart w:id="220" w:name="_Toc487900357"/>
      <w:bookmarkStart w:id="221" w:name="_Toc415222504"/>
      <w:bookmarkStart w:id="222" w:name="_Toc15361"/>
      <w:bookmarkStart w:id="223" w:name="_Ref467379793"/>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Ref467379863"/>
      <w:bookmarkStart w:id="225" w:name="_Toc415222505"/>
      <w:bookmarkStart w:id="226" w:name="_Toc6588"/>
      <w:bookmarkStart w:id="227" w:name="_Toc1380"/>
      <w:bookmarkStart w:id="228" w:name="_Ref467379923"/>
      <w:bookmarkStart w:id="229" w:name="_Toc487900358"/>
      <w:bookmarkStart w:id="230" w:name="_Ref467379852"/>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Toc487900359"/>
      <w:bookmarkStart w:id="232" w:name="_Toc28649"/>
      <w:bookmarkStart w:id="233" w:name="_Ref467379946"/>
      <w:bookmarkStart w:id="234" w:name="_Ref467377798"/>
      <w:bookmarkStart w:id="235" w:name="_Ref467377962"/>
      <w:bookmarkStart w:id="236" w:name="_Toc415222506"/>
      <w:bookmarkStart w:id="237" w:name="_Ref467379937"/>
      <w:bookmarkStart w:id="238" w:name="_Toc15447"/>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415222507"/>
      <w:bookmarkStart w:id="242" w:name="_Toc7155"/>
      <w:bookmarkStart w:id="243" w:name="_Toc1131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15222508"/>
      <w:bookmarkStart w:id="245" w:name="_Toc21509"/>
      <w:bookmarkStart w:id="246" w:name="_Toc487900361"/>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15086"/>
      <w:bookmarkStart w:id="251" w:name="_Toc487900362"/>
      <w:bookmarkStart w:id="252" w:name="_Toc31482"/>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487900363"/>
      <w:bookmarkStart w:id="255" w:name="_Toc415222510"/>
      <w:bookmarkStart w:id="256" w:name="_Toc3725"/>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15222511"/>
      <w:bookmarkStart w:id="258" w:name="_Toc6322"/>
      <w:bookmarkStart w:id="259" w:name="_Ref467378121"/>
      <w:bookmarkStart w:id="260" w:name="_Toc22040"/>
      <w:bookmarkStart w:id="261" w:name="_Toc487900364"/>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15222512"/>
      <w:bookmarkStart w:id="263" w:name="_Toc1755"/>
      <w:bookmarkStart w:id="264" w:name="_Toc487900365"/>
      <w:bookmarkStart w:id="265" w:name="_Toc29320"/>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21788"/>
      <w:bookmarkStart w:id="269" w:name="_Toc415222513"/>
      <w:bookmarkStart w:id="270" w:name="_Toc17669"/>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9543"/>
      <w:bookmarkStart w:id="272" w:name="_Toc487900367"/>
      <w:bookmarkStart w:id="273" w:name="_Toc415222514"/>
      <w:bookmarkStart w:id="274" w:name="_Toc16231"/>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2065"/>
      <w:bookmarkStart w:id="277" w:name="_Toc487900368"/>
      <w:bookmarkStart w:id="278" w:name="_Toc23904"/>
      <w:bookmarkStart w:id="279" w:name="_Toc415222515"/>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87900369"/>
      <w:bookmarkStart w:id="281" w:name="_Toc415222516"/>
      <w:bookmarkStart w:id="282" w:name="_Toc10385"/>
      <w:bookmarkStart w:id="283" w:name="_Toc2972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13194"/>
      <w:bookmarkStart w:id="286" w:name="_Toc415222517"/>
      <w:bookmarkStart w:id="287" w:name="_Toc487900370"/>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14345"/>
      <w:bookmarkStart w:id="289" w:name="_Toc415222518"/>
      <w:bookmarkStart w:id="290" w:name="_Toc487900371"/>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30523"/>
      <w:bookmarkStart w:id="293" w:name="_Toc415222519"/>
      <w:bookmarkStart w:id="294" w:name="_Toc27508"/>
      <w:bookmarkStart w:id="295" w:name="_Toc487900372"/>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3747"/>
      <w:bookmarkStart w:id="297" w:name="_Toc487900373"/>
      <w:bookmarkStart w:id="298" w:name="_Toc415222520"/>
      <w:bookmarkStart w:id="299" w:name="_Toc28567"/>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5896"/>
      <w:bookmarkStart w:id="301" w:name="_Toc415222521"/>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31958"/>
      <w:bookmarkStart w:id="305" w:name="_Toc26939"/>
      <w:bookmarkStart w:id="306" w:name="_Toc415222522"/>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8935339"/>
      <w:bookmarkStart w:id="308" w:name="_Toc216513786"/>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109736066"/>
      <w:bookmarkStart w:id="311" w:name="_Toc4088"/>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7454"/>
      <w:bookmarkStart w:id="314" w:name="_Toc220229326"/>
      <w:bookmarkStart w:id="315" w:name="_Toc15903"/>
      <w:bookmarkStart w:id="316" w:name="_Toc218935352"/>
      <w:bookmarkStart w:id="317" w:name="_Toc220229431"/>
      <w:bookmarkStart w:id="318" w:name="_Toc219175636"/>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19863"/>
      <w:bookmarkStart w:id="320" w:name="_Toc7540"/>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25119"/>
      <w:bookmarkStart w:id="322" w:name="_Toc8396"/>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13500"/>
      <w:bookmarkStart w:id="324" w:name="_Toc22189"/>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18819"/>
      <w:bookmarkStart w:id="326" w:name="_Toc888"/>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7674"/>
      <w:bookmarkStart w:id="328" w:name="_Toc30466"/>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eastAsia" w:ascii="宋体" w:hAnsi="宋体"/>
          <w:szCs w:val="21"/>
          <w:highlight w:val="none"/>
        </w:rPr>
      </w:pPr>
      <w:r>
        <w:rPr>
          <w:rFonts w:hint="eastAsia" w:ascii="宋体" w:hAnsi="宋体"/>
          <w:szCs w:val="21"/>
          <w:highlight w:val="none"/>
        </w:rPr>
        <w:t>6.1　本合同项下的货物交货方式为：适用合同条款6.1.1 现场交货；</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 xml:space="preserve">8、付款条件： </w:t>
      </w:r>
      <w:r>
        <w:rPr>
          <w:rFonts w:hint="eastAsia" w:ascii="宋体" w:hAnsi="宋体"/>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415222523"/>
      <w:bookmarkStart w:id="332" w:name="_Toc109736068"/>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216582813"/>
      <w:bookmarkStart w:id="339" w:name="_Toc5329"/>
      <w:bookmarkStart w:id="340" w:name="_Toc109736069"/>
      <w:bookmarkStart w:id="341" w:name="_Toc415222524"/>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520356218"/>
      <w:bookmarkStart w:id="346" w:name="_Toc415222525"/>
      <w:bookmarkStart w:id="347" w:name="_Toc480942350"/>
      <w:bookmarkStart w:id="348" w:name="_Ref467988705"/>
      <w:bookmarkStart w:id="349" w:name="_Toc216582814"/>
      <w:bookmarkStart w:id="350" w:name="_Toc29788"/>
      <w:bookmarkStart w:id="351" w:name="_Toc10973607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WKZB-2025-022</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3425"/>
        <w:gridCol w:w="1608"/>
        <w:gridCol w:w="1608"/>
        <w:gridCol w:w="1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24" w:type="pct"/>
            <w:vAlign w:val="center"/>
          </w:tcPr>
          <w:p>
            <w:pPr>
              <w:spacing w:line="380" w:lineRule="exact"/>
              <w:jc w:val="center"/>
              <w:rPr>
                <w:rFonts w:ascii="仿宋" w:hAnsi="仿宋" w:eastAsia="仿宋" w:cs="仿宋"/>
                <w:sz w:val="24"/>
                <w:highlight w:val="none"/>
              </w:rPr>
            </w:pPr>
          </w:p>
        </w:tc>
        <w:tc>
          <w:tcPr>
            <w:tcW w:w="177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规格型号</w:t>
            </w:r>
          </w:p>
        </w:tc>
        <w:tc>
          <w:tcPr>
            <w:tcW w:w="83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/枚</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38"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4"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胶塞</w:t>
            </w:r>
            <w:r>
              <w:rPr>
                <w:rFonts w:hint="default" w:ascii="仿宋" w:hAnsi="仿宋" w:eastAsia="仿宋" w:cs="仿宋"/>
                <w:sz w:val="24"/>
                <w:highlight w:val="none"/>
                <w:lang w:val="en-US" w:eastAsia="zh-CN"/>
              </w:rPr>
              <w:t xml:space="preserve"> </w:t>
            </w:r>
          </w:p>
        </w:tc>
        <w:tc>
          <w:tcPr>
            <w:tcW w:w="1772"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丁基胶塞(四叉</w:t>
            </w:r>
            <w:r>
              <w:rPr>
                <w:rFonts w:hint="eastAsia" w:ascii="仿宋" w:hAnsi="仿宋" w:eastAsia="仿宋" w:cs="仿宋"/>
                <w:sz w:val="24"/>
                <w:highlight w:val="none"/>
                <w:lang w:val="en-US" w:eastAsia="zh-CN"/>
              </w:rPr>
              <w:t>，非免洗</w:t>
            </w:r>
            <w:r>
              <w:rPr>
                <w:rFonts w:hint="default" w:ascii="仿宋" w:hAnsi="仿宋" w:eastAsia="仿宋" w:cs="仿宋"/>
                <w:sz w:val="24"/>
                <w:highlight w:val="none"/>
                <w:lang w:val="en-US" w:eastAsia="zh-CN"/>
              </w:rPr>
              <w:t>)/20</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38"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4"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胶塞</w:t>
            </w:r>
            <w:r>
              <w:rPr>
                <w:rFonts w:hint="default" w:ascii="仿宋" w:hAnsi="仿宋" w:eastAsia="仿宋" w:cs="仿宋"/>
                <w:sz w:val="24"/>
                <w:highlight w:val="none"/>
                <w:lang w:val="en-US" w:eastAsia="zh-CN"/>
              </w:rPr>
              <w:t xml:space="preserve"> </w:t>
            </w:r>
          </w:p>
        </w:tc>
        <w:tc>
          <w:tcPr>
            <w:tcW w:w="1772"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丁基胶塞(四叉</w:t>
            </w:r>
            <w:r>
              <w:rPr>
                <w:rFonts w:hint="eastAsia" w:ascii="仿宋" w:hAnsi="仿宋" w:eastAsia="仿宋" w:cs="仿宋"/>
                <w:sz w:val="24"/>
                <w:highlight w:val="none"/>
                <w:lang w:val="en-US" w:eastAsia="zh-CN"/>
              </w:rPr>
              <w:t>，免洗</w:t>
            </w:r>
            <w:r>
              <w:rPr>
                <w:rFonts w:hint="default" w:ascii="仿宋" w:hAnsi="仿宋" w:eastAsia="仿宋" w:cs="仿宋"/>
                <w:sz w:val="24"/>
                <w:highlight w:val="none"/>
                <w:lang w:val="en-US" w:eastAsia="zh-CN"/>
              </w:rPr>
              <w:t>)/20</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38"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4"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胶塞</w:t>
            </w:r>
          </w:p>
        </w:tc>
        <w:tc>
          <w:tcPr>
            <w:tcW w:w="1772"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丁腈胶塞/28</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38"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24" w:type="pct"/>
            <w:tcBorders>
              <w:bottom w:val="single" w:color="auto" w:sz="4" w:space="0"/>
              <w:right w:val="single" w:color="auto" w:sz="4" w:space="0"/>
            </w:tcBorders>
            <w:vAlign w:val="center"/>
          </w:tcPr>
          <w:p>
            <w:pPr>
              <w:spacing w:line="400" w:lineRule="exact"/>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胶塞</w:t>
            </w:r>
          </w:p>
        </w:tc>
        <w:tc>
          <w:tcPr>
            <w:tcW w:w="1772" w:type="pct"/>
            <w:tcBorders>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default" w:ascii="仿宋" w:hAnsi="仿宋" w:eastAsia="仿宋" w:cs="仿宋"/>
                <w:sz w:val="24"/>
                <w:highlight w:val="none"/>
                <w:lang w:val="en-US" w:eastAsia="zh-CN"/>
              </w:rPr>
              <w:t>丁腈胶塞/20</w:t>
            </w:r>
          </w:p>
        </w:tc>
        <w:tc>
          <w:tcPr>
            <w:tcW w:w="832" w:type="pct"/>
            <w:tcBorders>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38"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109736072"/>
      <w:bookmarkStart w:id="353" w:name="_Toc216582818"/>
      <w:bookmarkStart w:id="354"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WKZB-2025-022</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3</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216582817"/>
      <w:bookmarkStart w:id="359" w:name="_Toc415222528"/>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WKZB-2025-022</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216582819"/>
      <w:bookmarkStart w:id="364" w:name="_Toc13093"/>
      <w:bookmarkStart w:id="365" w:name="_Toc415222530"/>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4065"/>
      <w:bookmarkEnd w:id="369"/>
      <w:bookmarkStart w:id="370" w:name="_Hlt520274407"/>
      <w:bookmarkEnd w:id="370"/>
      <w:bookmarkStart w:id="371" w:name="_Hlt520273973"/>
      <w:bookmarkEnd w:id="371"/>
      <w:bookmarkStart w:id="372" w:name="_Hlt520274121"/>
      <w:bookmarkEnd w:id="372"/>
      <w:bookmarkStart w:id="373" w:name="_Hlt520350918"/>
      <w:bookmarkEnd w:id="373"/>
      <w:bookmarkStart w:id="374" w:name="_Hlt520274393"/>
      <w:bookmarkEnd w:id="374"/>
      <w:bookmarkStart w:id="375" w:name="_Hlt520273711"/>
      <w:bookmarkEnd w:id="375"/>
      <w:bookmarkStart w:id="376" w:name="_Hlt520343000"/>
      <w:bookmarkEnd w:id="376"/>
      <w:bookmarkStart w:id="377" w:name="_Hlt520350957"/>
      <w:bookmarkEnd w:id="377"/>
      <w:bookmarkStart w:id="378" w:name="_Hlt520343392"/>
      <w:bookmarkEnd w:id="378"/>
      <w:bookmarkStart w:id="379" w:name="_Hlt520271212"/>
      <w:bookmarkEnd w:id="379"/>
      <w:bookmarkStart w:id="380" w:name="_Toc2581"/>
      <w:bookmarkStart w:id="381" w:name="_Toc520125061"/>
      <w:bookmarkStart w:id="382" w:name="_Toc520125062"/>
      <w:bookmarkStart w:id="383" w:name="_Ref467988485"/>
      <w:bookmarkStart w:id="384" w:name="_Toc520356228"/>
      <w:bookmarkStart w:id="385" w:name="_Ref467990064"/>
      <w:bookmarkStart w:id="386" w:name="_Toc480942358"/>
      <w:bookmarkStart w:id="387" w:name="_Ref467990100"/>
      <w:bookmarkStart w:id="388" w:name="_Ref467990101"/>
      <w:bookmarkStart w:id="389" w:name="_Toc480942357"/>
      <w:bookmarkStart w:id="390" w:name="_Ref467988479"/>
      <w:bookmarkStart w:id="391" w:name="_Toc520356229"/>
      <w:bookmarkStart w:id="392" w:name="_Ref467990058"/>
      <w:bookmarkStart w:id="393" w:name="_Ref467988471"/>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77685377"/>
      <w:bookmarkStart w:id="399" w:name="_Toc25918"/>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胶塞</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WKZB-2025-022</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8935355"/>
      <w:bookmarkStart w:id="406" w:name="_Toc220229434"/>
      <w:bookmarkStart w:id="407" w:name="_Toc219175639"/>
      <w:bookmarkStart w:id="408" w:name="_Toc216582826"/>
      <w:bookmarkStart w:id="409" w:name="_Toc109736075"/>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109736076"/>
      <w:bookmarkStart w:id="414" w:name="_Toc24902"/>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lang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根据对付款条件的响应，最优得6分，第二得4分，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根据投标货物近三年在中国境内向同行业供货同类产品的销售业绩情况，每一项类似业绩得1分，最高得5分（须提供项目合同等相关证明材料）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根据标书提供的财务情况、企业基本情况等综合评价，综合实力最高得5分，第二名得4分，以此类推。</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4分，每缺1个内容扣1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4</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bidi w:val="0"/>
        <w:rPr>
          <w:rFonts w:hint="eastAsia" w:ascii="Times New Roman" w:hAnsi="Times New Roman" w:eastAsia="宋体" w:cs="Times New Roman"/>
          <w:kern w:val="2"/>
          <w:sz w:val="21"/>
          <w:szCs w:val="24"/>
          <w:lang w:val="en-US" w:eastAsia="zh-CN" w:bidi="ar-SA"/>
        </w:rPr>
      </w:pPr>
    </w:p>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fr-FR" w:eastAsia="zh-CN" w:bidi="ar-SA"/>
        </w:rPr>
      </w:pPr>
      <w:bookmarkStart w:id="415" w:name="_Toc18725"/>
      <w:bookmarkStart w:id="416" w:name="_Toc1561"/>
      <w:bookmarkStart w:id="417" w:name="_Toc61418267"/>
      <w:bookmarkStart w:id="418" w:name="_Toc188181412"/>
      <w:r>
        <w:rPr>
          <w:rFonts w:hint="eastAsia" w:ascii="Times New Roman" w:hAnsi="Times New Roman" w:eastAsia="宋体" w:cs="Times New Roman"/>
          <w:b/>
          <w:caps/>
          <w:kern w:val="28"/>
          <w:sz w:val="30"/>
          <w:lang w:val="fr-FR" w:eastAsia="zh-CN" w:bidi="ar-SA"/>
        </w:rPr>
        <w:t>目的</w:t>
      </w:r>
      <w:bookmarkEnd w:id="415"/>
      <w:bookmarkEnd w:id="416"/>
    </w:p>
    <w:bookmarkEnd w:id="417"/>
    <w:bookmarkEnd w:id="418"/>
    <w:p>
      <w:pPr>
        <w:widowControl/>
        <w:spacing w:before="156" w:beforeLines="50"/>
        <w:jc w:val="left"/>
        <w:rPr>
          <w:rFonts w:hint="eastAsia" w:ascii="宋体" w:hAnsi="宋体" w:eastAsia="宋体" w:cs="Times New Roman"/>
          <w:kern w:val="0"/>
          <w:sz w:val="20"/>
          <w:szCs w:val="20"/>
          <w:lang w:val="fr-FR"/>
        </w:rPr>
      </w:pPr>
      <w:bookmarkStart w:id="419" w:name="_Hlk528847756"/>
      <w:bookmarkStart w:id="420" w:name="_Toc28598"/>
      <w:r>
        <w:rPr>
          <w:rFonts w:ascii="宋体" w:hAnsi="宋体" w:eastAsia="宋体" w:cs="Times New Roman"/>
          <w:kern w:val="0"/>
          <w:sz w:val="20"/>
          <w:szCs w:val="20"/>
          <w:lang w:val="fr-FR"/>
        </w:rPr>
        <w:t>本</w:t>
      </w:r>
      <w:r>
        <w:rPr>
          <w:rFonts w:hint="eastAsia" w:ascii="宋体" w:hAnsi="宋体" w:eastAsia="宋体" w:cs="Times New Roman"/>
          <w:kern w:val="0"/>
          <w:sz w:val="20"/>
          <w:szCs w:val="20"/>
          <w:lang w:val="fr-FR"/>
        </w:rPr>
        <w:t>URS</w:t>
      </w:r>
      <w:r>
        <w:rPr>
          <w:rFonts w:ascii="宋体" w:hAnsi="宋体" w:eastAsia="宋体" w:cs="Times New Roman"/>
          <w:kern w:val="0"/>
          <w:sz w:val="20"/>
          <w:szCs w:val="20"/>
          <w:lang w:val="fr-FR"/>
        </w:rPr>
        <w:t>文件旨在以文件的形式描述</w:t>
      </w:r>
      <w:r>
        <w:rPr>
          <w:rFonts w:hint="eastAsia" w:ascii="宋体" w:hAnsi="宋体" w:eastAsia="宋体" w:cs="Times New Roman"/>
          <w:kern w:val="0"/>
          <w:sz w:val="20"/>
          <w:szCs w:val="20"/>
          <w:lang w:val="en-US"/>
        </w:rPr>
        <w:t>我公司生物制品成品包装用胶塞</w:t>
      </w:r>
      <w:r>
        <w:rPr>
          <w:rFonts w:ascii="宋体" w:hAnsi="宋体" w:eastAsia="宋体" w:cs="Times New Roman"/>
          <w:kern w:val="0"/>
          <w:sz w:val="20"/>
          <w:szCs w:val="20"/>
          <w:lang w:val="fr-FR"/>
        </w:rPr>
        <w:t>的需</w:t>
      </w:r>
      <w:r>
        <w:rPr>
          <w:rFonts w:hint="eastAsia" w:ascii="宋体" w:hAnsi="宋体" w:eastAsia="宋体" w:cs="Times New Roman"/>
          <w:kern w:val="0"/>
          <w:sz w:val="20"/>
          <w:szCs w:val="20"/>
          <w:lang w:val="en-US"/>
        </w:rPr>
        <w:t>求</w:t>
      </w:r>
      <w:r>
        <w:rPr>
          <w:rFonts w:ascii="宋体" w:hAnsi="宋体" w:eastAsia="宋体" w:cs="Times New Roman"/>
          <w:kern w:val="0"/>
          <w:sz w:val="20"/>
          <w:szCs w:val="20"/>
          <w:lang w:val="fr-FR"/>
        </w:rPr>
        <w:t>。包括</w:t>
      </w:r>
      <w:r>
        <w:rPr>
          <w:rFonts w:hint="eastAsia" w:ascii="宋体" w:hAnsi="宋体" w:eastAsia="宋体" w:cs="Times New Roman"/>
          <w:kern w:val="0"/>
          <w:sz w:val="20"/>
          <w:szCs w:val="20"/>
          <w:lang w:val="en-US"/>
        </w:rPr>
        <w:t>硬度</w:t>
      </w:r>
      <w:r>
        <w:rPr>
          <w:rFonts w:ascii="宋体" w:hAnsi="宋体" w:eastAsia="宋体" w:cs="Times New Roman"/>
          <w:kern w:val="0"/>
          <w:sz w:val="20"/>
          <w:szCs w:val="20"/>
          <w:lang w:val="fr-FR"/>
        </w:rPr>
        <w:t>、</w:t>
      </w:r>
      <w:r>
        <w:rPr>
          <w:rFonts w:hint="eastAsia" w:ascii="宋体" w:hAnsi="宋体" w:eastAsia="宋体" w:cs="Times New Roman"/>
          <w:kern w:val="0"/>
          <w:sz w:val="20"/>
          <w:szCs w:val="20"/>
          <w:lang w:val="en-US"/>
        </w:rPr>
        <w:t>针刺落屑</w:t>
      </w:r>
      <w:r>
        <w:rPr>
          <w:rFonts w:ascii="宋体" w:hAnsi="宋体" w:eastAsia="宋体" w:cs="Times New Roman"/>
          <w:kern w:val="0"/>
          <w:sz w:val="20"/>
          <w:szCs w:val="20"/>
          <w:lang w:val="fr-FR"/>
        </w:rPr>
        <w:t>、</w:t>
      </w:r>
      <w:r>
        <w:rPr>
          <w:rFonts w:hint="eastAsia" w:ascii="宋体" w:hAnsi="宋体" w:eastAsia="宋体" w:cs="Times New Roman"/>
          <w:kern w:val="0"/>
          <w:sz w:val="20"/>
          <w:szCs w:val="20"/>
          <w:lang w:val="en-US"/>
        </w:rPr>
        <w:t>穿刺力</w:t>
      </w:r>
      <w:r>
        <w:rPr>
          <w:rFonts w:ascii="宋体" w:hAnsi="宋体" w:eastAsia="宋体" w:cs="Times New Roman"/>
          <w:kern w:val="0"/>
          <w:sz w:val="20"/>
          <w:szCs w:val="20"/>
          <w:lang w:val="fr-FR"/>
        </w:rPr>
        <w:t>、</w:t>
      </w:r>
      <w:bookmarkStart w:id="421" w:name="_Toc18726"/>
      <w:bookmarkStart w:id="422" w:name="_Toc1994"/>
      <w:bookmarkStart w:id="423" w:name="_Toc11643"/>
      <w:bookmarkStart w:id="424" w:name="_Toc19107"/>
      <w:r>
        <w:rPr>
          <w:rFonts w:hint="eastAsia" w:ascii="Times New Roman" w:hAnsi="Times New Roman" w:eastAsia="宋体" w:cs="Times New Roman"/>
          <w:kern w:val="0"/>
          <w:sz w:val="20"/>
          <w:szCs w:val="20"/>
          <w:lang w:val="en-GB"/>
        </w:rPr>
        <w:t>自密封性</w:t>
      </w:r>
      <w:bookmarkEnd w:id="421"/>
      <w:bookmarkEnd w:id="422"/>
      <w:bookmarkEnd w:id="423"/>
      <w:bookmarkEnd w:id="424"/>
      <w:r>
        <w:rPr>
          <w:rFonts w:ascii="宋体" w:hAnsi="宋体" w:eastAsia="宋体" w:cs="Times New Roman"/>
          <w:kern w:val="0"/>
          <w:sz w:val="20"/>
          <w:szCs w:val="20"/>
          <w:lang w:val="fr-FR"/>
        </w:rPr>
        <w:t>等方面</w:t>
      </w:r>
      <w:r>
        <w:rPr>
          <w:rFonts w:hint="eastAsia" w:ascii="宋体" w:hAnsi="宋体" w:eastAsia="宋体" w:cs="Times New Roman"/>
          <w:kern w:val="0"/>
          <w:sz w:val="20"/>
          <w:szCs w:val="20"/>
          <w:lang w:val="fr-FR"/>
        </w:rPr>
        <w:t>，</w:t>
      </w:r>
      <w:r>
        <w:rPr>
          <w:rFonts w:ascii="宋体" w:hAnsi="宋体" w:eastAsia="宋体" w:cs="Times New Roman"/>
          <w:kern w:val="0"/>
          <w:sz w:val="20"/>
          <w:szCs w:val="20"/>
          <w:lang w:val="fr-FR"/>
        </w:rPr>
        <w:t>是合同等商业行为后续技术、质量体系工作的基础</w:t>
      </w:r>
      <w:r>
        <w:rPr>
          <w:rFonts w:hint="eastAsia" w:ascii="宋体" w:hAnsi="宋体" w:eastAsia="宋体" w:cs="Times New Roman"/>
          <w:kern w:val="0"/>
          <w:sz w:val="20"/>
          <w:szCs w:val="20"/>
          <w:lang w:val="fr-FR"/>
        </w:rPr>
        <w:t>，并</w:t>
      </w:r>
      <w:r>
        <w:rPr>
          <w:rFonts w:ascii="宋体" w:hAnsi="宋体" w:eastAsia="宋体" w:cs="Times New Roman"/>
          <w:kern w:val="0"/>
          <w:sz w:val="20"/>
          <w:szCs w:val="20"/>
          <w:lang w:val="fr-FR"/>
        </w:rPr>
        <w:t>将作为</w:t>
      </w:r>
      <w:r>
        <w:rPr>
          <w:rFonts w:hint="eastAsia" w:ascii="宋体" w:hAnsi="宋体" w:eastAsia="宋体" w:cs="Times New Roman"/>
          <w:kern w:val="0"/>
          <w:sz w:val="20"/>
          <w:szCs w:val="20"/>
          <w:lang w:val="en-US"/>
        </w:rPr>
        <w:t>最后</w:t>
      </w:r>
      <w:r>
        <w:rPr>
          <w:rFonts w:ascii="宋体" w:hAnsi="宋体" w:eastAsia="宋体" w:cs="Times New Roman"/>
          <w:kern w:val="0"/>
          <w:sz w:val="20"/>
          <w:szCs w:val="20"/>
          <w:lang w:val="fr-FR"/>
        </w:rPr>
        <w:t>验收的依据。</w:t>
      </w:r>
      <w:r>
        <w:rPr>
          <w:rFonts w:hint="eastAsia" w:ascii="宋体" w:hAnsi="宋体" w:eastAsia="宋体" w:cs="Times New Roman"/>
          <w:kern w:val="0"/>
          <w:sz w:val="20"/>
          <w:szCs w:val="20"/>
          <w:lang w:val="fr-FR"/>
        </w:rPr>
        <w:t>以</w:t>
      </w:r>
      <w:r>
        <w:rPr>
          <w:rFonts w:ascii="宋体" w:hAnsi="宋体" w:eastAsia="宋体" w:cs="Times New Roman"/>
          <w:kern w:val="0"/>
          <w:sz w:val="20"/>
          <w:szCs w:val="20"/>
          <w:lang w:val="fr-FR"/>
        </w:rPr>
        <w:t>保证制造商所提供的产品符合我公司的所有要求。</w:t>
      </w:r>
    </w:p>
    <w:bookmarkEnd w:id="419"/>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fr-FR" w:eastAsia="zh-CN" w:bidi="ar-SA"/>
        </w:rPr>
      </w:pPr>
      <w:bookmarkStart w:id="425" w:name="_Toc716"/>
      <w:r>
        <w:rPr>
          <w:rFonts w:hint="eastAsia" w:ascii="Times New Roman" w:hAnsi="Times New Roman" w:eastAsia="宋体" w:cs="Times New Roman"/>
          <w:b/>
          <w:caps/>
          <w:kern w:val="28"/>
          <w:sz w:val="30"/>
          <w:lang w:val="en-US" w:eastAsia="zh-CN" w:bidi="ar-SA"/>
        </w:rPr>
        <w:t>范围</w:t>
      </w:r>
      <w:bookmarkEnd w:id="420"/>
      <w:bookmarkEnd w:id="425"/>
    </w:p>
    <w:p>
      <w:pPr>
        <w:widowControl/>
        <w:jc w:val="left"/>
        <w:rPr>
          <w:rFonts w:hint="eastAsia" w:ascii="Times New Roman" w:hAnsi="Times New Roman" w:eastAsia="宋体" w:cs="Times New Roman"/>
          <w:kern w:val="0"/>
          <w:sz w:val="20"/>
          <w:szCs w:val="20"/>
          <w:lang w:val="fr-FR"/>
        </w:rPr>
      </w:pPr>
      <w:bookmarkStart w:id="426" w:name="_Hlk528847449"/>
      <w:r>
        <w:rPr>
          <w:rFonts w:hint="eastAsia" w:ascii="Times New Roman" w:hAnsi="Times New Roman" w:eastAsia="宋体" w:cs="Times New Roman"/>
          <w:kern w:val="0"/>
          <w:sz w:val="20"/>
          <w:szCs w:val="20"/>
          <w:lang w:val="en-US"/>
        </w:rPr>
        <w:t>用于规定</w:t>
      </w:r>
      <w:r>
        <w:rPr>
          <w:rFonts w:hint="eastAsia" w:ascii="宋体" w:hAnsi="宋体" w:eastAsia="宋体" w:cs="Times New Roman"/>
          <w:kern w:val="0"/>
          <w:sz w:val="20"/>
          <w:szCs w:val="20"/>
          <w:lang w:val="en-US"/>
        </w:rPr>
        <w:t>我公司生物制品成品包装用所有胶塞的</w:t>
      </w:r>
      <w:r>
        <w:rPr>
          <w:rFonts w:hint="eastAsia" w:ascii="Times New Roman" w:hAnsi="Times New Roman" w:eastAsia="宋体" w:cs="Times New Roman"/>
          <w:kern w:val="0"/>
          <w:sz w:val="20"/>
          <w:szCs w:val="20"/>
          <w:lang w:val="en-US"/>
        </w:rPr>
        <w:t>质量标准</w:t>
      </w:r>
      <w:r>
        <w:rPr>
          <w:rFonts w:hint="eastAsia" w:ascii="Times New Roman" w:hAnsi="Times New Roman" w:eastAsia="宋体" w:cs="Times New Roman"/>
          <w:kern w:val="0"/>
          <w:sz w:val="20"/>
          <w:szCs w:val="20"/>
          <w:lang w:val="fr-FR"/>
        </w:rPr>
        <w:t>。</w:t>
      </w:r>
    </w:p>
    <w:bookmarkEnd w:id="426"/>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fr-FR" w:eastAsia="zh-CN" w:bidi="ar-SA"/>
        </w:rPr>
      </w:pPr>
      <w:bookmarkStart w:id="427" w:name="_Toc16805"/>
      <w:bookmarkStart w:id="428" w:name="_Toc26852"/>
      <w:r>
        <w:rPr>
          <w:rFonts w:hint="eastAsia" w:ascii="Times New Roman" w:hAnsi="Times New Roman" w:eastAsia="宋体" w:cs="Times New Roman"/>
          <w:b/>
          <w:caps/>
          <w:kern w:val="28"/>
          <w:sz w:val="30"/>
          <w:lang w:val="fr-FR" w:eastAsia="zh-CN" w:bidi="ar-SA"/>
        </w:rPr>
        <w:t>定义和缩略语</w:t>
      </w:r>
      <w:bookmarkEnd w:id="427"/>
      <w:bookmarkEnd w:id="428"/>
    </w:p>
    <w:tbl>
      <w:tblPr>
        <w:tblStyle w:val="5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093" w:type="dxa"/>
            <w:shd w:val="clear" w:color="auto" w:fill="D9D9D9"/>
            <w:noWrap w:val="0"/>
            <w:vAlign w:val="center"/>
          </w:tcPr>
          <w:p>
            <w:pPr>
              <w:widowControl/>
              <w:ind w:firstLine="160" w:firstLineChars="67"/>
              <w:jc w:val="center"/>
              <w:rPr>
                <w:rFonts w:ascii="宋体" w:hAnsi="宋体" w:eastAsia="宋体" w:cs="Times New Roman"/>
                <w:kern w:val="0"/>
                <w:sz w:val="24"/>
                <w:szCs w:val="24"/>
                <w:lang w:val="fr-FR"/>
              </w:rPr>
            </w:pPr>
            <w:bookmarkStart w:id="429" w:name="_Hlk528847918"/>
            <w:r>
              <w:rPr>
                <w:rFonts w:ascii="宋体" w:hAnsi="宋体" w:eastAsia="宋体" w:cs="Times New Roman"/>
                <w:kern w:val="0"/>
                <w:sz w:val="24"/>
                <w:szCs w:val="24"/>
                <w:lang w:val="fr-FR"/>
              </w:rPr>
              <w:t>缩写</w:t>
            </w:r>
          </w:p>
        </w:tc>
        <w:tc>
          <w:tcPr>
            <w:tcW w:w="7371" w:type="dxa"/>
            <w:shd w:val="clear" w:color="auto" w:fill="D9D9D9"/>
            <w:noWrap w:val="0"/>
            <w:vAlign w:val="center"/>
          </w:tcPr>
          <w:p>
            <w:pPr>
              <w:widowControl/>
              <w:ind w:firstLine="420"/>
              <w:jc w:val="center"/>
              <w:rPr>
                <w:rFonts w:ascii="宋体" w:hAnsi="宋体" w:eastAsia="宋体" w:cs="Times New Roman"/>
                <w:kern w:val="0"/>
                <w:sz w:val="24"/>
                <w:szCs w:val="24"/>
                <w:lang w:val="fr-FR"/>
              </w:rPr>
            </w:pPr>
            <w:r>
              <w:rPr>
                <w:rFonts w:ascii="宋体" w:hAnsi="宋体" w:eastAsia="宋体" w:cs="Times New Roman"/>
                <w:kern w:val="0"/>
                <w:sz w:val="24"/>
                <w:szCs w:val="24"/>
                <w:lang w:val="fr-FR"/>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GMP</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Good Manufacturing Practice药品生产质量管理规范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FAT</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Factory Acceptance Test 设备出厂测试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FDA</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Food and Drug Administration 美国食品和药品管理局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FRS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Function Requirement Specification 功能需求说明书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FDS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Functional design specifications 功能设计说明书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URS</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User Requirement Specification用户需求说明书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VP</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bCs/>
                <w:kern w:val="0"/>
                <w:sz w:val="20"/>
                <w:szCs w:val="20"/>
                <w:lang w:val="fr-FR"/>
              </w:rPr>
              <w:t>Validation Plan 验证计划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noWrap w:val="0"/>
            <w:vAlign w:val="center"/>
          </w:tcPr>
          <w:p>
            <w:pPr>
              <w:widowControl/>
              <w:jc w:val="center"/>
              <w:rPr>
                <w:rFonts w:ascii="宋体" w:hAnsi="宋体" w:eastAsia="宋体" w:cs="Times New Roman"/>
                <w:kern w:val="0"/>
                <w:sz w:val="20"/>
                <w:szCs w:val="20"/>
                <w:lang w:val="fr-FR"/>
              </w:rPr>
            </w:pPr>
            <w:r>
              <w:rPr>
                <w:rFonts w:ascii="宋体" w:hAnsi="宋体" w:eastAsia="宋体" w:cs="Times New Roman"/>
                <w:kern w:val="0"/>
                <w:sz w:val="20"/>
                <w:szCs w:val="20"/>
                <w:lang w:val="fr-FR"/>
              </w:rPr>
              <w:t>WHO</w:t>
            </w:r>
          </w:p>
        </w:tc>
        <w:tc>
          <w:tcPr>
            <w:tcW w:w="7371" w:type="dxa"/>
            <w:noWrap w:val="0"/>
            <w:vAlign w:val="center"/>
          </w:tcPr>
          <w:p>
            <w:pPr>
              <w:widowControl/>
              <w:jc w:val="left"/>
              <w:rPr>
                <w:rFonts w:ascii="宋体" w:hAnsi="宋体" w:eastAsia="宋体" w:cs="Times New Roman"/>
                <w:kern w:val="0"/>
                <w:sz w:val="20"/>
                <w:szCs w:val="20"/>
                <w:lang w:val="fr-FR"/>
              </w:rPr>
            </w:pPr>
            <w:r>
              <w:rPr>
                <w:rFonts w:ascii="宋体" w:hAnsi="宋体" w:eastAsia="宋体" w:cs="Times New Roman"/>
                <w:kern w:val="0"/>
                <w:sz w:val="20"/>
                <w:szCs w:val="20"/>
                <w:lang w:val="fr-FR"/>
              </w:rPr>
              <w:t>World Health Organization 世界卫生组织</w:t>
            </w:r>
          </w:p>
        </w:tc>
      </w:tr>
      <w:bookmarkEnd w:id="429"/>
    </w:tbl>
    <w:p>
      <w:pPr>
        <w:keepNext/>
        <w:numPr>
          <w:ilvl w:val="0"/>
          <w:numId w:val="15"/>
        </w:numPr>
        <w:spacing w:before="240" w:beforeLines="0" w:after="60" w:afterLines="0"/>
        <w:outlineLvl w:val="0"/>
        <w:rPr>
          <w:rFonts w:ascii="Times New Roman" w:hAnsi="Times New Roman" w:eastAsia="宋体" w:cs="Times New Roman"/>
          <w:b/>
          <w:caps/>
          <w:kern w:val="28"/>
          <w:sz w:val="30"/>
          <w:lang w:val="en-US" w:eastAsia="zh-CN" w:bidi="ar-SA"/>
        </w:rPr>
      </w:pPr>
      <w:bookmarkStart w:id="430" w:name="_Toc14542"/>
      <w:bookmarkStart w:id="431" w:name="_Toc20878"/>
      <w:r>
        <w:rPr>
          <w:rFonts w:hint="eastAsia" w:ascii="Times New Roman" w:hAnsi="Times New Roman" w:eastAsia="宋体" w:cs="Times New Roman"/>
          <w:b/>
          <w:caps/>
          <w:kern w:val="28"/>
          <w:sz w:val="30"/>
          <w:lang w:val="en-US" w:eastAsia="zh-CN" w:bidi="ar-SA"/>
        </w:rPr>
        <w:t>技术规格</w:t>
      </w:r>
      <w:bookmarkEnd w:id="430"/>
      <w:bookmarkEnd w:id="431"/>
    </w:p>
    <w:p>
      <w:pPr>
        <w:widowControl/>
        <w:jc w:val="left"/>
        <w:rPr>
          <w:rFonts w:hint="eastAsia" w:ascii="宋体" w:hAnsi="宋体" w:eastAsia="宋体" w:cs="宋体"/>
          <w:color w:val="000000"/>
          <w:kern w:val="2"/>
          <w:sz w:val="20"/>
          <w:szCs w:val="20"/>
          <w:lang w:val="en-US"/>
        </w:rPr>
      </w:pPr>
      <w:r>
        <w:rPr>
          <w:rFonts w:hint="eastAsia" w:ascii="Times New Roman" w:hAnsi="Times New Roman" w:eastAsia="宋体" w:cs="Times New Roman"/>
          <w:kern w:val="0"/>
          <w:sz w:val="20"/>
          <w:szCs w:val="20"/>
          <w:lang w:val="en-US"/>
        </w:rPr>
        <w:t>URS中用户仅提出基本的质量要求，并未涵盖和限制制造商所提供的产品具有更高的制造标准。制造方的产品应满足国家有关设计、制造、安全、环保等规程、规范和强制性标准要求。</w:t>
      </w:r>
    </w:p>
    <w:p>
      <w:pPr>
        <w:keepNext/>
        <w:numPr>
          <w:ilvl w:val="1"/>
          <w:numId w:val="15"/>
        </w:numPr>
        <w:spacing w:before="240" w:beforeLines="0" w:after="60" w:afterLines="0"/>
        <w:outlineLvl w:val="1"/>
        <w:rPr>
          <w:rFonts w:hint="eastAsia" w:ascii="Times New Roman" w:hAnsi="Times New Roman" w:eastAsia="宋体" w:cs="Times New Roman"/>
          <w:b/>
          <w:sz w:val="28"/>
          <w:lang w:val="fr-FR" w:eastAsia="zh-CN" w:bidi="ar-SA"/>
        </w:rPr>
      </w:pPr>
      <w:r>
        <w:rPr>
          <w:rFonts w:hint="eastAsia" w:ascii="Times New Roman" w:hAnsi="Times New Roman" w:eastAsia="宋体" w:cs="Times New Roman"/>
          <w:b/>
          <w:sz w:val="28"/>
          <w:lang w:val="en-US" w:eastAsia="zh-CN" w:bidi="ar-SA"/>
        </w:rPr>
        <w:t>标准依据</w:t>
      </w:r>
    </w:p>
    <w:p>
      <w:pPr>
        <w:widowControl/>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标准依据《中华人民共和国兽药典》2020年版三部、</w:t>
      </w:r>
      <w:r>
        <w:rPr>
          <w:rFonts w:hint="eastAsia" w:ascii="宋体" w:hAnsi="宋体" w:eastAsia="宋体" w:cs="Times New Roman"/>
          <w:color w:val="000000"/>
          <w:kern w:val="0"/>
          <w:sz w:val="20"/>
          <w:szCs w:val="20"/>
          <w:lang w:val="en-US"/>
        </w:rPr>
        <w:t>《兽药生产质量管理规范》、《兽药管理条例》、国药集团扬州威克生物工程有限公司</w:t>
      </w:r>
      <w:r>
        <w:rPr>
          <w:rFonts w:hint="eastAsia" w:ascii="Times New Roman" w:hAnsi="Times New Roman" w:eastAsia="宋体" w:cs="Times New Roman"/>
          <w:kern w:val="0"/>
          <w:sz w:val="22"/>
          <w:szCs w:val="20"/>
          <w:lang w:val="fr-FR"/>
        </w:rPr>
        <w:t>QA/ST/0</w:t>
      </w:r>
      <w:r>
        <w:rPr>
          <w:rFonts w:hint="eastAsia" w:ascii="Times New Roman" w:hAnsi="Times New Roman" w:eastAsia="宋体" w:cs="Times New Roman"/>
          <w:kern w:val="0"/>
          <w:sz w:val="22"/>
          <w:szCs w:val="20"/>
          <w:lang w:val="en-US"/>
        </w:rPr>
        <w:t>13</w:t>
      </w:r>
      <w:r>
        <w:rPr>
          <w:rFonts w:hint="eastAsia" w:ascii="宋体" w:hAnsi="宋体" w:eastAsia="宋体" w:cs="Times New Roman"/>
          <w:color w:val="000000"/>
          <w:kern w:val="0"/>
          <w:sz w:val="20"/>
          <w:szCs w:val="20"/>
          <w:lang w:val="en-US"/>
        </w:rPr>
        <w:t>胶塞质量标准</w:t>
      </w:r>
      <w:r>
        <w:rPr>
          <w:rFonts w:hint="eastAsia" w:ascii="Times New Roman" w:hAnsi="Times New Roman" w:eastAsia="宋体" w:cs="Times New Roman"/>
          <w:kern w:val="0"/>
          <w:sz w:val="20"/>
          <w:szCs w:val="20"/>
          <w:lang w:val="en-US"/>
        </w:rPr>
        <w:t>。</w:t>
      </w:r>
    </w:p>
    <w:p>
      <w:pPr>
        <w:keepNext/>
        <w:numPr>
          <w:ilvl w:val="1"/>
          <w:numId w:val="15"/>
        </w:numPr>
        <w:spacing w:before="240" w:beforeLines="0" w:after="60" w:afterLines="0"/>
        <w:outlineLvl w:val="1"/>
        <w:rPr>
          <w:rFonts w:hint="eastAsia" w:ascii="Times New Roman" w:hAnsi="Times New Roman" w:eastAsia="宋体" w:cs="Times New Roman"/>
          <w:b/>
          <w:sz w:val="28"/>
          <w:lang w:val="en-US" w:eastAsia="zh-CN" w:bidi="ar-SA"/>
        </w:rPr>
      </w:pPr>
      <w:r>
        <w:rPr>
          <w:rFonts w:hint="eastAsia" w:ascii="Times New Roman" w:hAnsi="Times New Roman" w:eastAsia="宋体" w:cs="Times New Roman"/>
          <w:b/>
          <w:sz w:val="28"/>
          <w:lang w:val="en-US" w:eastAsia="zh-CN" w:bidi="ar-SA"/>
        </w:rPr>
        <w:t>质量标准</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en-US" w:eastAsia="zh-CN" w:bidi="ar-SA"/>
        </w:rPr>
        <w:t>材质</w:t>
      </w:r>
    </w:p>
    <w:p>
      <w:pPr>
        <w:widowControl/>
        <w:numPr>
          <w:ilvl w:val="0"/>
          <w:numId w:val="16"/>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GB"/>
        </w:rPr>
        <w:t>丁基胶塞：异丁烯和少量异戊二烯</w:t>
      </w:r>
    </w:p>
    <w:p>
      <w:pPr>
        <w:widowControl/>
        <w:numPr>
          <w:ilvl w:val="0"/>
          <w:numId w:val="16"/>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en-GB"/>
        </w:rPr>
        <w:t>丁腈胶塞：丁二烯和丙烯腈</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r>
        <w:rPr>
          <w:rFonts w:hint="eastAsia" w:ascii="Times New Roman" w:hAnsi="Times New Roman" w:eastAsia="宋体" w:cs="Times New Roman"/>
          <w:i/>
          <w:sz w:val="24"/>
          <w:lang w:val="en-US" w:eastAsia="zh-CN" w:bidi="ar-SA"/>
        </w:rPr>
        <w:t>规格</w:t>
      </w:r>
      <w:r>
        <w:rPr>
          <w:rFonts w:hint="eastAsia" w:ascii="Times New Roman" w:hAnsi="Times New Roman" w:eastAsia="宋体" w:cs="Times New Roman"/>
          <w:i/>
          <w:sz w:val="24"/>
          <w:lang w:val="fr-FR" w:eastAsia="zh-CN" w:bidi="ar-SA"/>
        </w:rPr>
        <w:t xml:space="preserve">  </w:t>
      </w:r>
    </w:p>
    <w:p>
      <w:pPr>
        <w:widowControl/>
        <w:numPr>
          <w:ilvl w:val="0"/>
          <w:numId w:val="17"/>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活疫苗用免洗丁基胶塞：</w:t>
      </w: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20mm</w:t>
      </w:r>
    </w:p>
    <w:p>
      <w:pPr>
        <w:widowControl/>
        <w:numPr>
          <w:ilvl w:val="0"/>
          <w:numId w:val="17"/>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灭活疫苗用丁腈胶塞：</w:t>
      </w: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20mm</w:t>
      </w:r>
    </w:p>
    <w:p>
      <w:pPr>
        <w:widowControl/>
        <w:numPr>
          <w:ilvl w:val="0"/>
          <w:numId w:val="17"/>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灭活疫苗用丁腈胶塞：</w:t>
      </w: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28mm</w:t>
      </w:r>
    </w:p>
    <w:p>
      <w:pPr>
        <w:keepNext/>
        <w:numPr>
          <w:ilvl w:val="2"/>
          <w:numId w:val="15"/>
        </w:numPr>
        <w:spacing w:before="240" w:beforeLines="0" w:after="60" w:afterLines="0"/>
        <w:outlineLvl w:val="2"/>
        <w:rPr>
          <w:rFonts w:hint="eastAsia" w:ascii="Times New Roman" w:hAnsi="Times New Roman" w:eastAsia="宋体" w:cs="Times New Roman"/>
          <w:i/>
          <w:sz w:val="24"/>
          <w:lang w:val="en-US" w:eastAsia="zh-CN" w:bidi="ar-SA"/>
        </w:rPr>
      </w:pPr>
      <w:bookmarkStart w:id="432" w:name="_Toc18489"/>
      <w:bookmarkStart w:id="433" w:name="_Toc26020"/>
      <w:bookmarkStart w:id="434" w:name="_Toc11938"/>
      <w:bookmarkStart w:id="435" w:name="_Toc959"/>
      <w:r>
        <w:rPr>
          <w:rFonts w:hint="eastAsia" w:ascii="Times New Roman" w:hAnsi="Times New Roman" w:eastAsia="宋体" w:cs="Times New Roman"/>
          <w:i/>
          <w:sz w:val="24"/>
          <w:lang w:val="en-US" w:eastAsia="zh-CN" w:bidi="ar-SA"/>
        </w:rPr>
        <w:t>几何尺寸</w:t>
      </w:r>
    </w:p>
    <w:p>
      <w:pPr>
        <w:keepNext/>
        <w:numPr>
          <w:ilvl w:val="3"/>
          <w:numId w:val="15"/>
        </w:numPr>
        <w:spacing w:before="240" w:beforeLines="0" w:after="60" w:afterLines="0"/>
        <w:outlineLvl w:val="3"/>
        <w:rPr>
          <w:rFonts w:hint="eastAsia" w:ascii="Times New Roman" w:hAnsi="Times New Roman" w:eastAsia="宋体" w:cs="Times New Roman"/>
          <w:i/>
          <w:sz w:val="21"/>
          <w:lang w:val="en-US" w:eastAsia="zh-CN" w:bidi="ar-SA"/>
        </w:rPr>
      </w:pPr>
      <w:r>
        <w:rPr>
          <w:rFonts w:hint="eastAsia" w:ascii="Times New Roman" w:hAnsi="Times New Roman" w:eastAsia="宋体" w:cs="Times New Roman"/>
          <w:i/>
          <w:sz w:val="21"/>
          <w:lang w:val="en-GB" w:eastAsia="zh-CN" w:bidi="ar-SA"/>
        </w:rPr>
        <w:t>活疫苗用</w:t>
      </w:r>
      <w:r>
        <w:rPr>
          <w:rFonts w:hint="eastAsia" w:ascii="Times New Roman" w:hAnsi="Times New Roman" w:eastAsia="宋体" w:cs="Times New Roman"/>
          <w:i/>
          <w:sz w:val="21"/>
          <w:lang w:val="en-US" w:eastAsia="zh-CN" w:bidi="ar-SA"/>
        </w:rPr>
        <w:t>免洗丁基胶塞（</w:t>
      </w:r>
      <w:r>
        <w:rPr>
          <w:rFonts w:ascii="Times New Roman" w:hAnsi="Times New Roman" w:eastAsia="宋体" w:cs="Times New Roman"/>
          <w:i/>
          <w:sz w:val="21"/>
          <w:lang w:val="en-US" w:eastAsia="zh-CN" w:bidi="ar-SA"/>
        </w:rPr>
        <w:t>Ø</w:t>
      </w:r>
      <w:r>
        <w:rPr>
          <w:rFonts w:hint="eastAsia" w:ascii="Times New Roman" w:hAnsi="Times New Roman" w:eastAsia="宋体" w:cs="Times New Roman"/>
          <w:i/>
          <w:sz w:val="21"/>
          <w:lang w:val="en-US" w:eastAsia="zh-CN" w:bidi="ar-SA"/>
        </w:rPr>
        <w:t>20）</w:t>
      </w:r>
      <w:bookmarkEnd w:id="432"/>
      <w:bookmarkEnd w:id="433"/>
      <w:bookmarkEnd w:id="434"/>
      <w:bookmarkEnd w:id="435"/>
    </w:p>
    <w:p>
      <w:pPr>
        <w:widowControl/>
        <w:numPr>
          <w:ilvl w:val="0"/>
          <w:numId w:val="18"/>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*冠部直径：18.80mm±0.20mm</w:t>
      </w:r>
    </w:p>
    <w:p>
      <w:pPr>
        <w:widowControl/>
        <w:numPr>
          <w:ilvl w:val="0"/>
          <w:numId w:val="18"/>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*冠部厚度：3.50mm±0.15mm</w:t>
      </w:r>
    </w:p>
    <w:p>
      <w:pPr>
        <w:widowControl/>
        <w:numPr>
          <w:ilvl w:val="0"/>
          <w:numId w:val="18"/>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US" w:eastAsia="zh-CN"/>
        </w:rPr>
        <w:t>塞</w:t>
      </w:r>
      <w:r>
        <w:rPr>
          <w:rFonts w:hint="eastAsia" w:ascii="Times New Roman" w:hAnsi="Times New Roman" w:eastAsia="宋体" w:cs="Times New Roman"/>
          <w:kern w:val="0"/>
          <w:sz w:val="20"/>
          <w:szCs w:val="20"/>
          <w:lang w:val="en-US"/>
        </w:rPr>
        <w:t>颈直径：13.40mm±0.10mm</w:t>
      </w:r>
    </w:p>
    <w:p>
      <w:pPr>
        <w:widowControl/>
        <w:numPr>
          <w:ilvl w:val="0"/>
          <w:numId w:val="18"/>
        </w:numPr>
        <w:ind w:left="425" w:hanging="425"/>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GB"/>
        </w:rPr>
        <w:t>总  高  度：14.80mm±0.30mm</w:t>
      </w:r>
    </w:p>
    <w:p>
      <w:pPr>
        <w:keepNext/>
        <w:numPr>
          <w:ilvl w:val="3"/>
          <w:numId w:val="15"/>
        </w:numPr>
        <w:spacing w:before="240" w:beforeLines="0" w:after="60" w:afterLines="0"/>
        <w:outlineLvl w:val="3"/>
        <w:rPr>
          <w:rFonts w:hint="eastAsia" w:ascii="Times New Roman" w:hAnsi="Times New Roman" w:eastAsia="宋体" w:cs="Times New Roman"/>
          <w:i/>
          <w:sz w:val="21"/>
          <w:highlight w:val="none"/>
          <w:lang w:val="en-GB" w:eastAsia="zh-CN" w:bidi="ar-SA"/>
        </w:rPr>
      </w:pPr>
      <w:bookmarkStart w:id="436" w:name="_Toc16489"/>
      <w:bookmarkStart w:id="437" w:name="_Toc31964"/>
      <w:bookmarkStart w:id="438" w:name="_Toc23896"/>
      <w:bookmarkStart w:id="439" w:name="_Toc9035"/>
      <w:r>
        <w:rPr>
          <w:rFonts w:hint="eastAsia" w:ascii="Times New Roman" w:hAnsi="Times New Roman" w:eastAsia="宋体" w:cs="Times New Roman"/>
          <w:i/>
          <w:sz w:val="21"/>
          <w:highlight w:val="none"/>
          <w:lang w:val="en-GB" w:eastAsia="zh-CN" w:bidi="ar-SA"/>
        </w:rPr>
        <w:t>灭活疫苗用丁腈胶塞（</w:t>
      </w:r>
      <w:r>
        <w:rPr>
          <w:rFonts w:ascii="Times New Roman" w:hAnsi="Times New Roman" w:eastAsia="宋体" w:cs="Times New Roman"/>
          <w:i/>
          <w:sz w:val="21"/>
          <w:highlight w:val="none"/>
          <w:lang w:val="en-US" w:eastAsia="zh-CN" w:bidi="ar-SA"/>
        </w:rPr>
        <w:t>Ø</w:t>
      </w:r>
      <w:r>
        <w:rPr>
          <w:rFonts w:hint="eastAsia" w:ascii="Times New Roman" w:hAnsi="Times New Roman" w:eastAsia="宋体" w:cs="Times New Roman"/>
          <w:i/>
          <w:sz w:val="21"/>
          <w:highlight w:val="none"/>
          <w:lang w:val="en-US" w:eastAsia="zh-CN" w:bidi="ar-SA"/>
        </w:rPr>
        <w:t>20）</w:t>
      </w:r>
    </w:p>
    <w:p>
      <w:pPr>
        <w:widowControl/>
        <w:numPr>
          <w:ilvl w:val="0"/>
          <w:numId w:val="19"/>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*冠部直径：19.50mm±0.20mm</w:t>
      </w:r>
    </w:p>
    <w:p>
      <w:pPr>
        <w:widowControl/>
        <w:numPr>
          <w:ilvl w:val="0"/>
          <w:numId w:val="19"/>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en-US"/>
        </w:rPr>
        <w:t>冠部厚度：2.90mm±0.25mm</w:t>
      </w:r>
    </w:p>
    <w:p>
      <w:pPr>
        <w:widowControl/>
        <w:numPr>
          <w:ilvl w:val="0"/>
          <w:numId w:val="19"/>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eastAsia="zh-CN"/>
        </w:rPr>
        <w:t>*塞</w:t>
      </w:r>
      <w:r>
        <w:rPr>
          <w:rFonts w:hint="eastAsia" w:ascii="Times New Roman" w:hAnsi="Times New Roman" w:eastAsia="宋体" w:cs="Times New Roman"/>
          <w:kern w:val="0"/>
          <w:sz w:val="20"/>
          <w:szCs w:val="20"/>
          <w:lang w:val="en-US"/>
        </w:rPr>
        <w:t>颈直径：13.00mm±0.10mm</w:t>
      </w:r>
    </w:p>
    <w:p>
      <w:pPr>
        <w:widowControl/>
        <w:numPr>
          <w:ilvl w:val="0"/>
          <w:numId w:val="19"/>
        </w:numPr>
        <w:ind w:left="425" w:hanging="425"/>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eastAsia="zh-CN"/>
        </w:rPr>
        <w:t>*</w:t>
      </w:r>
      <w:r>
        <w:rPr>
          <w:rFonts w:hint="eastAsia" w:ascii="Times New Roman" w:hAnsi="Times New Roman" w:eastAsia="宋体" w:cs="Times New Roman"/>
          <w:kern w:val="0"/>
          <w:sz w:val="20"/>
          <w:szCs w:val="20"/>
          <w:lang w:val="en-GB"/>
        </w:rPr>
        <w:t>总  高  度：9.60mm±0.30mm</w:t>
      </w:r>
    </w:p>
    <w:p>
      <w:pPr>
        <w:widowControl/>
        <w:numPr>
          <w:ilvl w:val="0"/>
          <w:numId w:val="0"/>
        </w:numPr>
        <w:ind w:leftChars="0"/>
        <w:jc w:val="left"/>
        <w:rPr>
          <w:rFonts w:hint="eastAsia" w:ascii="Times New Roman" w:hAnsi="Times New Roman" w:eastAsia="宋体" w:cs="Times New Roman"/>
          <w:kern w:val="0"/>
          <w:sz w:val="20"/>
          <w:szCs w:val="20"/>
          <w:highlight w:val="yellow"/>
          <w:lang w:val="en-GB"/>
        </w:rPr>
      </w:pP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r>
        <w:rPr>
          <w:rFonts w:hint="eastAsia" w:ascii="Times New Roman" w:hAnsi="Times New Roman" w:eastAsia="宋体" w:cs="Times New Roman"/>
          <w:i/>
          <w:sz w:val="21"/>
          <w:lang w:val="en-GB" w:eastAsia="zh-CN" w:bidi="ar-SA"/>
        </w:rPr>
        <w:t>灭活疫苗用丁腈胶塞（</w:t>
      </w:r>
      <w:r>
        <w:rPr>
          <w:rFonts w:ascii="Times New Roman" w:hAnsi="Times New Roman" w:eastAsia="宋体" w:cs="Times New Roman"/>
          <w:i/>
          <w:sz w:val="21"/>
          <w:lang w:val="en-US" w:eastAsia="zh-CN" w:bidi="ar-SA"/>
        </w:rPr>
        <w:t>Ø</w:t>
      </w:r>
      <w:r>
        <w:rPr>
          <w:rFonts w:hint="eastAsia" w:ascii="Times New Roman" w:hAnsi="Times New Roman" w:eastAsia="宋体" w:cs="Times New Roman"/>
          <w:i/>
          <w:sz w:val="21"/>
          <w:lang w:val="en-US" w:eastAsia="zh-CN" w:bidi="ar-SA"/>
        </w:rPr>
        <w:t>28</w:t>
      </w:r>
      <w:r>
        <w:rPr>
          <w:rFonts w:hint="eastAsia" w:ascii="Times New Roman" w:hAnsi="Times New Roman" w:eastAsia="宋体" w:cs="Times New Roman"/>
          <w:i/>
          <w:sz w:val="21"/>
          <w:lang w:val="en-GB" w:eastAsia="zh-CN" w:bidi="ar-SA"/>
        </w:rPr>
        <w:t>）</w:t>
      </w:r>
      <w:bookmarkEnd w:id="436"/>
      <w:bookmarkEnd w:id="437"/>
      <w:bookmarkEnd w:id="438"/>
      <w:bookmarkEnd w:id="439"/>
    </w:p>
    <w:p>
      <w:pPr>
        <w:widowControl/>
        <w:numPr>
          <w:ilvl w:val="0"/>
          <w:numId w:val="20"/>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*冠部直径：26.60mm±0.30mm</w:t>
      </w:r>
    </w:p>
    <w:p>
      <w:pPr>
        <w:widowControl/>
        <w:numPr>
          <w:ilvl w:val="0"/>
          <w:numId w:val="20"/>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*冠部厚度：3.80mm±0.30mm</w:t>
      </w:r>
    </w:p>
    <w:p>
      <w:pPr>
        <w:widowControl/>
        <w:numPr>
          <w:ilvl w:val="0"/>
          <w:numId w:val="20"/>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US" w:eastAsia="zh-CN"/>
        </w:rPr>
        <w:t>塞</w:t>
      </w:r>
      <w:r>
        <w:rPr>
          <w:rFonts w:hint="eastAsia" w:ascii="Times New Roman" w:hAnsi="Times New Roman" w:eastAsia="宋体" w:cs="Times New Roman"/>
          <w:kern w:val="0"/>
          <w:sz w:val="20"/>
          <w:szCs w:val="20"/>
          <w:lang w:val="en-US"/>
        </w:rPr>
        <w:t>颈直径：18.00mm±0.20mm</w:t>
      </w:r>
    </w:p>
    <w:p>
      <w:pPr>
        <w:widowControl/>
        <w:numPr>
          <w:ilvl w:val="0"/>
          <w:numId w:val="20"/>
        </w:numPr>
        <w:ind w:left="425" w:hanging="425"/>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GB"/>
        </w:rPr>
        <w:t>总  高  度：11.8mm±0.40mm</w:t>
      </w:r>
    </w:p>
    <w:p>
      <w:pPr>
        <w:keepNext/>
        <w:numPr>
          <w:ilvl w:val="2"/>
          <w:numId w:val="15"/>
        </w:numPr>
        <w:spacing w:before="240" w:beforeLines="0" w:after="60" w:afterLines="0"/>
        <w:outlineLvl w:val="2"/>
        <w:rPr>
          <w:rFonts w:hint="eastAsia" w:ascii="Times New Roman" w:hAnsi="Times New Roman" w:eastAsia="宋体" w:cs="Times New Roman"/>
          <w:i/>
          <w:sz w:val="24"/>
          <w:lang w:val="en-GB" w:eastAsia="zh-CN" w:bidi="ar-SA"/>
        </w:rPr>
      </w:pPr>
      <w:bookmarkStart w:id="440" w:name="_Toc6226"/>
      <w:bookmarkStart w:id="441" w:name="_Toc11439"/>
      <w:bookmarkStart w:id="442" w:name="_Toc10890"/>
      <w:bookmarkStart w:id="443" w:name="_Toc22406"/>
      <w:r>
        <w:rPr>
          <w:rFonts w:hint="eastAsia" w:ascii="Times New Roman" w:hAnsi="Times New Roman" w:eastAsia="宋体" w:cs="Times New Roman"/>
          <w:i/>
          <w:sz w:val="24"/>
          <w:lang w:val="en-US" w:eastAsia="zh-CN" w:bidi="ar-SA"/>
        </w:rPr>
        <w:t>Ø20免洗胶塞</w:t>
      </w:r>
      <w:r>
        <w:rPr>
          <w:rFonts w:hint="eastAsia" w:ascii="Times New Roman" w:hAnsi="Times New Roman" w:eastAsia="宋体" w:cs="Times New Roman"/>
          <w:i/>
          <w:sz w:val="24"/>
          <w:lang w:val="en-GB" w:eastAsia="zh-CN" w:bidi="ar-SA"/>
        </w:rPr>
        <w:t>细菌内毒素测定</w:t>
      </w:r>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US"/>
        </w:rPr>
        <w:t>*</w:t>
      </w:r>
      <w:r>
        <w:rPr>
          <w:rFonts w:hint="eastAsia" w:ascii="Times New Roman" w:hAnsi="Times New Roman" w:eastAsia="宋体" w:cs="Times New Roman"/>
          <w:kern w:val="0"/>
          <w:sz w:val="20"/>
          <w:szCs w:val="20"/>
          <w:lang w:val="en-GB"/>
        </w:rPr>
        <w:t>细菌内毒素含量应低于</w:t>
      </w:r>
      <w:r>
        <w:rPr>
          <w:rFonts w:hint="eastAsia" w:ascii="Times New Roman" w:hAnsi="Times New Roman" w:eastAsia="宋体" w:cs="Times New Roman"/>
          <w:kern w:val="0"/>
          <w:sz w:val="20"/>
          <w:szCs w:val="20"/>
          <w:lang w:val="en-US"/>
        </w:rPr>
        <w:t>0.25</w:t>
      </w:r>
      <w:r>
        <w:rPr>
          <w:rFonts w:hint="eastAsia" w:ascii="Times New Roman" w:hAnsi="Times New Roman" w:eastAsia="宋体" w:cs="Times New Roman"/>
          <w:kern w:val="0"/>
          <w:sz w:val="20"/>
          <w:szCs w:val="20"/>
          <w:lang w:val="en-GB"/>
        </w:rPr>
        <w:t>EU</w:t>
      </w:r>
      <w:r>
        <w:rPr>
          <w:rFonts w:hint="eastAsia" w:ascii="Times New Roman" w:hAnsi="Times New Roman" w:eastAsia="宋体" w:cs="Times New Roman"/>
          <w:kern w:val="0"/>
          <w:sz w:val="20"/>
          <w:szCs w:val="20"/>
          <w:lang w:val="en-US"/>
        </w:rPr>
        <w:t>/ml</w:t>
      </w:r>
    </w:p>
    <w:p>
      <w:pPr>
        <w:keepNext/>
        <w:numPr>
          <w:ilvl w:val="2"/>
          <w:numId w:val="15"/>
        </w:numPr>
        <w:spacing w:before="240" w:beforeLines="0" w:after="60" w:afterLines="0"/>
        <w:outlineLvl w:val="2"/>
        <w:rPr>
          <w:rFonts w:hint="eastAsia" w:ascii="Times New Roman" w:hAnsi="Times New Roman" w:eastAsia="宋体" w:cs="Times New Roman"/>
          <w:i/>
          <w:sz w:val="24"/>
          <w:lang w:val="en-US" w:eastAsia="zh-CN" w:bidi="ar-SA"/>
        </w:rPr>
      </w:pPr>
      <w:r>
        <w:rPr>
          <w:rFonts w:hint="eastAsia" w:ascii="Times New Roman" w:hAnsi="Times New Roman" w:eastAsia="宋体" w:cs="Times New Roman"/>
          <w:i/>
          <w:sz w:val="24"/>
          <w:lang w:val="en-GB" w:eastAsia="zh-CN" w:bidi="ar-SA"/>
        </w:rPr>
        <w:t>物理性质</w:t>
      </w:r>
      <w:bookmarkEnd w:id="440"/>
      <w:bookmarkEnd w:id="441"/>
      <w:bookmarkEnd w:id="442"/>
      <w:bookmarkEnd w:id="443"/>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bookmarkStart w:id="444" w:name="_Toc22201"/>
      <w:bookmarkStart w:id="445" w:name="_Toc31663"/>
      <w:bookmarkStart w:id="446" w:name="_Toc25606"/>
      <w:bookmarkStart w:id="447" w:name="_Toc30001"/>
      <w:r>
        <w:rPr>
          <w:rFonts w:hint="eastAsia" w:ascii="Times New Roman" w:hAnsi="Times New Roman" w:eastAsia="宋体" w:cs="Times New Roman"/>
          <w:i/>
          <w:sz w:val="21"/>
          <w:lang w:val="en-GB" w:eastAsia="zh-CN" w:bidi="ar-SA"/>
        </w:rPr>
        <w:t>硬度</w:t>
      </w:r>
      <w:bookmarkEnd w:id="444"/>
      <w:bookmarkEnd w:id="445"/>
      <w:bookmarkEnd w:id="446"/>
      <w:bookmarkEnd w:id="447"/>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邵氏A硬度应不超过规定值的±5度</w:t>
      </w: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bookmarkStart w:id="448" w:name="_Toc19230"/>
      <w:bookmarkStart w:id="449" w:name="_Toc23139"/>
      <w:bookmarkStart w:id="450" w:name="_Toc22809"/>
      <w:bookmarkStart w:id="451" w:name="_Toc19392"/>
      <w:r>
        <w:rPr>
          <w:rFonts w:hint="eastAsia" w:ascii="Times New Roman" w:hAnsi="Times New Roman" w:eastAsia="宋体" w:cs="Times New Roman"/>
          <w:i/>
          <w:sz w:val="21"/>
          <w:lang w:val="en-GB" w:eastAsia="zh-CN" w:bidi="ar-SA"/>
        </w:rPr>
        <w:t>针刺落屑</w:t>
      </w:r>
      <w:bookmarkEnd w:id="448"/>
      <w:bookmarkEnd w:id="449"/>
      <w:bookmarkEnd w:id="450"/>
      <w:bookmarkEnd w:id="451"/>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瓶塞针刺落屑应不超过5粒</w:t>
      </w: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bookmarkStart w:id="452" w:name="_Toc12171"/>
      <w:bookmarkStart w:id="453" w:name="_Toc32214"/>
      <w:bookmarkStart w:id="454" w:name="_Toc9812"/>
      <w:bookmarkStart w:id="455" w:name="_Toc20420"/>
      <w:r>
        <w:rPr>
          <w:rFonts w:hint="eastAsia" w:ascii="Times New Roman" w:hAnsi="Times New Roman" w:eastAsia="宋体" w:cs="Times New Roman"/>
          <w:i/>
          <w:sz w:val="21"/>
          <w:lang w:val="en-GB" w:eastAsia="zh-CN" w:bidi="ar-SA"/>
        </w:rPr>
        <w:t>穿刺力</w:t>
      </w:r>
      <w:bookmarkEnd w:id="452"/>
      <w:bookmarkEnd w:id="453"/>
      <w:bookmarkEnd w:id="454"/>
      <w:bookmarkEnd w:id="455"/>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穿刺瓶塞所需的力应不超过10N</w:t>
      </w: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bookmarkStart w:id="456" w:name="_Toc18590"/>
      <w:bookmarkStart w:id="457" w:name="_Toc22039"/>
      <w:bookmarkStart w:id="458" w:name="_Toc32529"/>
      <w:bookmarkStart w:id="459" w:name="_Toc25929"/>
      <w:r>
        <w:rPr>
          <w:rFonts w:hint="eastAsia" w:ascii="Times New Roman" w:hAnsi="Times New Roman" w:eastAsia="宋体" w:cs="Times New Roman"/>
          <w:i/>
          <w:sz w:val="21"/>
          <w:lang w:val="en-GB" w:eastAsia="zh-CN" w:bidi="ar-SA"/>
        </w:rPr>
        <w:t>瓶塞与容器密合性</w:t>
      </w:r>
      <w:bookmarkEnd w:id="456"/>
      <w:bookmarkEnd w:id="457"/>
      <w:bookmarkEnd w:id="458"/>
      <w:bookmarkEnd w:id="459"/>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瓶塞与所配套的瓶子应密合</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r>
        <w:rPr>
          <w:rFonts w:hint="eastAsia" w:ascii="Times New Roman" w:hAnsi="Times New Roman" w:eastAsia="宋体" w:cs="Times New Roman"/>
          <w:i/>
          <w:sz w:val="21"/>
          <w:lang w:val="en-GB" w:eastAsia="zh-CN" w:bidi="ar-SA"/>
        </w:rPr>
        <w:t>自密封性</w:t>
      </w:r>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瓶塞经3次穿刺，应符合自密封性试验，亚甲蓝溶液不应渗入瓶内</w:t>
      </w:r>
    </w:p>
    <w:p>
      <w:pPr>
        <w:keepNext/>
        <w:numPr>
          <w:ilvl w:val="3"/>
          <w:numId w:val="15"/>
        </w:numPr>
        <w:spacing w:before="240" w:beforeLines="0" w:after="60" w:afterLines="0"/>
        <w:outlineLvl w:val="3"/>
        <w:rPr>
          <w:rFonts w:hint="eastAsia" w:ascii="Times New Roman" w:hAnsi="Times New Roman" w:eastAsia="宋体" w:cs="Times New Roman"/>
          <w:i/>
          <w:sz w:val="21"/>
          <w:lang w:val="en-GB" w:eastAsia="zh-CN" w:bidi="ar-SA"/>
        </w:rPr>
      </w:pPr>
      <w:r>
        <w:rPr>
          <w:rFonts w:hint="eastAsia" w:ascii="Times New Roman" w:hAnsi="Times New Roman" w:eastAsia="宋体" w:cs="Times New Roman"/>
          <w:i/>
          <w:sz w:val="21"/>
          <w:lang w:val="en-GB" w:eastAsia="zh-CN" w:bidi="ar-SA"/>
        </w:rPr>
        <w:t>水分</w:t>
      </w:r>
    </w:p>
    <w:p>
      <w:pPr>
        <w:widowControl/>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水分应不大于</w:t>
      </w:r>
      <w:r>
        <w:rPr>
          <w:rFonts w:hint="eastAsia" w:ascii="Times New Roman" w:hAnsi="Times New Roman" w:eastAsia="宋体" w:cs="Times New Roman"/>
          <w:kern w:val="0"/>
          <w:sz w:val="20"/>
          <w:szCs w:val="20"/>
          <w:lang w:val="en-US"/>
        </w:rPr>
        <w:t>0.5%</w:t>
      </w:r>
    </w:p>
    <w:p>
      <w:pPr>
        <w:keepNext/>
        <w:numPr>
          <w:ilvl w:val="3"/>
          <w:numId w:val="15"/>
        </w:numPr>
        <w:spacing w:before="240" w:beforeLines="0" w:after="60" w:afterLines="0"/>
        <w:outlineLvl w:val="3"/>
        <w:rPr>
          <w:rFonts w:ascii="Times New Roman" w:hAnsi="Times New Roman" w:eastAsia="宋体" w:cs="Times New Roman"/>
          <w:i/>
          <w:sz w:val="21"/>
          <w:lang w:val="en-US" w:eastAsia="zh-CN" w:bidi="ar-SA"/>
        </w:rPr>
      </w:pPr>
      <w:r>
        <w:rPr>
          <w:rFonts w:hint="eastAsia" w:ascii="Times New Roman" w:hAnsi="Times New Roman" w:eastAsia="宋体" w:cs="Times New Roman"/>
          <w:i/>
          <w:sz w:val="21"/>
          <w:lang w:val="en-US" w:eastAsia="zh-CN" w:bidi="ar-SA"/>
        </w:rPr>
        <w:t>灰分</w:t>
      </w:r>
    </w:p>
    <w:p>
      <w:pPr>
        <w:widowControl/>
        <w:jc w:val="left"/>
        <w:rPr>
          <w:rFonts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遗留残渣不超过50%</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bookmarkStart w:id="460" w:name="_Toc4014"/>
      <w:bookmarkStart w:id="461" w:name="_Toc21574"/>
      <w:bookmarkStart w:id="462" w:name="_Toc29718"/>
      <w:bookmarkStart w:id="463" w:name="_Toc7862"/>
      <w:r>
        <w:rPr>
          <w:rFonts w:hint="eastAsia" w:ascii="Times New Roman" w:hAnsi="Times New Roman" w:eastAsia="宋体" w:cs="Times New Roman"/>
          <w:i/>
          <w:sz w:val="24"/>
          <w:lang w:val="en-GB" w:eastAsia="zh-CN" w:bidi="ar-SA"/>
        </w:rPr>
        <w:t>化学性能</w:t>
      </w:r>
      <w:bookmarkEnd w:id="460"/>
      <w:bookmarkEnd w:id="461"/>
      <w:bookmarkEnd w:id="462"/>
      <w:bookmarkEnd w:id="463"/>
      <w:r>
        <w:rPr>
          <w:rFonts w:hint="eastAsia" w:ascii="Times New Roman" w:hAnsi="Times New Roman" w:eastAsia="宋体" w:cs="Times New Roman"/>
          <w:i/>
          <w:sz w:val="24"/>
          <w:lang w:val="en-GB" w:eastAsia="zh-CN" w:bidi="ar-SA"/>
        </w:rPr>
        <w:t>（溶出物）</w:t>
      </w:r>
    </w:p>
    <w:p>
      <w:pPr>
        <w:widowControl/>
        <w:jc w:val="left"/>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应符合下表的规定：</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项目</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挥发性硫化物（以Na</w:t>
            </w:r>
            <w:r>
              <w:rPr>
                <w:rFonts w:hint="eastAsia" w:ascii="Times New Roman" w:hAnsi="Times New Roman" w:eastAsia="宋体" w:cs="Times New Roman"/>
                <w:kern w:val="0"/>
                <w:sz w:val="20"/>
                <w:szCs w:val="20"/>
                <w:vertAlign w:val="subscript"/>
                <w:lang w:val="en-GB"/>
              </w:rPr>
              <w:t>2</w:t>
            </w:r>
            <w:r>
              <w:rPr>
                <w:rFonts w:hint="eastAsia" w:ascii="Times New Roman" w:hAnsi="Times New Roman" w:eastAsia="宋体" w:cs="Times New Roman"/>
                <w:kern w:val="0"/>
                <w:sz w:val="20"/>
                <w:szCs w:val="20"/>
                <w:lang w:val="en-GB"/>
              </w:rPr>
              <w:t>S/20cm</w:t>
            </w:r>
            <w:r>
              <w:rPr>
                <w:rFonts w:hint="eastAsia" w:ascii="Times New Roman" w:hAnsi="Times New Roman" w:eastAsia="宋体" w:cs="Times New Roman"/>
                <w:kern w:val="0"/>
                <w:sz w:val="20"/>
                <w:szCs w:val="20"/>
                <w:vertAlign w:val="superscript"/>
                <w:lang w:val="en-GB"/>
              </w:rPr>
              <w:t>2</w:t>
            </w:r>
            <w:r>
              <w:rPr>
                <w:rFonts w:hint="eastAsia" w:ascii="Times New Roman" w:hAnsi="Times New Roman" w:eastAsia="宋体" w:cs="Times New Roman"/>
                <w:kern w:val="0"/>
                <w:sz w:val="20"/>
                <w:szCs w:val="20"/>
                <w:lang w:val="en-GB"/>
              </w:rPr>
              <w:t>橡胶表面计），μg</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紫外吸光度（220~360nm）</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还原物质（20ml浸取液消耗0.01mol/L的1/5KMnO</w:t>
            </w:r>
            <w:r>
              <w:rPr>
                <w:rFonts w:hint="eastAsia" w:ascii="Times New Roman" w:hAnsi="Times New Roman" w:eastAsia="宋体" w:cs="Times New Roman"/>
                <w:kern w:val="0"/>
                <w:sz w:val="20"/>
                <w:szCs w:val="20"/>
                <w:vertAlign w:val="subscript"/>
                <w:lang w:val="en-GB"/>
              </w:rPr>
              <w:t>4</w:t>
            </w:r>
            <w:r>
              <w:rPr>
                <w:rFonts w:hint="eastAsia" w:ascii="Times New Roman" w:hAnsi="Times New Roman" w:eastAsia="宋体" w:cs="Times New Roman"/>
                <w:kern w:val="0"/>
                <w:sz w:val="20"/>
                <w:szCs w:val="20"/>
                <w:lang w:val="en-GB"/>
              </w:rPr>
              <w:t>的量），ml</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电导率，μS/</w:t>
            </w:r>
            <w:r>
              <w:rPr>
                <w:rFonts w:hint="eastAsia" w:ascii="Times New Roman" w:hAnsi="Times New Roman" w:eastAsia="宋体" w:cs="Times New Roman"/>
                <w:kern w:val="0"/>
                <w:sz w:val="20"/>
                <w:szCs w:val="20"/>
                <w:lang w:val="en-US"/>
              </w:rPr>
              <w:t>c</w:t>
            </w:r>
            <w:r>
              <w:rPr>
                <w:rFonts w:hint="eastAsia" w:ascii="Times New Roman" w:hAnsi="Times New Roman" w:eastAsia="宋体" w:cs="Times New Roman"/>
                <w:kern w:val="0"/>
                <w:sz w:val="20"/>
                <w:szCs w:val="20"/>
                <w:lang w:val="en-GB"/>
              </w:rPr>
              <w:t>m</w:t>
            </w:r>
          </w:p>
        </w:tc>
        <w:tc>
          <w:tcPr>
            <w:tcW w:w="2484" w:type="dxa"/>
            <w:noWrap w:val="0"/>
            <w:vAlign w:val="top"/>
          </w:tcPr>
          <w:p>
            <w:pPr>
              <w:widowControl/>
              <w:jc w:val="center"/>
              <w:rPr>
                <w:rFonts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GB"/>
              </w:rPr>
              <w:t>不高于</w:t>
            </w:r>
            <w:r>
              <w:rPr>
                <w:rFonts w:hint="eastAsia" w:ascii="Times New Roman" w:hAnsi="Times New Roman" w:eastAsia="宋体" w:cs="Times New Roman"/>
                <w:kern w:val="0"/>
                <w:sz w:val="20"/>
                <w:szCs w:val="20"/>
                <w:lang w:val="en-U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浑浊度，级</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pH变化值</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重金属（以Pb</w:t>
            </w:r>
            <w:r>
              <w:rPr>
                <w:rFonts w:hint="eastAsia" w:ascii="Times New Roman" w:hAnsi="Times New Roman" w:eastAsia="宋体" w:cs="Times New Roman"/>
                <w:kern w:val="0"/>
                <w:sz w:val="20"/>
                <w:szCs w:val="20"/>
                <w:vertAlign w:val="superscript"/>
                <w:lang w:val="en-GB"/>
              </w:rPr>
              <w:t>2+</w:t>
            </w:r>
            <w:r>
              <w:rPr>
                <w:rFonts w:hint="eastAsia" w:ascii="Times New Roman" w:hAnsi="Times New Roman" w:eastAsia="宋体" w:cs="Times New Roman"/>
                <w:kern w:val="0"/>
                <w:sz w:val="20"/>
                <w:szCs w:val="20"/>
                <w:lang w:val="en-GB"/>
              </w:rPr>
              <w:t>计），mg/</w:t>
            </w:r>
            <w:r>
              <w:rPr>
                <w:rFonts w:hint="eastAsia" w:ascii="Times New Roman" w:hAnsi="Times New Roman" w:eastAsia="宋体" w:cs="Times New Roman"/>
                <w:kern w:val="0"/>
                <w:sz w:val="20"/>
                <w:szCs w:val="20"/>
                <w:lang w:val="en-US"/>
              </w:rPr>
              <w:t>L</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铵（以NH4</w:t>
            </w:r>
            <w:r>
              <w:rPr>
                <w:rFonts w:hint="eastAsia" w:ascii="Times New Roman" w:hAnsi="Times New Roman" w:eastAsia="宋体" w:cs="Times New Roman"/>
                <w:kern w:val="0"/>
                <w:sz w:val="20"/>
                <w:szCs w:val="20"/>
                <w:vertAlign w:val="superscript"/>
                <w:lang w:val="en-GB"/>
              </w:rPr>
              <w:t>+</w:t>
            </w:r>
            <w:r>
              <w:rPr>
                <w:rFonts w:hint="eastAsia" w:ascii="Times New Roman" w:hAnsi="Times New Roman" w:eastAsia="宋体" w:cs="Times New Roman"/>
                <w:kern w:val="0"/>
                <w:sz w:val="20"/>
                <w:szCs w:val="20"/>
                <w:lang w:val="en-GB"/>
              </w:rPr>
              <w:t>计），mg/</w:t>
            </w:r>
            <w:r>
              <w:rPr>
                <w:rFonts w:hint="eastAsia" w:ascii="Times New Roman" w:hAnsi="Times New Roman" w:eastAsia="宋体" w:cs="Times New Roman"/>
                <w:kern w:val="0"/>
                <w:sz w:val="20"/>
                <w:szCs w:val="20"/>
                <w:lang w:val="en-US"/>
              </w:rPr>
              <w:t>L</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锌（以Zn</w:t>
            </w:r>
            <w:r>
              <w:rPr>
                <w:rFonts w:hint="eastAsia" w:ascii="Times New Roman" w:hAnsi="Times New Roman" w:eastAsia="宋体" w:cs="Times New Roman"/>
                <w:kern w:val="0"/>
                <w:sz w:val="20"/>
                <w:szCs w:val="20"/>
                <w:vertAlign w:val="superscript"/>
                <w:lang w:val="en-GB"/>
              </w:rPr>
              <w:t>2+</w:t>
            </w:r>
            <w:r>
              <w:rPr>
                <w:rFonts w:hint="eastAsia" w:ascii="Times New Roman" w:hAnsi="Times New Roman" w:eastAsia="宋体" w:cs="Times New Roman"/>
                <w:kern w:val="0"/>
                <w:sz w:val="20"/>
                <w:szCs w:val="20"/>
                <w:lang w:val="en-GB"/>
              </w:rPr>
              <w:t>计），mg/</w:t>
            </w:r>
            <w:r>
              <w:rPr>
                <w:rFonts w:hint="eastAsia" w:ascii="Times New Roman" w:hAnsi="Times New Roman" w:eastAsia="宋体" w:cs="Times New Roman"/>
                <w:kern w:val="0"/>
                <w:sz w:val="20"/>
                <w:szCs w:val="20"/>
                <w:lang w:val="en-US"/>
              </w:rPr>
              <w:t>L</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0"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不挥发物（每100ml浸取液），mg</w:t>
            </w:r>
          </w:p>
        </w:tc>
        <w:tc>
          <w:tcPr>
            <w:tcW w:w="2484" w:type="dxa"/>
            <w:noWrap w:val="0"/>
            <w:vAlign w:val="top"/>
          </w:tcPr>
          <w:p>
            <w:pPr>
              <w:widowControl/>
              <w:jc w:val="center"/>
              <w:rPr>
                <w:rFonts w:hint="eastAsia" w:ascii="Times New Roman" w:hAnsi="Times New Roman" w:eastAsia="宋体" w:cs="Times New Roman"/>
                <w:kern w:val="0"/>
                <w:sz w:val="20"/>
                <w:szCs w:val="20"/>
                <w:lang w:val="en-GB"/>
              </w:rPr>
            </w:pPr>
            <w:r>
              <w:rPr>
                <w:rFonts w:hint="eastAsia" w:ascii="Times New Roman" w:hAnsi="Times New Roman" w:eastAsia="宋体" w:cs="Times New Roman"/>
                <w:kern w:val="0"/>
                <w:sz w:val="20"/>
                <w:szCs w:val="20"/>
                <w:lang w:val="en-GB"/>
              </w:rPr>
              <w:t>不高于4.0</w:t>
            </w:r>
          </w:p>
        </w:tc>
      </w:tr>
    </w:tbl>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bookmarkStart w:id="464" w:name="_Toc1565"/>
      <w:bookmarkStart w:id="465" w:name="_Toc25080"/>
      <w:bookmarkStart w:id="466" w:name="_Toc23875"/>
      <w:bookmarkStart w:id="467" w:name="_Toc8201"/>
      <w:r>
        <w:rPr>
          <w:rFonts w:hint="eastAsia" w:ascii="Times New Roman" w:hAnsi="Times New Roman" w:eastAsia="宋体" w:cs="Times New Roman"/>
          <w:i/>
          <w:sz w:val="24"/>
          <w:lang w:val="fr-FR" w:eastAsia="zh-CN" w:bidi="ar-SA"/>
        </w:rPr>
        <w:t>生物性能</w:t>
      </w:r>
      <w:bookmarkEnd w:id="464"/>
      <w:bookmarkEnd w:id="465"/>
      <w:bookmarkEnd w:id="466"/>
      <w:bookmarkEnd w:id="467"/>
      <w:r>
        <w:rPr>
          <w:rFonts w:hint="eastAsia" w:ascii="Times New Roman" w:hAnsi="Times New Roman" w:eastAsia="宋体" w:cs="Times New Roman"/>
          <w:i/>
          <w:sz w:val="24"/>
          <w:lang w:val="en-US" w:eastAsia="zh-CN" w:bidi="ar-SA"/>
        </w:rPr>
        <w:t xml:space="preserve"> </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bookmarkStart w:id="468" w:name="_Toc31222"/>
      <w:bookmarkStart w:id="469" w:name="_Toc3155"/>
      <w:bookmarkStart w:id="470" w:name="_Toc29189"/>
      <w:bookmarkStart w:id="471" w:name="_Toc21971"/>
      <w:r>
        <w:rPr>
          <w:rFonts w:hint="eastAsia" w:ascii="Times New Roman" w:hAnsi="Times New Roman" w:eastAsia="宋体" w:cs="Times New Roman"/>
          <w:i/>
          <w:sz w:val="21"/>
          <w:lang w:val="fr-FR" w:eastAsia="zh-CN" w:bidi="ar-SA"/>
        </w:rPr>
        <w:t>致热源</w:t>
      </w:r>
      <w:bookmarkEnd w:id="468"/>
      <w:bookmarkEnd w:id="469"/>
      <w:bookmarkEnd w:id="470"/>
      <w:bookmarkEnd w:id="471"/>
    </w:p>
    <w:p>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无致热源</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bookmarkStart w:id="472" w:name="_Toc14670"/>
      <w:bookmarkStart w:id="473" w:name="_Toc11170"/>
      <w:bookmarkStart w:id="474" w:name="_Toc28433"/>
      <w:bookmarkStart w:id="475" w:name="_Toc20144"/>
      <w:r>
        <w:rPr>
          <w:rFonts w:hint="eastAsia" w:ascii="Times New Roman" w:hAnsi="Times New Roman" w:eastAsia="宋体" w:cs="Times New Roman"/>
          <w:i/>
          <w:sz w:val="21"/>
          <w:lang w:val="fr-FR" w:eastAsia="zh-CN" w:bidi="ar-SA"/>
        </w:rPr>
        <w:t>急性毒性</w:t>
      </w:r>
      <w:bookmarkEnd w:id="472"/>
      <w:bookmarkEnd w:id="473"/>
      <w:bookmarkEnd w:id="474"/>
      <w:bookmarkEnd w:id="475"/>
    </w:p>
    <w:p>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小鼠尾静脉</w:t>
      </w:r>
      <w:r>
        <w:rPr>
          <w:rFonts w:hint="eastAsia" w:ascii="Times New Roman" w:hAnsi="Times New Roman" w:eastAsia="宋体" w:cs="Times New Roman"/>
          <w:kern w:val="0"/>
          <w:sz w:val="20"/>
          <w:szCs w:val="20"/>
          <w:lang w:val="en-US"/>
        </w:rPr>
        <w:t>接种</w:t>
      </w:r>
      <w:r>
        <w:rPr>
          <w:rFonts w:hint="eastAsia" w:ascii="Times New Roman" w:hAnsi="Times New Roman" w:eastAsia="宋体" w:cs="Times New Roman"/>
          <w:kern w:val="0"/>
          <w:sz w:val="20"/>
          <w:szCs w:val="20"/>
          <w:lang w:val="fr-FR"/>
        </w:rPr>
        <w:t>实验，观察3日，5/5只应全部健活</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bookmarkStart w:id="476" w:name="_Toc4341"/>
      <w:bookmarkStart w:id="477" w:name="_Toc8328"/>
      <w:bookmarkStart w:id="478" w:name="_Toc16876"/>
      <w:bookmarkStart w:id="479" w:name="_Toc32479"/>
      <w:r>
        <w:rPr>
          <w:rFonts w:hint="eastAsia" w:ascii="Times New Roman" w:hAnsi="Times New Roman" w:eastAsia="宋体" w:cs="Times New Roman"/>
          <w:i/>
          <w:sz w:val="21"/>
          <w:lang w:val="en-US" w:eastAsia="zh-CN" w:bidi="ar-SA"/>
        </w:rPr>
        <w:t>硅化</w:t>
      </w:r>
    </w:p>
    <w:p>
      <w:pPr>
        <w:widowControl/>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胶塞出厂前必需经过硅化，</w:t>
      </w:r>
      <w:r>
        <w:rPr>
          <w:rFonts w:hint="eastAsia" w:ascii="Times New Roman" w:hAnsi="Times New Roman" w:eastAsia="宋体" w:cs="Times New Roman"/>
          <w:kern w:val="0"/>
          <w:sz w:val="20"/>
          <w:szCs w:val="20"/>
          <w:lang w:val="en-US"/>
        </w:rPr>
        <w:t>提供硅化中硅油比例</w:t>
      </w:r>
    </w:p>
    <w:p>
      <w:pPr>
        <w:keepNext/>
        <w:numPr>
          <w:ilvl w:val="3"/>
          <w:numId w:val="15"/>
        </w:numPr>
        <w:spacing w:before="240" w:beforeLines="0" w:after="60" w:afterLines="0"/>
        <w:outlineLvl w:val="3"/>
        <w:rPr>
          <w:rFonts w:hint="eastAsia" w:ascii="Times New Roman" w:hAnsi="Times New Roman" w:eastAsia="宋体" w:cs="Times New Roman"/>
          <w:i/>
          <w:sz w:val="21"/>
          <w:lang w:val="fr-FR" w:eastAsia="zh-CN" w:bidi="ar-SA"/>
        </w:rPr>
      </w:pPr>
      <w:r>
        <w:rPr>
          <w:rFonts w:hint="eastAsia" w:ascii="Times New Roman" w:hAnsi="Times New Roman" w:eastAsia="宋体" w:cs="Times New Roman"/>
          <w:i/>
          <w:sz w:val="21"/>
          <w:lang w:val="fr-FR" w:eastAsia="zh-CN" w:bidi="ar-SA"/>
        </w:rPr>
        <w:t>溶血作用</w:t>
      </w:r>
      <w:bookmarkEnd w:id="476"/>
      <w:bookmarkEnd w:id="477"/>
      <w:bookmarkEnd w:id="478"/>
      <w:bookmarkEnd w:id="479"/>
    </w:p>
    <w:p>
      <w:pPr>
        <w:widowControl/>
        <w:jc w:val="left"/>
        <w:rPr>
          <w:rFonts w:hint="eastAsia" w:ascii="宋体" w:hAnsi="宋体" w:eastAsia="宋体" w:cs="宋体"/>
          <w:kern w:val="0"/>
          <w:sz w:val="20"/>
          <w:szCs w:val="20"/>
          <w:lang w:val="fr-FR"/>
        </w:rPr>
      </w:pPr>
      <w:r>
        <w:rPr>
          <w:rFonts w:hint="eastAsia" w:ascii="Times New Roman" w:hAnsi="Times New Roman" w:eastAsia="宋体" w:cs="Times New Roman"/>
          <w:kern w:val="0"/>
          <w:sz w:val="20"/>
          <w:szCs w:val="20"/>
          <w:lang w:val="fr-FR"/>
        </w:rPr>
        <w:t>溶血率应小于5%</w:t>
      </w:r>
    </w:p>
    <w:p>
      <w:pPr>
        <w:keepNext/>
        <w:numPr>
          <w:ilvl w:val="2"/>
          <w:numId w:val="15"/>
        </w:numPr>
        <w:spacing w:before="240" w:beforeLines="0" w:after="60" w:afterLines="0"/>
        <w:outlineLvl w:val="2"/>
        <w:rPr>
          <w:rFonts w:hint="eastAsia" w:ascii="Times New Roman" w:hAnsi="Times New Roman" w:eastAsia="宋体" w:cs="Times New Roman"/>
          <w:i/>
          <w:sz w:val="24"/>
          <w:lang w:val="fr-FR" w:eastAsia="zh-CN" w:bidi="ar-SA"/>
        </w:rPr>
      </w:pPr>
      <w:bookmarkStart w:id="480" w:name="_Toc29790"/>
      <w:bookmarkStart w:id="481" w:name="_Toc5808"/>
      <w:bookmarkStart w:id="482" w:name="_Toc18977"/>
      <w:bookmarkStart w:id="483" w:name="_Toc22853"/>
      <w:r>
        <w:rPr>
          <w:rFonts w:hint="eastAsia" w:ascii="Times New Roman" w:hAnsi="Times New Roman" w:eastAsia="宋体" w:cs="Times New Roman"/>
          <w:i/>
          <w:sz w:val="24"/>
          <w:lang w:val="fr-FR" w:eastAsia="zh-CN" w:bidi="ar-SA"/>
        </w:rPr>
        <w:t>外观</w:t>
      </w:r>
      <w:bookmarkEnd w:id="480"/>
      <w:bookmarkEnd w:id="481"/>
      <w:bookmarkEnd w:id="482"/>
      <w:bookmarkEnd w:id="483"/>
      <w:r>
        <w:rPr>
          <w:rFonts w:hint="eastAsia" w:ascii="Times New Roman" w:hAnsi="Times New Roman" w:eastAsia="宋体" w:cs="Times New Roman"/>
          <w:i/>
          <w:sz w:val="24"/>
          <w:lang w:val="fr-FR" w:eastAsia="zh-CN" w:bidi="ar-SA"/>
        </w:rPr>
        <w:t xml:space="preserve">  </w:t>
      </w:r>
    </w:p>
    <w:p>
      <w:pPr>
        <w:widowControl/>
        <w:numPr>
          <w:ilvl w:val="0"/>
          <w:numId w:val="21"/>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表面不应有污点、杂质、气泡、裂纹</w:t>
      </w:r>
    </w:p>
    <w:p>
      <w:pPr>
        <w:widowControl/>
        <w:numPr>
          <w:ilvl w:val="0"/>
          <w:numId w:val="21"/>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表面不应有缺胶、粗糙、胶丝、胶屑、海绵状，毛边</w:t>
      </w:r>
    </w:p>
    <w:p>
      <w:pPr>
        <w:widowControl/>
        <w:numPr>
          <w:ilvl w:val="0"/>
          <w:numId w:val="21"/>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不应有除边造成的残缺或锯齿现象</w:t>
      </w:r>
    </w:p>
    <w:p>
      <w:pPr>
        <w:widowControl/>
        <w:numPr>
          <w:ilvl w:val="0"/>
          <w:numId w:val="21"/>
        </w:numPr>
        <w:ind w:left="425" w:hanging="425"/>
        <w:jc w:val="left"/>
        <w:rPr>
          <w:rFonts w:hint="eastAsia" w:ascii="Times New Roman" w:hAnsi="Times New Roman" w:eastAsia="宋体" w:cs="Times New Roman"/>
          <w:kern w:val="0"/>
          <w:sz w:val="20"/>
          <w:szCs w:val="20"/>
          <w:lang w:val="fr-FR"/>
        </w:rPr>
      </w:pPr>
      <w:r>
        <w:rPr>
          <w:rFonts w:hint="eastAsia" w:ascii="Times New Roman" w:hAnsi="Times New Roman" w:eastAsia="宋体" w:cs="Times New Roman"/>
          <w:kern w:val="0"/>
          <w:sz w:val="20"/>
          <w:szCs w:val="20"/>
          <w:lang w:val="fr-FR"/>
        </w:rPr>
        <w:t>不应有模具造成的明显痕迹</w:t>
      </w:r>
    </w:p>
    <w:p>
      <w:pPr>
        <w:widowControl/>
        <w:numPr>
          <w:ilvl w:val="0"/>
          <w:numId w:val="21"/>
        </w:numPr>
        <w:ind w:left="425" w:hanging="425"/>
        <w:jc w:val="left"/>
        <w:rPr>
          <w:rFonts w:hint="eastAsia" w:ascii="宋体" w:hAnsi="宋体" w:eastAsia="宋体" w:cs="宋体"/>
          <w:kern w:val="0"/>
          <w:sz w:val="20"/>
          <w:szCs w:val="20"/>
          <w:lang w:val="fr-FR"/>
        </w:rPr>
      </w:pPr>
      <w:r>
        <w:rPr>
          <w:rFonts w:hint="eastAsia" w:ascii="Times New Roman" w:hAnsi="Times New Roman" w:eastAsia="宋体" w:cs="Times New Roman"/>
          <w:kern w:val="0"/>
          <w:sz w:val="20"/>
          <w:szCs w:val="20"/>
          <w:lang w:val="fr-FR"/>
        </w:rPr>
        <w:t>表面</w:t>
      </w:r>
      <w:r>
        <w:rPr>
          <w:rFonts w:hint="eastAsia" w:ascii="Times New Roman" w:hAnsi="Times New Roman" w:eastAsia="宋体" w:cs="Times New Roman"/>
          <w:kern w:val="0"/>
          <w:sz w:val="20"/>
          <w:szCs w:val="20"/>
          <w:lang w:val="en-US"/>
        </w:rPr>
        <w:t>的</w:t>
      </w:r>
      <w:r>
        <w:rPr>
          <w:rFonts w:hint="eastAsia" w:ascii="Times New Roman" w:hAnsi="Times New Roman" w:eastAsia="宋体" w:cs="Times New Roman"/>
          <w:kern w:val="0"/>
          <w:sz w:val="20"/>
          <w:szCs w:val="20"/>
          <w:lang w:val="fr-FR"/>
        </w:rPr>
        <w:t>色泽</w:t>
      </w:r>
      <w:r>
        <w:rPr>
          <w:rFonts w:hint="eastAsia" w:ascii="Times New Roman" w:hAnsi="Times New Roman" w:eastAsia="宋体" w:cs="Times New Roman"/>
          <w:kern w:val="0"/>
          <w:sz w:val="20"/>
          <w:szCs w:val="20"/>
          <w:lang w:val="en-US"/>
        </w:rPr>
        <w:t>应</w:t>
      </w:r>
      <w:r>
        <w:rPr>
          <w:rFonts w:hint="eastAsia" w:ascii="Times New Roman" w:hAnsi="Times New Roman" w:eastAsia="宋体" w:cs="Times New Roman"/>
          <w:kern w:val="0"/>
          <w:sz w:val="20"/>
          <w:szCs w:val="20"/>
          <w:lang w:val="fr-FR"/>
        </w:rPr>
        <w:t>均匀</w:t>
      </w:r>
    </w:p>
    <w:p>
      <w:pPr>
        <w:keepNext/>
        <w:numPr>
          <w:ilvl w:val="0"/>
          <w:numId w:val="15"/>
        </w:numPr>
        <w:spacing w:before="240" w:beforeLines="0" w:after="60" w:afterLines="0"/>
        <w:outlineLvl w:val="0"/>
        <w:rPr>
          <w:rFonts w:hint="eastAsia" w:ascii="Times New Roman" w:hAnsi="Times New Roman" w:eastAsia="宋体" w:cs="Times New Roman"/>
          <w:b/>
          <w:caps/>
          <w:kern w:val="28"/>
          <w:sz w:val="30"/>
          <w:lang w:val="en-US" w:eastAsia="zh-CN" w:bidi="ar-SA"/>
        </w:rPr>
      </w:pPr>
      <w:r>
        <w:rPr>
          <w:rFonts w:hint="eastAsia" w:ascii="Times New Roman" w:hAnsi="Times New Roman" w:eastAsia="宋体" w:cs="Times New Roman"/>
          <w:b/>
          <w:caps/>
          <w:kern w:val="28"/>
          <w:sz w:val="30"/>
          <w:lang w:val="en-US" w:eastAsia="zh-CN" w:bidi="ar-SA"/>
        </w:rPr>
        <w:t>供货要求</w:t>
      </w:r>
    </w:p>
    <w:p>
      <w:pPr>
        <w:widowControl/>
        <w:numPr>
          <w:ilvl w:val="0"/>
          <w:numId w:val="22"/>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胶塞外部至少两层塑料袋包装，每袋胶塞数量误差±0.3%</w:t>
      </w:r>
    </w:p>
    <w:p>
      <w:pPr>
        <w:widowControl/>
        <w:numPr>
          <w:ilvl w:val="0"/>
          <w:numId w:val="22"/>
        </w:numPr>
        <w:ind w:left="425" w:hanging="425"/>
        <w:jc w:val="left"/>
        <w:rPr>
          <w:rFonts w:hint="eastAsia" w:ascii="Times New Roman" w:hAnsi="Times New Roman" w:eastAsia="宋体" w:cs="Times New Roman"/>
          <w:kern w:val="0"/>
          <w:sz w:val="20"/>
          <w:szCs w:val="20"/>
          <w:lang w:val="en-US"/>
        </w:rPr>
      </w:pP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20规格胶塞每袋至少3000只，</w:t>
      </w:r>
      <w:r>
        <w:rPr>
          <w:rFonts w:ascii="Times New Roman" w:hAnsi="Times New Roman" w:eastAsia="宋体" w:cs="Times New Roman"/>
          <w:kern w:val="0"/>
          <w:sz w:val="20"/>
          <w:szCs w:val="20"/>
          <w:lang w:val="en-US"/>
        </w:rPr>
        <w:t>Ø</w:t>
      </w:r>
      <w:r>
        <w:rPr>
          <w:rFonts w:hint="eastAsia" w:ascii="Times New Roman" w:hAnsi="Times New Roman" w:eastAsia="宋体" w:cs="Times New Roman"/>
          <w:kern w:val="0"/>
          <w:sz w:val="20"/>
          <w:szCs w:val="20"/>
          <w:lang w:val="en-US"/>
        </w:rPr>
        <w:t>28规格胶塞每袋至少2000只，每袋装量取千位整数</w:t>
      </w:r>
    </w:p>
    <w:p>
      <w:pPr>
        <w:widowControl/>
        <w:numPr>
          <w:ilvl w:val="0"/>
          <w:numId w:val="22"/>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每新批次采购胶塞的首次使用作为试用批次，试用合格后，整批投入生产；试用不合格，整批退回</w:t>
      </w:r>
    </w:p>
    <w:p>
      <w:pPr>
        <w:widowControl/>
        <w:numPr>
          <w:ilvl w:val="0"/>
          <w:numId w:val="22"/>
        </w:numPr>
        <w:ind w:left="425" w:hanging="425"/>
        <w:jc w:val="left"/>
        <w:rPr>
          <w:rFonts w:hint="eastAsia" w:ascii="Times New Roman" w:hAnsi="Times New Roman" w:eastAsia="宋体" w:cs="Times New Roman"/>
          <w:kern w:val="0"/>
          <w:sz w:val="20"/>
          <w:szCs w:val="20"/>
          <w:lang w:val="en-US"/>
        </w:rPr>
      </w:pPr>
      <w:r>
        <w:rPr>
          <w:rFonts w:hint="eastAsia" w:ascii="Times New Roman" w:hAnsi="Times New Roman" w:eastAsia="宋体" w:cs="Times New Roman"/>
          <w:kern w:val="0"/>
          <w:sz w:val="20"/>
          <w:szCs w:val="20"/>
          <w:lang w:val="en-US"/>
        </w:rPr>
        <w:t>若有异常情况，24小时内给出合理处理意见</w:t>
      </w:r>
    </w:p>
    <w:p>
      <w:pPr>
        <w:bidi w:val="0"/>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color w:val="auto"/>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344DA33"/>
    <w:multiLevelType w:val="singleLevel"/>
    <w:tmpl w:val="6344DA33"/>
    <w:lvl w:ilvl="0" w:tentative="0">
      <w:start w:val="1"/>
      <w:numFmt w:val="decimal"/>
      <w:lvlText w:val="%1."/>
      <w:lvlJc w:val="left"/>
      <w:pPr>
        <w:tabs>
          <w:tab w:val="left" w:pos="425"/>
        </w:tabs>
        <w:ind w:left="425" w:hanging="425"/>
      </w:pPr>
      <w:rPr>
        <w:rFonts w:hint="default"/>
      </w:rPr>
    </w:lvl>
  </w:abstractNum>
  <w:abstractNum w:abstractNumId="13">
    <w:nsid w:val="6344DAB4"/>
    <w:multiLevelType w:val="singleLevel"/>
    <w:tmpl w:val="6344DAB4"/>
    <w:lvl w:ilvl="0" w:tentative="0">
      <w:start w:val="1"/>
      <w:numFmt w:val="decimal"/>
      <w:lvlText w:val="%1."/>
      <w:lvlJc w:val="left"/>
      <w:pPr>
        <w:tabs>
          <w:tab w:val="left" w:pos="425"/>
        </w:tabs>
        <w:ind w:left="425" w:hanging="425"/>
      </w:pPr>
      <w:rPr>
        <w:rFonts w:hint="default"/>
      </w:rPr>
    </w:lvl>
  </w:abstractNum>
  <w:abstractNum w:abstractNumId="14">
    <w:nsid w:val="6344DAC9"/>
    <w:multiLevelType w:val="singleLevel"/>
    <w:tmpl w:val="6344DAC9"/>
    <w:lvl w:ilvl="0" w:tentative="0">
      <w:start w:val="1"/>
      <w:numFmt w:val="decimal"/>
      <w:lvlText w:val="%1."/>
      <w:lvlJc w:val="left"/>
      <w:pPr>
        <w:tabs>
          <w:tab w:val="left" w:pos="425"/>
        </w:tabs>
        <w:ind w:left="425" w:hanging="425"/>
      </w:pPr>
      <w:rPr>
        <w:rFonts w:hint="default"/>
      </w:rPr>
    </w:lvl>
  </w:abstractNum>
  <w:abstractNum w:abstractNumId="15">
    <w:nsid w:val="6344DD01"/>
    <w:multiLevelType w:val="singleLevel"/>
    <w:tmpl w:val="6344DD01"/>
    <w:lvl w:ilvl="0" w:tentative="0">
      <w:start w:val="1"/>
      <w:numFmt w:val="decimal"/>
      <w:lvlText w:val="%1."/>
      <w:lvlJc w:val="left"/>
      <w:pPr>
        <w:tabs>
          <w:tab w:val="left" w:pos="425"/>
        </w:tabs>
        <w:ind w:left="425" w:hanging="425"/>
      </w:pPr>
      <w:rPr>
        <w:rFonts w:hint="default"/>
      </w:rPr>
    </w:lvl>
  </w:abstractNum>
  <w:abstractNum w:abstractNumId="16">
    <w:nsid w:val="6344DD25"/>
    <w:multiLevelType w:val="singleLevel"/>
    <w:tmpl w:val="6344DD25"/>
    <w:lvl w:ilvl="0" w:tentative="0">
      <w:start w:val="1"/>
      <w:numFmt w:val="decimal"/>
      <w:lvlText w:val="%1."/>
      <w:lvlJc w:val="left"/>
      <w:pPr>
        <w:tabs>
          <w:tab w:val="left" w:pos="425"/>
        </w:tabs>
        <w:ind w:left="425" w:hanging="425"/>
      </w:pPr>
      <w:rPr>
        <w:rFonts w:hint="default"/>
      </w:rPr>
    </w:lvl>
  </w:abstractNum>
  <w:abstractNum w:abstractNumId="17">
    <w:nsid w:val="6350B222"/>
    <w:multiLevelType w:val="singleLevel"/>
    <w:tmpl w:val="6350B222"/>
    <w:lvl w:ilvl="0" w:tentative="0">
      <w:start w:val="1"/>
      <w:numFmt w:val="decimal"/>
      <w:lvlText w:val="%1."/>
      <w:lvlJc w:val="left"/>
      <w:pPr>
        <w:tabs>
          <w:tab w:val="left" w:pos="425"/>
        </w:tabs>
        <w:ind w:left="425" w:hanging="425"/>
      </w:pPr>
      <w:rPr>
        <w:rFonts w:hint="default"/>
      </w:rPr>
    </w:lvl>
  </w:abstractNum>
  <w:abstractNum w:abstractNumId="18">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9">
    <w:nsid w:val="763D8994"/>
    <w:multiLevelType w:val="singleLevel"/>
    <w:tmpl w:val="763D8994"/>
    <w:lvl w:ilvl="0" w:tentative="0">
      <w:start w:val="1"/>
      <w:numFmt w:val="decimal"/>
      <w:lvlText w:val="%1."/>
      <w:lvlJc w:val="left"/>
      <w:pPr>
        <w:ind w:left="425" w:hanging="425"/>
      </w:pPr>
      <w:rPr>
        <w:rFonts w:hint="default"/>
      </w:rPr>
    </w:lvl>
  </w:abstractNum>
  <w:abstractNum w:abstractNumId="20">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21">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21"/>
  </w:num>
  <w:num w:numId="5">
    <w:abstractNumId w:val="2"/>
  </w:num>
  <w:num w:numId="6">
    <w:abstractNumId w:val="20"/>
  </w:num>
  <w:num w:numId="7">
    <w:abstractNumId w:val="10"/>
  </w:num>
  <w:num w:numId="8">
    <w:abstractNumId w:val="5"/>
  </w:num>
  <w:num w:numId="9">
    <w:abstractNumId w:val="0"/>
  </w:num>
  <w:num w:numId="10">
    <w:abstractNumId w:val="11"/>
  </w:num>
  <w:num w:numId="11">
    <w:abstractNumId w:val="9"/>
  </w:num>
  <w:num w:numId="12">
    <w:abstractNumId w:val="18"/>
  </w:num>
  <w:num w:numId="13">
    <w:abstractNumId w:val="6"/>
  </w:num>
  <w:num w:numId="14">
    <w:abstractNumId w:val="7"/>
  </w:num>
  <w:num w:numId="15">
    <w:abstractNumId w:val="4"/>
  </w:num>
  <w:num w:numId="16">
    <w:abstractNumId w:val="19"/>
  </w:num>
  <w:num w:numId="17">
    <w:abstractNumId w:val="12"/>
  </w:num>
  <w:num w:numId="18">
    <w:abstractNumId w:val="13"/>
  </w:num>
  <w:num w:numId="19">
    <w:abstractNumId w:val="17"/>
  </w:num>
  <w:num w:numId="20">
    <w:abstractNumId w:val="14"/>
  </w:num>
  <w:num w:numId="21">
    <w:abstractNumId w:val="15"/>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685381"/>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A86A82"/>
    <w:rsid w:val="2F6D3579"/>
    <w:rsid w:val="30343EB8"/>
    <w:rsid w:val="30923BB0"/>
    <w:rsid w:val="31A71994"/>
    <w:rsid w:val="31C03214"/>
    <w:rsid w:val="3371124C"/>
    <w:rsid w:val="33716BC9"/>
    <w:rsid w:val="33BB31BC"/>
    <w:rsid w:val="33DA7906"/>
    <w:rsid w:val="3436155A"/>
    <w:rsid w:val="347A6C66"/>
    <w:rsid w:val="34E83EA9"/>
    <w:rsid w:val="35865A65"/>
    <w:rsid w:val="359C48DD"/>
    <w:rsid w:val="35F37D16"/>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019B5"/>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35D0E7E"/>
    <w:rsid w:val="63827325"/>
    <w:rsid w:val="639F5962"/>
    <w:rsid w:val="64BC1D3B"/>
    <w:rsid w:val="64E01543"/>
    <w:rsid w:val="65130267"/>
    <w:rsid w:val="68DA1A60"/>
    <w:rsid w:val="6A1D6B70"/>
    <w:rsid w:val="6A903AE2"/>
    <w:rsid w:val="6AF56893"/>
    <w:rsid w:val="6B085BBE"/>
    <w:rsid w:val="6B0C4773"/>
    <w:rsid w:val="6B277F37"/>
    <w:rsid w:val="6B716B29"/>
    <w:rsid w:val="6C741EF9"/>
    <w:rsid w:val="6D094D94"/>
    <w:rsid w:val="6DC65A80"/>
    <w:rsid w:val="6E380D0C"/>
    <w:rsid w:val="6ED42A0E"/>
    <w:rsid w:val="6EE168B7"/>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17446</Words>
  <Characters>18408</Characters>
  <Lines>243</Lines>
  <Paragraphs>68</Paragraphs>
  <TotalTime>18</TotalTime>
  <ScaleCrop>false</ScaleCrop>
  <LinksUpToDate>false</LinksUpToDate>
  <CharactersWithSpaces>20144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2025-08-19T07:36:21Z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