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F1F29F4">
      <w:pPr>
        <w:spacing w:line="360" w:lineRule="auto"/>
        <w:rPr>
          <w:rFonts w:hint="eastAsia" w:ascii="宋体" w:hAnsi="宋体"/>
          <w:b/>
          <w:szCs w:val="21"/>
          <w:highlight w:val="none"/>
        </w:rPr>
      </w:pPr>
    </w:p>
    <w:p w14:paraId="1641299F">
      <w:pPr>
        <w:jc w:val="center"/>
        <w:rPr>
          <w:rFonts w:hint="eastAsia" w:ascii="宋体" w:hAnsi="宋体"/>
          <w:b/>
          <w:szCs w:val="21"/>
          <w:highlight w:val="none"/>
        </w:rPr>
      </w:pPr>
      <w:bookmarkStart w:id="0" w:name="_Toc144974478"/>
      <w:bookmarkStart w:id="1" w:name="_Toc152042286"/>
    </w:p>
    <w:p w14:paraId="16BCDDA5">
      <w:pPr>
        <w:jc w:val="center"/>
        <w:rPr>
          <w:rFonts w:ascii="宋体" w:hAnsi="宋体"/>
          <w:b/>
          <w:sz w:val="72"/>
          <w:szCs w:val="72"/>
          <w:highlight w:val="none"/>
        </w:rPr>
      </w:pPr>
      <w:r>
        <w:rPr>
          <w:rFonts w:hint="eastAsia" w:ascii="宋体" w:hAnsi="宋体"/>
          <w:b/>
          <w:sz w:val="72"/>
          <w:szCs w:val="72"/>
          <w:highlight w:val="none"/>
        </w:rPr>
        <w:t>招  标  文  件</w:t>
      </w:r>
    </w:p>
    <w:p w14:paraId="021729BA">
      <w:pPr>
        <w:jc w:val="center"/>
        <w:rPr>
          <w:rFonts w:ascii="宋体" w:hAnsi="宋体"/>
          <w:b/>
          <w:szCs w:val="21"/>
          <w:highlight w:val="none"/>
        </w:rPr>
      </w:pPr>
    </w:p>
    <w:p w14:paraId="5AD2361C">
      <w:pPr>
        <w:pStyle w:val="3"/>
        <w:tabs>
          <w:tab w:val="left" w:pos="5040"/>
        </w:tabs>
        <w:spacing w:before="0" w:after="0"/>
        <w:outlineLvl w:val="9"/>
        <w:rPr>
          <w:rFonts w:hint="eastAsia" w:ascii="宋体" w:hAnsi="宋体"/>
          <w:sz w:val="21"/>
          <w:szCs w:val="21"/>
          <w:highlight w:val="none"/>
        </w:rPr>
      </w:pPr>
    </w:p>
    <w:p w14:paraId="2824E9D2">
      <w:pPr>
        <w:rPr>
          <w:rFonts w:hint="eastAsia" w:ascii="宋体" w:hAnsi="宋体"/>
          <w:szCs w:val="21"/>
          <w:highlight w:val="none"/>
        </w:rPr>
      </w:pPr>
    </w:p>
    <w:p w14:paraId="6630EC19">
      <w:pPr>
        <w:rPr>
          <w:rFonts w:hint="eastAsia" w:ascii="宋体" w:hAnsi="宋体"/>
          <w:szCs w:val="21"/>
          <w:highlight w:val="none"/>
        </w:rPr>
      </w:pPr>
    </w:p>
    <w:p w14:paraId="0132CF5C">
      <w:pPr>
        <w:rPr>
          <w:rFonts w:ascii="宋体" w:hAnsi="宋体"/>
          <w:szCs w:val="21"/>
          <w:highlight w:val="none"/>
        </w:rPr>
      </w:pPr>
    </w:p>
    <w:p w14:paraId="42BD2751">
      <w:pPr>
        <w:pStyle w:val="2"/>
        <w:spacing w:line="360" w:lineRule="auto"/>
        <w:ind w:left="1440" w:right="-22" w:firstLine="422"/>
        <w:rPr>
          <w:rFonts w:ascii="宋体" w:hAnsi="宋体"/>
          <w:b/>
          <w:szCs w:val="21"/>
          <w:highlight w:val="none"/>
        </w:rPr>
      </w:pPr>
    </w:p>
    <w:p w14:paraId="0CF2A410">
      <w:pPr>
        <w:pStyle w:val="2"/>
        <w:tabs>
          <w:tab w:val="left" w:pos="7230"/>
        </w:tabs>
        <w:spacing w:line="360" w:lineRule="auto"/>
        <w:ind w:left="1440" w:right="-22" w:firstLine="602"/>
        <w:rPr>
          <w:rFonts w:hint="eastAsia"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eastAsia="zh-CN"/>
        </w:rPr>
        <w:t>WKZB-202</w:t>
      </w:r>
      <w:r>
        <w:rPr>
          <w:rFonts w:hint="eastAsia" w:ascii="宋体" w:hAnsi="宋体"/>
          <w:b/>
          <w:sz w:val="30"/>
          <w:szCs w:val="30"/>
          <w:highlight w:val="none"/>
          <w:lang w:val="en-US" w:eastAsia="zh-CN"/>
        </w:rPr>
        <w:t>6</w:t>
      </w:r>
      <w:r>
        <w:rPr>
          <w:rFonts w:hint="eastAsia" w:ascii="宋体" w:hAnsi="宋体"/>
          <w:b/>
          <w:sz w:val="30"/>
          <w:szCs w:val="30"/>
          <w:highlight w:val="none"/>
          <w:lang w:eastAsia="zh-CN"/>
        </w:rPr>
        <w:t>-02</w:t>
      </w:r>
      <w:r>
        <w:rPr>
          <w:rFonts w:hint="eastAsia" w:ascii="宋体" w:hAnsi="宋体"/>
          <w:b/>
          <w:sz w:val="30"/>
          <w:szCs w:val="30"/>
          <w:highlight w:val="none"/>
          <w:lang w:val="en-US" w:eastAsia="zh-CN"/>
        </w:rPr>
        <w:t>4</w:t>
      </w:r>
    </w:p>
    <w:p w14:paraId="6194F4A0">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司本 吐温</w:t>
      </w:r>
    </w:p>
    <w:p w14:paraId="1FF8F3B9">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21ECD94A">
      <w:pPr>
        <w:pStyle w:val="2"/>
        <w:tabs>
          <w:tab w:val="left" w:pos="3045"/>
        </w:tabs>
        <w:spacing w:line="360" w:lineRule="auto"/>
        <w:ind w:left="1440" w:right="-22" w:firstLine="602"/>
        <w:rPr>
          <w:rFonts w:ascii="宋体" w:hAnsi="宋体"/>
          <w:b/>
          <w:sz w:val="30"/>
          <w:szCs w:val="30"/>
          <w:highlight w:val="none"/>
        </w:rPr>
      </w:pPr>
    </w:p>
    <w:p w14:paraId="34459EE7">
      <w:pPr>
        <w:spacing w:line="360" w:lineRule="auto"/>
        <w:rPr>
          <w:rFonts w:ascii="宋体" w:hAnsi="宋体"/>
          <w:sz w:val="30"/>
          <w:szCs w:val="30"/>
          <w:highlight w:val="none"/>
        </w:rPr>
      </w:pPr>
      <w:bookmarkStart w:id="416" w:name="_GoBack"/>
      <w:bookmarkEnd w:id="416"/>
    </w:p>
    <w:p w14:paraId="487FDD44">
      <w:pPr>
        <w:pStyle w:val="2"/>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00C750ED">
      <w:pPr>
        <w:pStyle w:val="2"/>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09238C50">
      <w:pPr>
        <w:pStyle w:val="2"/>
        <w:tabs>
          <w:tab w:val="left" w:pos="3675"/>
          <w:tab w:val="left" w:pos="5040"/>
        </w:tabs>
        <w:spacing w:line="360" w:lineRule="auto"/>
        <w:ind w:right="-22" w:firstLine="1476" w:firstLineChars="700"/>
        <w:rPr>
          <w:rFonts w:hint="eastAsia" w:ascii="宋体" w:hAnsi="宋体"/>
          <w:b/>
          <w:szCs w:val="21"/>
          <w:highlight w:val="none"/>
        </w:rPr>
      </w:pPr>
    </w:p>
    <w:p w14:paraId="4C1B9A89">
      <w:pPr>
        <w:pStyle w:val="2"/>
        <w:tabs>
          <w:tab w:val="left" w:pos="3675"/>
          <w:tab w:val="left" w:pos="5040"/>
        </w:tabs>
        <w:spacing w:line="360" w:lineRule="auto"/>
        <w:ind w:right="-22" w:firstLine="1476" w:firstLineChars="700"/>
        <w:rPr>
          <w:rFonts w:hint="eastAsia" w:ascii="宋体" w:hAnsi="宋体"/>
          <w:b/>
          <w:szCs w:val="21"/>
          <w:highlight w:val="none"/>
        </w:rPr>
      </w:pPr>
    </w:p>
    <w:p w14:paraId="3EF67A68">
      <w:pPr>
        <w:pStyle w:val="2"/>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2A7E30FD">
      <w:pPr>
        <w:pStyle w:val="2"/>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w:t>
      </w:r>
      <w:r>
        <w:rPr>
          <w:rFonts w:hint="eastAsia" w:ascii="宋体" w:hAnsi="宋体"/>
          <w:b/>
          <w:sz w:val="32"/>
          <w:szCs w:val="32"/>
          <w:highlight w:val="none"/>
        </w:rPr>
        <w:t>年</w:t>
      </w:r>
      <w:r>
        <w:rPr>
          <w:rFonts w:hint="eastAsia" w:ascii="宋体" w:hAnsi="宋体"/>
          <w:b/>
          <w:sz w:val="32"/>
          <w:szCs w:val="32"/>
          <w:highlight w:val="none"/>
          <w:lang w:val="en-US" w:eastAsia="zh-CN"/>
        </w:rPr>
        <w:t>十</w:t>
      </w:r>
      <w:r>
        <w:rPr>
          <w:rFonts w:hint="eastAsia" w:ascii="宋体" w:hAnsi="宋体"/>
          <w:b/>
          <w:sz w:val="32"/>
          <w:szCs w:val="32"/>
          <w:highlight w:val="none"/>
        </w:rPr>
        <w:t>月</w:t>
      </w:r>
    </w:p>
    <w:p w14:paraId="25FA259C">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7C1BC9EF">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1FB9B2A6">
          <w:pPr>
            <w:spacing w:before="0" w:beforeLines="0" w:after="0" w:afterLines="0" w:line="240" w:lineRule="auto"/>
            <w:ind w:left="0" w:leftChars="0" w:right="0" w:rightChars="0" w:firstLine="0" w:firstLineChars="0"/>
            <w:jc w:val="center"/>
            <w:rPr>
              <w:highlight w:val="none"/>
            </w:rPr>
          </w:pPr>
        </w:p>
        <w:p w14:paraId="2E7AA25B">
          <w:pPr>
            <w:pStyle w:val="33"/>
            <w:tabs>
              <w:tab w:val="right" w:leader="dot" w:pos="8306"/>
              <w:tab w:val="clear" w:pos="8296"/>
            </w:tabs>
            <w:rPr>
              <w:sz w:val="24"/>
              <w:szCs w:val="24"/>
              <w:highlight w:val="none"/>
            </w:rPr>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_Toc30703 </w:instrText>
          </w:r>
          <w:r>
            <w:rPr>
              <w:rFonts w:hint="eastAsia" w:ascii="宋体" w:hAnsi="宋体"/>
              <w:sz w:val="24"/>
              <w:szCs w:val="24"/>
              <w:highlight w:val="none"/>
            </w:rPr>
            <w:fldChar w:fldCharType="separate"/>
          </w:r>
          <w:r>
            <w:rPr>
              <w:rFonts w:hint="default" w:ascii="宋体" w:hAnsi="宋体"/>
              <w:bCs/>
              <w:sz w:val="24"/>
              <w:szCs w:val="24"/>
              <w:highlight w:val="none"/>
              <w:lang w:val="en-US"/>
            </w:rPr>
            <w:t xml:space="preserve">第一章 </w:t>
          </w:r>
          <w:r>
            <w:rPr>
              <w:rFonts w:hint="eastAsia" w:ascii="宋体" w:hAnsi="宋体"/>
              <w:bCs w:val="0"/>
              <w:sz w:val="24"/>
              <w:szCs w:val="24"/>
              <w:highlight w:val="none"/>
            </w:rPr>
            <w:t>投标</w:t>
          </w:r>
          <w:r>
            <w:rPr>
              <w:rFonts w:hint="eastAsia" w:ascii="宋体" w:hAnsi="宋体"/>
              <w:bCs w:val="0"/>
              <w:sz w:val="24"/>
              <w:szCs w:val="24"/>
              <w:highlight w:val="none"/>
              <w:lang w:val="en-US" w:eastAsia="zh-CN"/>
            </w:rPr>
            <w:t>公告</w:t>
          </w:r>
          <w:r>
            <w:rPr>
              <w:sz w:val="24"/>
              <w:szCs w:val="24"/>
              <w:highlight w:val="none"/>
            </w:rPr>
            <w:tab/>
          </w:r>
          <w:r>
            <w:rPr>
              <w:sz w:val="24"/>
              <w:szCs w:val="24"/>
              <w:highlight w:val="none"/>
            </w:rPr>
            <w:fldChar w:fldCharType="begin"/>
          </w:r>
          <w:r>
            <w:rPr>
              <w:sz w:val="24"/>
              <w:szCs w:val="24"/>
              <w:highlight w:val="none"/>
            </w:rPr>
            <w:instrText xml:space="preserve"> PAGEREF _Toc30703 \h </w:instrText>
          </w:r>
          <w:r>
            <w:rPr>
              <w:sz w:val="24"/>
              <w:szCs w:val="24"/>
              <w:highlight w:val="none"/>
            </w:rPr>
            <w:fldChar w:fldCharType="separate"/>
          </w:r>
          <w:r>
            <w:rPr>
              <w:sz w:val="24"/>
              <w:szCs w:val="24"/>
              <w:highlight w:val="none"/>
            </w:rPr>
            <w:t>1</w:t>
          </w:r>
          <w:r>
            <w:rPr>
              <w:sz w:val="24"/>
              <w:szCs w:val="24"/>
              <w:highlight w:val="none"/>
            </w:rPr>
            <w:fldChar w:fldCharType="end"/>
          </w:r>
          <w:r>
            <w:rPr>
              <w:rFonts w:hint="eastAsia" w:ascii="宋体" w:hAnsi="宋体"/>
              <w:sz w:val="24"/>
              <w:szCs w:val="24"/>
              <w:highlight w:val="none"/>
            </w:rPr>
            <w:fldChar w:fldCharType="end"/>
          </w:r>
        </w:p>
        <w:p w14:paraId="301F597B">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_Toc25653 </w:instrText>
          </w:r>
          <w:r>
            <w:rPr>
              <w:rFonts w:hint="eastAsia" w:ascii="宋体" w:hAnsi="宋体"/>
              <w:sz w:val="24"/>
              <w:szCs w:val="24"/>
              <w:highlight w:val="none"/>
            </w:rPr>
            <w:fldChar w:fldCharType="separate"/>
          </w:r>
          <w:r>
            <w:rPr>
              <w:rFonts w:hint="eastAsia" w:ascii="宋体" w:hAnsi="宋体"/>
              <w:bCs w:val="0"/>
              <w:sz w:val="24"/>
              <w:szCs w:val="24"/>
              <w:highlight w:val="none"/>
            </w:rPr>
            <w:t>第二章 投标人须知</w:t>
          </w:r>
          <w:r>
            <w:rPr>
              <w:sz w:val="24"/>
              <w:szCs w:val="24"/>
              <w:highlight w:val="none"/>
            </w:rPr>
            <w:tab/>
          </w:r>
          <w:r>
            <w:rPr>
              <w:sz w:val="24"/>
              <w:szCs w:val="24"/>
              <w:highlight w:val="none"/>
            </w:rPr>
            <w:fldChar w:fldCharType="begin"/>
          </w:r>
          <w:r>
            <w:rPr>
              <w:sz w:val="24"/>
              <w:szCs w:val="24"/>
              <w:highlight w:val="none"/>
            </w:rPr>
            <w:instrText xml:space="preserve"> PAGEREF _Toc25653 \h </w:instrText>
          </w:r>
          <w:r>
            <w:rPr>
              <w:sz w:val="24"/>
              <w:szCs w:val="24"/>
              <w:highlight w:val="none"/>
            </w:rPr>
            <w:fldChar w:fldCharType="separate"/>
          </w:r>
          <w:r>
            <w:rPr>
              <w:sz w:val="24"/>
              <w:szCs w:val="24"/>
              <w:highlight w:val="none"/>
            </w:rPr>
            <w:t>4</w:t>
          </w:r>
          <w:r>
            <w:rPr>
              <w:sz w:val="24"/>
              <w:szCs w:val="24"/>
              <w:highlight w:val="none"/>
            </w:rPr>
            <w:fldChar w:fldCharType="end"/>
          </w:r>
          <w:r>
            <w:rPr>
              <w:rFonts w:hint="eastAsia" w:ascii="宋体" w:hAnsi="宋体"/>
              <w:sz w:val="24"/>
              <w:szCs w:val="24"/>
              <w:highlight w:val="none"/>
            </w:rPr>
            <w:fldChar w:fldCharType="end"/>
          </w:r>
        </w:p>
        <w:p w14:paraId="02BE1945">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_Toc11624 </w:instrText>
          </w:r>
          <w:r>
            <w:rPr>
              <w:rFonts w:hint="eastAsia" w:ascii="宋体" w:hAnsi="宋体"/>
              <w:sz w:val="24"/>
              <w:szCs w:val="24"/>
              <w:highlight w:val="none"/>
            </w:rPr>
            <w:fldChar w:fldCharType="separate"/>
          </w:r>
          <w:r>
            <w:rPr>
              <w:rFonts w:hint="eastAsia" w:ascii="宋体" w:hAnsi="宋体"/>
              <w:bCs w:val="0"/>
              <w:sz w:val="24"/>
              <w:szCs w:val="24"/>
              <w:highlight w:val="none"/>
            </w:rPr>
            <w:t>第三章 合同条款</w:t>
          </w:r>
          <w:r>
            <w:rPr>
              <w:sz w:val="24"/>
              <w:szCs w:val="24"/>
              <w:highlight w:val="none"/>
            </w:rPr>
            <w:tab/>
          </w:r>
          <w:r>
            <w:rPr>
              <w:sz w:val="24"/>
              <w:szCs w:val="24"/>
              <w:highlight w:val="none"/>
            </w:rPr>
            <w:fldChar w:fldCharType="begin"/>
          </w:r>
          <w:r>
            <w:rPr>
              <w:sz w:val="24"/>
              <w:szCs w:val="24"/>
              <w:highlight w:val="none"/>
            </w:rPr>
            <w:instrText xml:space="preserve"> PAGEREF _Toc11624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sz w:val="24"/>
              <w:szCs w:val="24"/>
              <w:highlight w:val="none"/>
            </w:rPr>
            <w:fldChar w:fldCharType="end"/>
          </w:r>
        </w:p>
        <w:p w14:paraId="6BB2A7C2">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_Toc29842 </w:instrText>
          </w:r>
          <w:r>
            <w:rPr>
              <w:rFonts w:hint="eastAsia" w:ascii="宋体" w:hAnsi="宋体"/>
              <w:sz w:val="24"/>
              <w:szCs w:val="24"/>
              <w:highlight w:val="none"/>
            </w:rPr>
            <w:fldChar w:fldCharType="separate"/>
          </w:r>
          <w:r>
            <w:rPr>
              <w:rFonts w:hint="eastAsia" w:ascii="宋体" w:hAnsi="宋体"/>
              <w:sz w:val="24"/>
              <w:szCs w:val="24"/>
              <w:highlight w:val="none"/>
            </w:rPr>
            <w:t>第四章 附件—投标文件格式</w:t>
          </w:r>
          <w:r>
            <w:rPr>
              <w:sz w:val="24"/>
              <w:szCs w:val="24"/>
              <w:highlight w:val="none"/>
            </w:rPr>
            <w:tab/>
          </w:r>
          <w:r>
            <w:rPr>
              <w:sz w:val="24"/>
              <w:szCs w:val="24"/>
              <w:highlight w:val="none"/>
            </w:rPr>
            <w:fldChar w:fldCharType="begin"/>
          </w:r>
          <w:r>
            <w:rPr>
              <w:sz w:val="24"/>
              <w:szCs w:val="24"/>
              <w:highlight w:val="none"/>
            </w:rPr>
            <w:instrText xml:space="preserve"> PAGEREF _Toc29842 \h </w:instrText>
          </w:r>
          <w:r>
            <w:rPr>
              <w:sz w:val="24"/>
              <w:szCs w:val="24"/>
              <w:highlight w:val="none"/>
            </w:rPr>
            <w:fldChar w:fldCharType="separate"/>
          </w:r>
          <w:r>
            <w:rPr>
              <w:sz w:val="24"/>
              <w:szCs w:val="24"/>
              <w:highlight w:val="none"/>
            </w:rPr>
            <w:t>26</w:t>
          </w:r>
          <w:r>
            <w:rPr>
              <w:sz w:val="24"/>
              <w:szCs w:val="24"/>
              <w:highlight w:val="none"/>
            </w:rPr>
            <w:fldChar w:fldCharType="end"/>
          </w:r>
          <w:r>
            <w:rPr>
              <w:rFonts w:hint="eastAsia" w:ascii="宋体" w:hAnsi="宋体"/>
              <w:sz w:val="24"/>
              <w:szCs w:val="24"/>
              <w:highlight w:val="none"/>
            </w:rPr>
            <w:fldChar w:fldCharType="end"/>
          </w:r>
        </w:p>
        <w:p w14:paraId="0F542977">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_Toc5329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附件1　投标书（格式）</w:t>
          </w:r>
          <w:r>
            <w:rPr>
              <w:sz w:val="24"/>
              <w:szCs w:val="24"/>
              <w:highlight w:val="none"/>
            </w:rPr>
            <w:tab/>
          </w:r>
          <w:r>
            <w:rPr>
              <w:sz w:val="24"/>
              <w:szCs w:val="24"/>
              <w:highlight w:val="none"/>
            </w:rPr>
            <w:fldChar w:fldCharType="begin"/>
          </w:r>
          <w:r>
            <w:rPr>
              <w:sz w:val="24"/>
              <w:szCs w:val="24"/>
              <w:highlight w:val="none"/>
            </w:rPr>
            <w:instrText xml:space="preserve"> PAGEREF _Toc5329 \h </w:instrText>
          </w:r>
          <w:r>
            <w:rPr>
              <w:sz w:val="24"/>
              <w:szCs w:val="24"/>
              <w:highlight w:val="none"/>
            </w:rPr>
            <w:fldChar w:fldCharType="separate"/>
          </w:r>
          <w:r>
            <w:rPr>
              <w:sz w:val="24"/>
              <w:szCs w:val="24"/>
              <w:highlight w:val="none"/>
            </w:rPr>
            <w:t>27</w:t>
          </w:r>
          <w:r>
            <w:rPr>
              <w:sz w:val="24"/>
              <w:szCs w:val="24"/>
              <w:highlight w:val="none"/>
            </w:rPr>
            <w:fldChar w:fldCharType="end"/>
          </w:r>
          <w:r>
            <w:rPr>
              <w:rFonts w:hint="eastAsia" w:ascii="宋体" w:hAnsi="宋体"/>
              <w:sz w:val="24"/>
              <w:szCs w:val="24"/>
              <w:highlight w:val="none"/>
            </w:rPr>
            <w:fldChar w:fldCharType="end"/>
          </w:r>
        </w:p>
        <w:p w14:paraId="0842D3D0">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_Toc29788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附件2　开标一览表</w:t>
          </w:r>
          <w:r>
            <w:rPr>
              <w:sz w:val="24"/>
              <w:szCs w:val="24"/>
              <w:highlight w:val="none"/>
            </w:rPr>
            <w:tab/>
          </w:r>
          <w:r>
            <w:rPr>
              <w:sz w:val="24"/>
              <w:szCs w:val="24"/>
              <w:highlight w:val="none"/>
            </w:rPr>
            <w:fldChar w:fldCharType="begin"/>
          </w:r>
          <w:r>
            <w:rPr>
              <w:sz w:val="24"/>
              <w:szCs w:val="24"/>
              <w:highlight w:val="none"/>
            </w:rPr>
            <w:instrText xml:space="preserve"> PAGEREF _Toc29788 \h </w:instrText>
          </w:r>
          <w:r>
            <w:rPr>
              <w:sz w:val="24"/>
              <w:szCs w:val="24"/>
              <w:highlight w:val="none"/>
            </w:rPr>
            <w:fldChar w:fldCharType="separate"/>
          </w:r>
          <w:r>
            <w:rPr>
              <w:sz w:val="24"/>
              <w:szCs w:val="24"/>
              <w:highlight w:val="none"/>
            </w:rPr>
            <w:t>28</w:t>
          </w:r>
          <w:r>
            <w:rPr>
              <w:sz w:val="24"/>
              <w:szCs w:val="24"/>
              <w:highlight w:val="none"/>
            </w:rPr>
            <w:fldChar w:fldCharType="end"/>
          </w:r>
          <w:r>
            <w:rPr>
              <w:rFonts w:hint="eastAsia" w:ascii="宋体" w:hAnsi="宋体"/>
              <w:sz w:val="24"/>
              <w:szCs w:val="24"/>
              <w:highlight w:val="none"/>
            </w:rPr>
            <w:fldChar w:fldCharType="end"/>
          </w:r>
        </w:p>
        <w:p w14:paraId="5B6B3A92">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_Toc20884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3</w:t>
          </w:r>
          <w:r>
            <w:rPr>
              <w:rFonts w:hint="eastAsia" w:ascii="宋体" w:hAnsi="宋体" w:eastAsia="宋体"/>
              <w:sz w:val="24"/>
              <w:szCs w:val="24"/>
              <w:highlight w:val="none"/>
            </w:rPr>
            <w:t>　商务条款偏离表</w:t>
          </w:r>
          <w:r>
            <w:rPr>
              <w:sz w:val="24"/>
              <w:szCs w:val="24"/>
              <w:highlight w:val="none"/>
            </w:rPr>
            <w:tab/>
          </w:r>
          <w:r>
            <w:rPr>
              <w:sz w:val="24"/>
              <w:szCs w:val="24"/>
              <w:highlight w:val="none"/>
            </w:rPr>
            <w:fldChar w:fldCharType="begin"/>
          </w:r>
          <w:r>
            <w:rPr>
              <w:sz w:val="24"/>
              <w:szCs w:val="24"/>
              <w:highlight w:val="none"/>
            </w:rPr>
            <w:instrText xml:space="preserve"> PAGEREF _Toc20884 \h </w:instrText>
          </w:r>
          <w:r>
            <w:rPr>
              <w:sz w:val="24"/>
              <w:szCs w:val="24"/>
              <w:highlight w:val="none"/>
            </w:rPr>
            <w:fldChar w:fldCharType="separate"/>
          </w:r>
          <w:r>
            <w:rPr>
              <w:sz w:val="24"/>
              <w:szCs w:val="24"/>
              <w:highlight w:val="none"/>
            </w:rPr>
            <w:t>29</w:t>
          </w:r>
          <w:r>
            <w:rPr>
              <w:sz w:val="24"/>
              <w:szCs w:val="24"/>
              <w:highlight w:val="none"/>
            </w:rPr>
            <w:fldChar w:fldCharType="end"/>
          </w:r>
          <w:r>
            <w:rPr>
              <w:rFonts w:hint="eastAsia" w:ascii="宋体" w:hAnsi="宋体"/>
              <w:sz w:val="24"/>
              <w:szCs w:val="24"/>
              <w:highlight w:val="none"/>
            </w:rPr>
            <w:fldChar w:fldCharType="end"/>
          </w:r>
        </w:p>
        <w:p w14:paraId="0E9A02AB">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_Toc13093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5</w:t>
          </w:r>
          <w:r>
            <w:rPr>
              <w:rFonts w:hint="eastAsia" w:ascii="宋体" w:hAnsi="宋体" w:eastAsia="宋体"/>
              <w:sz w:val="24"/>
              <w:szCs w:val="24"/>
              <w:highlight w:val="none"/>
            </w:rPr>
            <w:t>　资格、资信证明文件（格式）</w:t>
          </w:r>
          <w:r>
            <w:rPr>
              <w:sz w:val="24"/>
              <w:szCs w:val="24"/>
              <w:highlight w:val="none"/>
            </w:rPr>
            <w:tab/>
          </w:r>
          <w:r>
            <w:rPr>
              <w:sz w:val="24"/>
              <w:szCs w:val="24"/>
              <w:highlight w:val="none"/>
            </w:rPr>
            <w:fldChar w:fldCharType="begin"/>
          </w:r>
          <w:r>
            <w:rPr>
              <w:sz w:val="24"/>
              <w:szCs w:val="24"/>
              <w:highlight w:val="none"/>
            </w:rPr>
            <w:instrText xml:space="preserve"> PAGEREF _Toc13093 \h </w:instrText>
          </w:r>
          <w:r>
            <w:rPr>
              <w:sz w:val="24"/>
              <w:szCs w:val="24"/>
              <w:highlight w:val="none"/>
            </w:rPr>
            <w:fldChar w:fldCharType="separate"/>
          </w:r>
          <w:r>
            <w:rPr>
              <w:sz w:val="24"/>
              <w:szCs w:val="24"/>
              <w:highlight w:val="none"/>
            </w:rPr>
            <w:t>31</w:t>
          </w:r>
          <w:r>
            <w:rPr>
              <w:sz w:val="24"/>
              <w:szCs w:val="24"/>
              <w:highlight w:val="none"/>
            </w:rPr>
            <w:fldChar w:fldCharType="end"/>
          </w:r>
          <w:r>
            <w:rPr>
              <w:rFonts w:hint="eastAsia" w:ascii="宋体" w:hAnsi="宋体"/>
              <w:sz w:val="24"/>
              <w:szCs w:val="24"/>
              <w:highlight w:val="none"/>
            </w:rPr>
            <w:fldChar w:fldCharType="end"/>
          </w:r>
        </w:p>
        <w:p w14:paraId="659357F3">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_Toc18175 </w:instrText>
          </w:r>
          <w:r>
            <w:rPr>
              <w:rFonts w:hint="eastAsia" w:ascii="宋体" w:hAnsi="宋体"/>
              <w:sz w:val="24"/>
              <w:szCs w:val="24"/>
              <w:highlight w:val="none"/>
            </w:rPr>
            <w:fldChar w:fldCharType="separate"/>
          </w:r>
          <w:r>
            <w:rPr>
              <w:rFonts w:hint="eastAsia" w:hAnsi="宋体"/>
              <w:sz w:val="24"/>
              <w:szCs w:val="24"/>
              <w:highlight w:val="none"/>
            </w:rPr>
            <w:t>附件</w:t>
          </w:r>
          <w:r>
            <w:rPr>
              <w:rFonts w:hint="eastAsia" w:hAnsi="宋体"/>
              <w:sz w:val="24"/>
              <w:szCs w:val="24"/>
              <w:highlight w:val="none"/>
              <w:lang w:val="en-US" w:eastAsia="zh-CN"/>
            </w:rPr>
            <w:t>5</w:t>
          </w:r>
          <w:r>
            <w:rPr>
              <w:rFonts w:hint="eastAsia" w:hAnsi="宋体"/>
              <w:sz w:val="24"/>
              <w:szCs w:val="24"/>
              <w:highlight w:val="none"/>
            </w:rPr>
            <w:t>-1   法人或者其他组织的营业执照等证明文件</w:t>
          </w:r>
          <w:r>
            <w:rPr>
              <w:sz w:val="24"/>
              <w:szCs w:val="24"/>
              <w:highlight w:val="none"/>
            </w:rPr>
            <w:tab/>
          </w:r>
          <w:r>
            <w:rPr>
              <w:sz w:val="24"/>
              <w:szCs w:val="24"/>
              <w:highlight w:val="none"/>
            </w:rPr>
            <w:fldChar w:fldCharType="begin"/>
          </w:r>
          <w:r>
            <w:rPr>
              <w:sz w:val="24"/>
              <w:szCs w:val="24"/>
              <w:highlight w:val="none"/>
            </w:rPr>
            <w:instrText xml:space="preserve"> PAGEREF _Toc18175 \h </w:instrText>
          </w:r>
          <w:r>
            <w:rPr>
              <w:sz w:val="24"/>
              <w:szCs w:val="24"/>
              <w:highlight w:val="none"/>
            </w:rPr>
            <w:fldChar w:fldCharType="separate"/>
          </w:r>
          <w:r>
            <w:rPr>
              <w:sz w:val="24"/>
              <w:szCs w:val="24"/>
              <w:highlight w:val="none"/>
            </w:rPr>
            <w:t>32</w:t>
          </w:r>
          <w:r>
            <w:rPr>
              <w:sz w:val="24"/>
              <w:szCs w:val="24"/>
              <w:highlight w:val="none"/>
            </w:rPr>
            <w:fldChar w:fldCharType="end"/>
          </w:r>
          <w:r>
            <w:rPr>
              <w:rFonts w:hint="eastAsia" w:ascii="宋体" w:hAnsi="宋体"/>
              <w:sz w:val="24"/>
              <w:szCs w:val="24"/>
              <w:highlight w:val="none"/>
            </w:rPr>
            <w:fldChar w:fldCharType="end"/>
          </w:r>
        </w:p>
        <w:p w14:paraId="41173695">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_Toc2581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 xml:space="preserve">   法定代表人授权书(格式，自然人投标的无需提供)</w:t>
          </w:r>
          <w:r>
            <w:rPr>
              <w:sz w:val="24"/>
              <w:szCs w:val="24"/>
              <w:highlight w:val="none"/>
            </w:rPr>
            <w:tab/>
          </w:r>
          <w:r>
            <w:rPr>
              <w:sz w:val="24"/>
              <w:szCs w:val="24"/>
              <w:highlight w:val="none"/>
            </w:rPr>
            <w:fldChar w:fldCharType="begin"/>
          </w:r>
          <w:r>
            <w:rPr>
              <w:sz w:val="24"/>
              <w:szCs w:val="24"/>
              <w:highlight w:val="none"/>
            </w:rPr>
            <w:instrText xml:space="preserve"> PAGEREF _Toc2581 \h </w:instrText>
          </w:r>
          <w:r>
            <w:rPr>
              <w:sz w:val="24"/>
              <w:szCs w:val="24"/>
              <w:highlight w:val="none"/>
            </w:rPr>
            <w:fldChar w:fldCharType="separate"/>
          </w:r>
          <w:r>
            <w:rPr>
              <w:sz w:val="24"/>
              <w:szCs w:val="24"/>
              <w:highlight w:val="none"/>
            </w:rPr>
            <w:t>33</w:t>
          </w:r>
          <w:r>
            <w:rPr>
              <w:sz w:val="24"/>
              <w:szCs w:val="24"/>
              <w:highlight w:val="none"/>
            </w:rPr>
            <w:fldChar w:fldCharType="end"/>
          </w:r>
          <w:r>
            <w:rPr>
              <w:rFonts w:hint="eastAsia" w:ascii="宋体" w:hAnsi="宋体"/>
              <w:sz w:val="24"/>
              <w:szCs w:val="24"/>
              <w:highlight w:val="none"/>
            </w:rPr>
            <w:fldChar w:fldCharType="end"/>
          </w:r>
        </w:p>
        <w:p w14:paraId="299300FE">
          <w:pPr>
            <w:pStyle w:val="43"/>
            <w:tabs>
              <w:tab w:val="right" w:leader="dot" w:pos="8306"/>
            </w:tabs>
            <w:ind w:firstLine="480" w:firstLineChars="200"/>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_Toc27092 </w:instrText>
          </w:r>
          <w:r>
            <w:rPr>
              <w:rFonts w:hint="eastAsia" w:ascii="宋体" w:hAnsi="宋体"/>
              <w:sz w:val="24"/>
              <w:szCs w:val="24"/>
              <w:highlight w:val="none"/>
            </w:rPr>
            <w:fldChar w:fldCharType="separate"/>
          </w:r>
          <w:r>
            <w:rPr>
              <w:rFonts w:hint="eastAsia" w:ascii="宋体" w:hAnsi="宋体" w:eastAsia="宋体" w:cs="Times New Roman"/>
              <w:kern w:val="2"/>
              <w:sz w:val="24"/>
              <w:szCs w:val="24"/>
              <w:highlight w:val="none"/>
              <w:lang w:val="en-US" w:eastAsia="zh-CN" w:bidi="ar-SA"/>
            </w:rPr>
            <w:t>附件5-3  生产厂商授权书</w:t>
          </w:r>
          <w:r>
            <w:rPr>
              <w:sz w:val="24"/>
              <w:szCs w:val="24"/>
              <w:highlight w:val="none"/>
            </w:rPr>
            <w:tab/>
          </w:r>
          <w:r>
            <w:rPr>
              <w:sz w:val="24"/>
              <w:szCs w:val="24"/>
              <w:highlight w:val="none"/>
            </w:rPr>
            <w:fldChar w:fldCharType="begin"/>
          </w:r>
          <w:r>
            <w:rPr>
              <w:sz w:val="24"/>
              <w:szCs w:val="24"/>
              <w:highlight w:val="none"/>
            </w:rPr>
            <w:instrText xml:space="preserve"> PAGEREF _Toc27092 \h </w:instrText>
          </w:r>
          <w:r>
            <w:rPr>
              <w:sz w:val="24"/>
              <w:szCs w:val="24"/>
              <w:highlight w:val="none"/>
            </w:rPr>
            <w:fldChar w:fldCharType="separate"/>
          </w:r>
          <w:r>
            <w:rPr>
              <w:sz w:val="24"/>
              <w:szCs w:val="24"/>
              <w:highlight w:val="none"/>
            </w:rPr>
            <w:t>34</w:t>
          </w:r>
          <w:r>
            <w:rPr>
              <w:sz w:val="24"/>
              <w:szCs w:val="24"/>
              <w:highlight w:val="none"/>
            </w:rPr>
            <w:fldChar w:fldCharType="end"/>
          </w:r>
          <w:r>
            <w:rPr>
              <w:rFonts w:hint="eastAsia" w:ascii="宋体" w:hAnsi="宋体"/>
              <w:sz w:val="24"/>
              <w:szCs w:val="24"/>
              <w:highlight w:val="none"/>
            </w:rPr>
            <w:fldChar w:fldCharType="end"/>
          </w:r>
        </w:p>
        <w:p w14:paraId="08E5BE0D">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_Toc8383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5-4</w:t>
          </w: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财务情况</w:t>
          </w:r>
          <w:r>
            <w:rPr>
              <w:sz w:val="24"/>
              <w:szCs w:val="24"/>
              <w:highlight w:val="none"/>
            </w:rPr>
            <w:tab/>
          </w:r>
          <w:r>
            <w:rPr>
              <w:sz w:val="24"/>
              <w:szCs w:val="24"/>
              <w:highlight w:val="none"/>
            </w:rPr>
            <w:fldChar w:fldCharType="begin"/>
          </w:r>
          <w:r>
            <w:rPr>
              <w:sz w:val="24"/>
              <w:szCs w:val="24"/>
              <w:highlight w:val="none"/>
            </w:rPr>
            <w:instrText xml:space="preserve"> PAGEREF _Toc8383 \h </w:instrText>
          </w:r>
          <w:r>
            <w:rPr>
              <w:sz w:val="24"/>
              <w:szCs w:val="24"/>
              <w:highlight w:val="none"/>
            </w:rPr>
            <w:fldChar w:fldCharType="separate"/>
          </w:r>
          <w:r>
            <w:rPr>
              <w:sz w:val="24"/>
              <w:szCs w:val="24"/>
              <w:highlight w:val="none"/>
            </w:rPr>
            <w:t>35</w:t>
          </w:r>
          <w:r>
            <w:rPr>
              <w:sz w:val="24"/>
              <w:szCs w:val="24"/>
              <w:highlight w:val="none"/>
            </w:rPr>
            <w:fldChar w:fldCharType="end"/>
          </w:r>
          <w:r>
            <w:rPr>
              <w:rFonts w:hint="eastAsia" w:ascii="宋体" w:hAnsi="宋体"/>
              <w:sz w:val="24"/>
              <w:szCs w:val="24"/>
              <w:highlight w:val="none"/>
            </w:rPr>
            <w:fldChar w:fldCharType="end"/>
          </w:r>
        </w:p>
        <w:p w14:paraId="2ABE7439">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_Toc17911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5-5</w:t>
          </w:r>
          <w:r>
            <w:rPr>
              <w:rFonts w:hint="eastAsia" w:ascii="宋体" w:hAnsi="宋体" w:eastAsia="宋体" w:cs="Times New Roman"/>
              <w:sz w:val="24"/>
              <w:szCs w:val="24"/>
              <w:highlight w:val="none"/>
            </w:rPr>
            <w:t xml:space="preserve">   依法缴纳税收和社会保障资金的记录</w:t>
          </w:r>
          <w:r>
            <w:rPr>
              <w:sz w:val="24"/>
              <w:szCs w:val="24"/>
              <w:highlight w:val="none"/>
            </w:rPr>
            <w:tab/>
          </w:r>
          <w:r>
            <w:rPr>
              <w:sz w:val="24"/>
              <w:szCs w:val="24"/>
              <w:highlight w:val="none"/>
            </w:rPr>
            <w:fldChar w:fldCharType="begin"/>
          </w:r>
          <w:r>
            <w:rPr>
              <w:sz w:val="24"/>
              <w:szCs w:val="24"/>
              <w:highlight w:val="none"/>
            </w:rPr>
            <w:instrText xml:space="preserve"> PAGEREF _Toc17911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hAnsi="宋体"/>
              <w:sz w:val="24"/>
              <w:szCs w:val="24"/>
              <w:highlight w:val="none"/>
            </w:rPr>
            <w:fldChar w:fldCharType="end"/>
          </w:r>
        </w:p>
        <w:p w14:paraId="1EA29AFA">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_Toc21274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5-6</w:t>
          </w:r>
          <w:r>
            <w:rPr>
              <w:rFonts w:hint="eastAsia" w:ascii="宋体" w:hAnsi="宋体"/>
              <w:sz w:val="24"/>
              <w:szCs w:val="24"/>
              <w:highlight w:val="none"/>
            </w:rPr>
            <w:t xml:space="preserve">   </w:t>
          </w:r>
          <w:r>
            <w:rPr>
              <w:rFonts w:hint="eastAsia" w:ascii="宋体" w:hAnsi="宋体"/>
              <w:sz w:val="24"/>
              <w:szCs w:val="24"/>
              <w:highlight w:val="none"/>
              <w:lang w:val="en-US" w:eastAsia="zh-CN"/>
            </w:rPr>
            <w:t>无</w:t>
          </w:r>
          <w:r>
            <w:rPr>
              <w:rFonts w:hint="eastAsia" w:ascii="宋体" w:hAnsi="宋体"/>
              <w:sz w:val="24"/>
              <w:szCs w:val="24"/>
              <w:highlight w:val="none"/>
            </w:rPr>
            <w:t>重大违法记录的书面声明</w:t>
          </w:r>
          <w:r>
            <w:rPr>
              <w:sz w:val="24"/>
              <w:szCs w:val="24"/>
              <w:highlight w:val="none"/>
            </w:rPr>
            <w:tab/>
          </w:r>
          <w:r>
            <w:rPr>
              <w:sz w:val="24"/>
              <w:szCs w:val="24"/>
              <w:highlight w:val="none"/>
            </w:rPr>
            <w:fldChar w:fldCharType="begin"/>
          </w:r>
          <w:r>
            <w:rPr>
              <w:sz w:val="24"/>
              <w:szCs w:val="24"/>
              <w:highlight w:val="none"/>
            </w:rPr>
            <w:instrText xml:space="preserve"> PAGEREF _Toc21274 \h </w:instrText>
          </w:r>
          <w:r>
            <w:rPr>
              <w:sz w:val="24"/>
              <w:szCs w:val="24"/>
              <w:highlight w:val="none"/>
            </w:rPr>
            <w:fldChar w:fldCharType="separate"/>
          </w:r>
          <w:r>
            <w:rPr>
              <w:sz w:val="24"/>
              <w:szCs w:val="24"/>
              <w:highlight w:val="none"/>
            </w:rPr>
            <w:t>37</w:t>
          </w:r>
          <w:r>
            <w:rPr>
              <w:sz w:val="24"/>
              <w:szCs w:val="24"/>
              <w:highlight w:val="none"/>
            </w:rPr>
            <w:fldChar w:fldCharType="end"/>
          </w:r>
          <w:r>
            <w:rPr>
              <w:rFonts w:hint="eastAsia" w:ascii="宋体" w:hAnsi="宋体"/>
              <w:sz w:val="24"/>
              <w:szCs w:val="24"/>
              <w:highlight w:val="none"/>
            </w:rPr>
            <w:fldChar w:fldCharType="end"/>
          </w:r>
        </w:p>
        <w:p w14:paraId="7A7F60C5">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_Toc25918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 xml:space="preserve">5-7   </w:t>
          </w:r>
          <w:r>
            <w:rPr>
              <w:rFonts w:hint="eastAsia" w:ascii="宋体" w:hAnsi="宋体"/>
              <w:sz w:val="24"/>
              <w:szCs w:val="24"/>
              <w:highlight w:val="none"/>
            </w:rPr>
            <w:t>近三年类似项目业绩一览表</w:t>
          </w:r>
          <w:r>
            <w:rPr>
              <w:sz w:val="24"/>
              <w:szCs w:val="24"/>
              <w:highlight w:val="none"/>
            </w:rPr>
            <w:tab/>
          </w:r>
          <w:r>
            <w:rPr>
              <w:sz w:val="24"/>
              <w:szCs w:val="24"/>
              <w:highlight w:val="none"/>
            </w:rPr>
            <w:fldChar w:fldCharType="begin"/>
          </w:r>
          <w:r>
            <w:rPr>
              <w:sz w:val="24"/>
              <w:szCs w:val="24"/>
              <w:highlight w:val="none"/>
            </w:rPr>
            <w:instrText xml:space="preserve"> PAGEREF _Toc25918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sz w:val="24"/>
              <w:szCs w:val="24"/>
              <w:highlight w:val="none"/>
            </w:rPr>
            <w:fldChar w:fldCharType="end"/>
          </w:r>
        </w:p>
        <w:p w14:paraId="513173D1">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_Toc12888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5-8</w:t>
          </w:r>
          <w:r>
            <w:rPr>
              <w:rFonts w:hint="eastAsia" w:ascii="宋体" w:hAnsi="宋体"/>
              <w:sz w:val="24"/>
              <w:szCs w:val="24"/>
              <w:highlight w:val="none"/>
            </w:rPr>
            <w:t xml:space="preserve">   招标文件</w:t>
          </w:r>
          <w:r>
            <w:rPr>
              <w:rFonts w:hint="eastAsia" w:ascii="宋体" w:hAnsi="宋体"/>
              <w:bCs/>
              <w:sz w:val="24"/>
              <w:szCs w:val="24"/>
              <w:highlight w:val="none"/>
            </w:rPr>
            <w:t>要求的其他资格证明文件</w:t>
          </w:r>
          <w:r>
            <w:rPr>
              <w:sz w:val="24"/>
              <w:szCs w:val="24"/>
              <w:highlight w:val="none"/>
            </w:rPr>
            <w:tab/>
          </w:r>
          <w:r>
            <w:rPr>
              <w:sz w:val="24"/>
              <w:szCs w:val="24"/>
              <w:highlight w:val="none"/>
            </w:rPr>
            <w:fldChar w:fldCharType="begin"/>
          </w:r>
          <w:r>
            <w:rPr>
              <w:sz w:val="24"/>
              <w:szCs w:val="24"/>
              <w:highlight w:val="none"/>
            </w:rPr>
            <w:instrText xml:space="preserve"> PAGEREF _Toc12888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sz w:val="24"/>
              <w:szCs w:val="24"/>
              <w:highlight w:val="none"/>
            </w:rPr>
            <w:fldChar w:fldCharType="end"/>
          </w:r>
        </w:p>
        <w:p w14:paraId="13C5690F">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_Toc31300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6</w:t>
          </w:r>
          <w:r>
            <w:rPr>
              <w:rFonts w:ascii="宋体" w:hAnsi="宋体"/>
              <w:sz w:val="24"/>
              <w:szCs w:val="24"/>
              <w:highlight w:val="none"/>
            </w:rPr>
            <w:t xml:space="preserve">  </w:t>
          </w:r>
          <w:r>
            <w:rPr>
              <w:rFonts w:hint="eastAsia" w:ascii="宋体" w:hAnsi="宋体"/>
              <w:sz w:val="24"/>
              <w:szCs w:val="24"/>
              <w:highlight w:val="none"/>
            </w:rPr>
            <w:t>反商业贿赂承诺书</w:t>
          </w:r>
          <w:r>
            <w:rPr>
              <w:sz w:val="24"/>
              <w:szCs w:val="24"/>
              <w:highlight w:val="none"/>
            </w:rPr>
            <w:tab/>
          </w:r>
          <w:r>
            <w:rPr>
              <w:sz w:val="24"/>
              <w:szCs w:val="24"/>
              <w:highlight w:val="none"/>
            </w:rPr>
            <w:fldChar w:fldCharType="begin"/>
          </w:r>
          <w:r>
            <w:rPr>
              <w:sz w:val="24"/>
              <w:szCs w:val="24"/>
              <w:highlight w:val="none"/>
            </w:rPr>
            <w:instrText xml:space="preserve"> PAGEREF _Toc31300 \h </w:instrText>
          </w:r>
          <w:r>
            <w:rPr>
              <w:sz w:val="24"/>
              <w:szCs w:val="24"/>
              <w:highlight w:val="none"/>
            </w:rPr>
            <w:fldChar w:fldCharType="separate"/>
          </w:r>
          <w:r>
            <w:rPr>
              <w:sz w:val="24"/>
              <w:szCs w:val="24"/>
              <w:highlight w:val="none"/>
            </w:rPr>
            <w:t>40</w:t>
          </w:r>
          <w:r>
            <w:rPr>
              <w:sz w:val="24"/>
              <w:szCs w:val="24"/>
              <w:highlight w:val="none"/>
            </w:rPr>
            <w:fldChar w:fldCharType="end"/>
          </w:r>
          <w:r>
            <w:rPr>
              <w:rFonts w:hint="eastAsia" w:ascii="宋体" w:hAnsi="宋体"/>
              <w:sz w:val="24"/>
              <w:szCs w:val="24"/>
              <w:highlight w:val="none"/>
            </w:rPr>
            <w:fldChar w:fldCharType="end"/>
          </w:r>
        </w:p>
        <w:p w14:paraId="2146AEC4">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_Toc15610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7</w:t>
          </w:r>
          <w:r>
            <w:rPr>
              <w:rFonts w:hint="eastAsia" w:ascii="宋体" w:hAnsi="宋体" w:eastAsia="宋体"/>
              <w:sz w:val="24"/>
              <w:szCs w:val="24"/>
              <w:highlight w:val="none"/>
            </w:rPr>
            <w:t xml:space="preserve"> 详细的实施方案</w:t>
          </w:r>
          <w:r>
            <w:rPr>
              <w:sz w:val="24"/>
              <w:szCs w:val="24"/>
              <w:highlight w:val="none"/>
            </w:rPr>
            <w:tab/>
          </w:r>
          <w:r>
            <w:rPr>
              <w:sz w:val="24"/>
              <w:szCs w:val="24"/>
              <w:highlight w:val="none"/>
            </w:rPr>
            <w:fldChar w:fldCharType="begin"/>
          </w:r>
          <w:r>
            <w:rPr>
              <w:sz w:val="24"/>
              <w:szCs w:val="24"/>
              <w:highlight w:val="none"/>
            </w:rPr>
            <w:instrText xml:space="preserve"> PAGEREF _Toc15610 \h </w:instrText>
          </w:r>
          <w:r>
            <w:rPr>
              <w:sz w:val="24"/>
              <w:szCs w:val="24"/>
              <w:highlight w:val="none"/>
            </w:rPr>
            <w:fldChar w:fldCharType="separate"/>
          </w:r>
          <w:r>
            <w:rPr>
              <w:sz w:val="24"/>
              <w:szCs w:val="24"/>
              <w:highlight w:val="none"/>
            </w:rPr>
            <w:t>41</w:t>
          </w:r>
          <w:r>
            <w:rPr>
              <w:sz w:val="24"/>
              <w:szCs w:val="24"/>
              <w:highlight w:val="none"/>
            </w:rPr>
            <w:fldChar w:fldCharType="end"/>
          </w:r>
          <w:r>
            <w:rPr>
              <w:rFonts w:hint="eastAsia" w:ascii="宋体" w:hAnsi="宋体"/>
              <w:sz w:val="24"/>
              <w:szCs w:val="24"/>
              <w:highlight w:val="none"/>
            </w:rPr>
            <w:fldChar w:fldCharType="end"/>
          </w:r>
        </w:p>
        <w:p w14:paraId="16EC2FE0">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_Toc3766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8</w:t>
          </w:r>
          <w:r>
            <w:rPr>
              <w:rFonts w:hint="eastAsia" w:ascii="宋体" w:hAnsi="宋体" w:eastAsia="宋体"/>
              <w:sz w:val="24"/>
              <w:szCs w:val="24"/>
              <w:highlight w:val="none"/>
            </w:rPr>
            <w:t xml:space="preserve"> 售后服务方案及承诺</w:t>
          </w:r>
          <w:r>
            <w:rPr>
              <w:sz w:val="24"/>
              <w:szCs w:val="24"/>
              <w:highlight w:val="none"/>
            </w:rPr>
            <w:tab/>
          </w:r>
          <w:r>
            <w:rPr>
              <w:sz w:val="24"/>
              <w:szCs w:val="24"/>
              <w:highlight w:val="none"/>
            </w:rPr>
            <w:fldChar w:fldCharType="begin"/>
          </w:r>
          <w:r>
            <w:rPr>
              <w:sz w:val="24"/>
              <w:szCs w:val="24"/>
              <w:highlight w:val="none"/>
            </w:rPr>
            <w:instrText xml:space="preserve"> PAGEREF _Toc3766 \h </w:instrText>
          </w:r>
          <w:r>
            <w:rPr>
              <w:sz w:val="24"/>
              <w:szCs w:val="24"/>
              <w:highlight w:val="none"/>
            </w:rPr>
            <w:fldChar w:fldCharType="separate"/>
          </w:r>
          <w:r>
            <w:rPr>
              <w:sz w:val="24"/>
              <w:szCs w:val="24"/>
              <w:highlight w:val="none"/>
            </w:rPr>
            <w:t>42</w:t>
          </w:r>
          <w:r>
            <w:rPr>
              <w:sz w:val="24"/>
              <w:szCs w:val="24"/>
              <w:highlight w:val="none"/>
            </w:rPr>
            <w:fldChar w:fldCharType="end"/>
          </w:r>
          <w:r>
            <w:rPr>
              <w:rFonts w:hint="eastAsia" w:ascii="宋体" w:hAnsi="宋体"/>
              <w:sz w:val="24"/>
              <w:szCs w:val="24"/>
              <w:highlight w:val="none"/>
            </w:rPr>
            <w:fldChar w:fldCharType="end"/>
          </w:r>
        </w:p>
        <w:p w14:paraId="3FFE3B50">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_Toc20055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9</w:t>
          </w:r>
          <w:r>
            <w:rPr>
              <w:rFonts w:hint="eastAsia" w:ascii="宋体" w:hAnsi="宋体" w:eastAsia="宋体"/>
              <w:sz w:val="24"/>
              <w:szCs w:val="24"/>
              <w:highlight w:val="none"/>
            </w:rPr>
            <w:t xml:space="preserve"> 投标人认为需要提供的其它材料</w:t>
          </w:r>
          <w:r>
            <w:rPr>
              <w:sz w:val="24"/>
              <w:szCs w:val="24"/>
              <w:highlight w:val="none"/>
            </w:rPr>
            <w:tab/>
          </w:r>
          <w:r>
            <w:rPr>
              <w:sz w:val="24"/>
              <w:szCs w:val="24"/>
              <w:highlight w:val="none"/>
            </w:rPr>
            <w:fldChar w:fldCharType="begin"/>
          </w:r>
          <w:r>
            <w:rPr>
              <w:sz w:val="24"/>
              <w:szCs w:val="24"/>
              <w:highlight w:val="none"/>
            </w:rPr>
            <w:instrText xml:space="preserve"> PAGEREF _Toc20055 \h </w:instrText>
          </w:r>
          <w:r>
            <w:rPr>
              <w:sz w:val="24"/>
              <w:szCs w:val="24"/>
              <w:highlight w:val="none"/>
            </w:rPr>
            <w:fldChar w:fldCharType="separate"/>
          </w:r>
          <w:r>
            <w:rPr>
              <w:sz w:val="24"/>
              <w:szCs w:val="24"/>
              <w:highlight w:val="none"/>
            </w:rPr>
            <w:t>43</w:t>
          </w:r>
          <w:r>
            <w:rPr>
              <w:sz w:val="24"/>
              <w:szCs w:val="24"/>
              <w:highlight w:val="none"/>
            </w:rPr>
            <w:fldChar w:fldCharType="end"/>
          </w:r>
          <w:r>
            <w:rPr>
              <w:rFonts w:hint="eastAsia" w:ascii="宋体" w:hAnsi="宋体"/>
              <w:sz w:val="24"/>
              <w:szCs w:val="24"/>
              <w:highlight w:val="none"/>
            </w:rPr>
            <w:fldChar w:fldCharType="end"/>
          </w:r>
        </w:p>
        <w:p w14:paraId="67F597BA">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_Toc10658 </w:instrText>
          </w:r>
          <w:r>
            <w:rPr>
              <w:rFonts w:hint="eastAsia" w:ascii="宋体" w:hAnsi="宋体"/>
              <w:sz w:val="24"/>
              <w:szCs w:val="24"/>
              <w:highlight w:val="none"/>
            </w:rPr>
            <w:fldChar w:fldCharType="separate"/>
          </w:r>
          <w:r>
            <w:rPr>
              <w:rFonts w:hint="eastAsia"/>
              <w:sz w:val="24"/>
              <w:szCs w:val="24"/>
              <w:highlight w:val="none"/>
            </w:rPr>
            <w:t>附件</w:t>
          </w:r>
          <w:r>
            <w:rPr>
              <w:rFonts w:hint="eastAsia" w:eastAsia="宋体"/>
              <w:sz w:val="24"/>
              <w:szCs w:val="24"/>
              <w:highlight w:val="none"/>
              <w:lang w:val="en-US" w:eastAsia="zh-CN"/>
            </w:rPr>
            <w:t>10</w:t>
          </w:r>
          <w:r>
            <w:rPr>
              <w:rFonts w:hint="eastAsia"/>
              <w:sz w:val="24"/>
              <w:szCs w:val="24"/>
              <w:highlight w:val="none"/>
            </w:rPr>
            <w:t xml:space="preserve"> 不参与围标串标承诺书</w:t>
          </w:r>
          <w:r>
            <w:rPr>
              <w:sz w:val="24"/>
              <w:szCs w:val="24"/>
              <w:highlight w:val="none"/>
            </w:rPr>
            <w:tab/>
          </w:r>
          <w:r>
            <w:rPr>
              <w:sz w:val="24"/>
              <w:szCs w:val="24"/>
              <w:highlight w:val="none"/>
            </w:rPr>
            <w:fldChar w:fldCharType="begin"/>
          </w:r>
          <w:r>
            <w:rPr>
              <w:sz w:val="24"/>
              <w:szCs w:val="24"/>
              <w:highlight w:val="none"/>
            </w:rPr>
            <w:instrText xml:space="preserve"> PAGEREF _Toc10658 \h </w:instrText>
          </w:r>
          <w:r>
            <w:rPr>
              <w:sz w:val="24"/>
              <w:szCs w:val="24"/>
              <w:highlight w:val="none"/>
            </w:rPr>
            <w:fldChar w:fldCharType="separate"/>
          </w:r>
          <w:r>
            <w:rPr>
              <w:sz w:val="24"/>
              <w:szCs w:val="24"/>
              <w:highlight w:val="none"/>
            </w:rPr>
            <w:t>44</w:t>
          </w:r>
          <w:r>
            <w:rPr>
              <w:sz w:val="24"/>
              <w:szCs w:val="24"/>
              <w:highlight w:val="none"/>
            </w:rPr>
            <w:fldChar w:fldCharType="end"/>
          </w:r>
          <w:r>
            <w:rPr>
              <w:rFonts w:hint="eastAsia" w:ascii="宋体" w:hAnsi="宋体"/>
              <w:sz w:val="24"/>
              <w:szCs w:val="24"/>
              <w:highlight w:val="none"/>
            </w:rPr>
            <w:fldChar w:fldCharType="end"/>
          </w:r>
        </w:p>
        <w:p w14:paraId="29AFA606">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_Toc24364 </w:instrText>
          </w:r>
          <w:r>
            <w:rPr>
              <w:rFonts w:hint="eastAsia" w:ascii="宋体" w:hAnsi="宋体"/>
              <w:sz w:val="24"/>
              <w:szCs w:val="24"/>
              <w:highlight w:val="none"/>
            </w:rPr>
            <w:fldChar w:fldCharType="separate"/>
          </w:r>
          <w:r>
            <w:rPr>
              <w:rFonts w:hint="eastAsia" w:ascii="宋体" w:hAnsi="宋体" w:cs="宋体"/>
              <w:sz w:val="24"/>
              <w:szCs w:val="24"/>
              <w:highlight w:val="none"/>
            </w:rPr>
            <w:t>第五章 评标方法和标准</w:t>
          </w:r>
          <w:r>
            <w:rPr>
              <w:sz w:val="24"/>
              <w:szCs w:val="24"/>
              <w:highlight w:val="none"/>
            </w:rPr>
            <w:tab/>
          </w:r>
          <w:r>
            <w:rPr>
              <w:sz w:val="24"/>
              <w:szCs w:val="24"/>
              <w:highlight w:val="none"/>
            </w:rPr>
            <w:fldChar w:fldCharType="begin"/>
          </w:r>
          <w:r>
            <w:rPr>
              <w:sz w:val="24"/>
              <w:szCs w:val="24"/>
              <w:highlight w:val="none"/>
            </w:rPr>
            <w:instrText xml:space="preserve"> PAGEREF _Toc24364 \h </w:instrText>
          </w:r>
          <w:r>
            <w:rPr>
              <w:sz w:val="24"/>
              <w:szCs w:val="24"/>
              <w:highlight w:val="none"/>
            </w:rPr>
            <w:fldChar w:fldCharType="separate"/>
          </w:r>
          <w:r>
            <w:rPr>
              <w:sz w:val="24"/>
              <w:szCs w:val="24"/>
              <w:highlight w:val="none"/>
            </w:rPr>
            <w:t>45</w:t>
          </w:r>
          <w:r>
            <w:rPr>
              <w:sz w:val="24"/>
              <w:szCs w:val="24"/>
              <w:highlight w:val="none"/>
            </w:rPr>
            <w:fldChar w:fldCharType="end"/>
          </w:r>
          <w:r>
            <w:rPr>
              <w:rFonts w:hint="eastAsia" w:ascii="宋体" w:hAnsi="宋体"/>
              <w:sz w:val="24"/>
              <w:szCs w:val="24"/>
              <w:highlight w:val="none"/>
            </w:rPr>
            <w:fldChar w:fldCharType="end"/>
          </w:r>
        </w:p>
        <w:p w14:paraId="5C39BF1C">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_Toc24902 </w:instrText>
          </w:r>
          <w:r>
            <w:rPr>
              <w:rFonts w:hint="eastAsia" w:ascii="宋体" w:hAnsi="宋体"/>
              <w:sz w:val="24"/>
              <w:szCs w:val="24"/>
              <w:highlight w:val="none"/>
            </w:rPr>
            <w:fldChar w:fldCharType="separate"/>
          </w:r>
          <w:r>
            <w:rPr>
              <w:rFonts w:hint="eastAsia" w:ascii="宋体" w:hAnsi="宋体" w:cs="宋体"/>
              <w:bCs/>
              <w:sz w:val="24"/>
              <w:szCs w:val="24"/>
              <w:highlight w:val="none"/>
            </w:rPr>
            <w:t>第六章  货物技术要求</w:t>
          </w:r>
          <w:r>
            <w:rPr>
              <w:sz w:val="24"/>
              <w:szCs w:val="24"/>
              <w:highlight w:val="none"/>
            </w:rPr>
            <w:tab/>
          </w:r>
          <w:r>
            <w:rPr>
              <w:sz w:val="24"/>
              <w:szCs w:val="24"/>
              <w:highlight w:val="none"/>
            </w:rPr>
            <w:fldChar w:fldCharType="begin"/>
          </w:r>
          <w:r>
            <w:rPr>
              <w:sz w:val="24"/>
              <w:szCs w:val="24"/>
              <w:highlight w:val="none"/>
            </w:rPr>
            <w:instrText xml:space="preserve"> PAGEREF _Toc24902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0AF84445">
          <w:pPr>
            <w:pStyle w:val="24"/>
            <w:tabs>
              <w:tab w:val="right" w:leader="dot" w:pos="8306"/>
            </w:tabs>
            <w:rPr>
              <w:highlight w:val="none"/>
            </w:rPr>
          </w:pPr>
        </w:p>
        <w:p w14:paraId="20B13259">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2EB4FF5B">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667B6BC2">
      <w:pPr>
        <w:pStyle w:val="3"/>
        <w:numPr>
          <w:ilvl w:val="0"/>
          <w:numId w:val="8"/>
        </w:numPr>
        <w:spacing w:before="120" w:after="120" w:line="360" w:lineRule="auto"/>
        <w:jc w:val="center"/>
        <w:rPr>
          <w:rFonts w:hint="default" w:ascii="宋体" w:hAnsi="宋体"/>
          <w:bCs w:val="0"/>
          <w:sz w:val="28"/>
          <w:szCs w:val="28"/>
          <w:highlight w:val="none"/>
          <w:lang w:val="en-US"/>
        </w:rPr>
      </w:pPr>
      <w:bookmarkStart w:id="2" w:name="_Toc109736025"/>
      <w:bookmarkStart w:id="3" w:name="_Toc390940504"/>
      <w:bookmarkStart w:id="4" w:name="_Toc30703"/>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2E7D4ABF">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1"/>
        <w:rPr>
          <w:rFonts w:hint="eastAsia" w:ascii="宋体" w:hAnsi="宋体" w:cs="宋体"/>
          <w:szCs w:val="21"/>
          <w:highlight w:val="none"/>
          <w:lang w:val="zh-CN" w:bidi="zh-CN"/>
        </w:rPr>
      </w:pPr>
      <w:bookmarkStart w:id="5" w:name="_Toc7081"/>
      <w:bookmarkStart w:id="6" w:name="_Toc7847"/>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司本 吐温</w:t>
      </w:r>
      <w:r>
        <w:rPr>
          <w:rFonts w:hint="eastAsia" w:ascii="宋体" w:hAnsi="宋体" w:cs="宋体"/>
          <w:szCs w:val="21"/>
          <w:highlight w:val="none"/>
          <w:lang w:val="zh-CN" w:bidi="zh-CN"/>
        </w:rPr>
        <w:t>采购</w:t>
      </w:r>
      <w:bookmarkEnd w:id="5"/>
      <w:bookmarkEnd w:id="6"/>
      <w:r>
        <w:rPr>
          <w:rFonts w:hint="eastAsia" w:ascii="宋体" w:hAnsi="宋体" w:cs="宋体"/>
          <w:szCs w:val="21"/>
          <w:highlight w:val="none"/>
          <w:lang w:val="zh-CN" w:bidi="zh-CN"/>
        </w:rPr>
        <w:t>采购公告</w:t>
      </w:r>
    </w:p>
    <w:p w14:paraId="02C0ED00">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1"/>
        <w:rPr>
          <w:rFonts w:hint="eastAsia" w:ascii="宋体" w:hAnsi="宋体" w:cs="宋体"/>
          <w:szCs w:val="21"/>
          <w:highlight w:val="none"/>
          <w:lang w:val="zh-CN" w:bidi="zh-CN"/>
        </w:rPr>
      </w:pPr>
      <w:bookmarkStart w:id="7" w:name="_Toc4790"/>
      <w:bookmarkStart w:id="8" w:name="_Toc6492"/>
      <w:r>
        <w:rPr>
          <w:rFonts w:hint="eastAsia" w:ascii="宋体" w:hAnsi="宋体" w:cs="宋体"/>
          <w:szCs w:val="21"/>
          <w:highlight w:val="none"/>
        </w:rPr>
        <w:t>（招标编号：</w:t>
      </w:r>
      <w:r>
        <w:rPr>
          <w:rFonts w:hint="eastAsia" w:ascii="宋体" w:hAnsi="宋体" w:cs="宋体"/>
          <w:szCs w:val="21"/>
          <w:highlight w:val="none"/>
          <w:lang w:val="en-US" w:eastAsia="zh-CN"/>
        </w:rPr>
        <w:t>WKZB-2026-024</w:t>
      </w:r>
      <w:r>
        <w:rPr>
          <w:rFonts w:hint="eastAsia" w:ascii="宋体" w:hAnsi="宋体" w:cs="宋体"/>
          <w:szCs w:val="21"/>
          <w:highlight w:val="none"/>
        </w:rPr>
        <w:t>）</w:t>
      </w:r>
      <w:bookmarkEnd w:id="7"/>
      <w:bookmarkEnd w:id="8"/>
    </w:p>
    <w:p w14:paraId="05A53E10">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1E75DB4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9" w:name="_Toc8276"/>
      <w:bookmarkStart w:id="10" w:name="_Toc5989"/>
      <w:bookmarkStart w:id="11" w:name="_Toc24469"/>
      <w:r>
        <w:rPr>
          <w:rFonts w:hint="eastAsia" w:ascii="宋体" w:hAnsi="宋体" w:cs="宋体"/>
          <w:b/>
          <w:bCs/>
          <w:szCs w:val="21"/>
          <w:highlight w:val="none"/>
          <w:lang w:val="zh-CN" w:bidi="zh-CN"/>
        </w:rPr>
        <w:t>一、招标条件</w:t>
      </w:r>
      <w:bookmarkEnd w:id="9"/>
      <w:bookmarkEnd w:id="10"/>
      <w:bookmarkEnd w:id="11"/>
    </w:p>
    <w:p w14:paraId="0411EB3B">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司本 吐温</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w:t>
      </w:r>
      <w:r>
        <w:rPr>
          <w:rFonts w:hint="eastAsia" w:ascii="宋体" w:hAnsi="宋体" w:cs="宋体"/>
          <w:szCs w:val="21"/>
          <w:highlight w:val="none"/>
          <w:lang w:val="zh-CN" w:bidi="zh-CN"/>
        </w:rPr>
        <w:t>。</w:t>
      </w:r>
    </w:p>
    <w:p w14:paraId="0302EF6A">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2" w:name="_Toc6931"/>
      <w:bookmarkStart w:id="13" w:name="_Toc10698"/>
      <w:bookmarkStart w:id="14" w:name="_Toc28608"/>
      <w:r>
        <w:rPr>
          <w:rFonts w:hint="eastAsia" w:ascii="宋体" w:hAnsi="宋体" w:cs="宋体"/>
          <w:b/>
          <w:bCs/>
          <w:szCs w:val="21"/>
          <w:highlight w:val="none"/>
          <w:lang w:val="zh-CN" w:bidi="zh-CN"/>
        </w:rPr>
        <w:t>二、项目概况和招标范围</w:t>
      </w:r>
      <w:bookmarkEnd w:id="12"/>
      <w:bookmarkEnd w:id="13"/>
      <w:bookmarkEnd w:id="14"/>
    </w:p>
    <w:p w14:paraId="16670D8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规模：国药集团扬州威克生物工程有限公司</w:t>
      </w:r>
      <w:r>
        <w:rPr>
          <w:rFonts w:hint="eastAsia" w:ascii="宋体" w:hAnsi="宋体" w:cs="宋体"/>
          <w:szCs w:val="21"/>
          <w:highlight w:val="none"/>
          <w:lang w:bidi="zh-CN"/>
        </w:rPr>
        <w:t>拟采购</w:t>
      </w:r>
      <w:r>
        <w:rPr>
          <w:rFonts w:hint="eastAsia" w:ascii="宋体" w:hAnsi="宋体" w:cs="宋体"/>
          <w:szCs w:val="21"/>
          <w:highlight w:val="none"/>
          <w:lang w:val="en-US" w:bidi="zh-CN"/>
        </w:rPr>
        <w:t>司本 吐温。</w:t>
      </w:r>
    </w:p>
    <w:p w14:paraId="276147A6">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pacing w:val="-5"/>
          <w:szCs w:val="21"/>
          <w:highlight w:val="none"/>
          <w:lang w:val="zh-CN" w:bidi="zh-CN"/>
        </w:rPr>
        <w:t xml:space="preserve">范围：本招标项目划分为 </w:t>
      </w:r>
      <w:r>
        <w:rPr>
          <w:rFonts w:hint="eastAsia" w:ascii="宋体" w:hAnsi="宋体" w:cs="宋体"/>
          <w:spacing w:val="-5"/>
          <w:szCs w:val="21"/>
          <w:highlight w:val="none"/>
          <w:lang w:val="en-US" w:bidi="zh-CN"/>
        </w:rPr>
        <w:t>1</w:t>
      </w:r>
      <w:r>
        <w:rPr>
          <w:rFonts w:hint="eastAsia" w:ascii="宋体" w:hAnsi="宋体" w:cs="宋体"/>
          <w:szCs w:val="21"/>
          <w:highlight w:val="none"/>
          <w:lang w:val="zh-CN" w:bidi="zh-CN"/>
        </w:rPr>
        <w:t>个标段，本次招标为其中的：</w:t>
      </w:r>
    </w:p>
    <w:p w14:paraId="19EF2AC1">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(001)国药集团扬州威克生物工程有限公司</w:t>
      </w:r>
      <w:r>
        <w:rPr>
          <w:rFonts w:hint="eastAsia" w:ascii="宋体" w:hAnsi="宋体" w:cs="宋体"/>
          <w:szCs w:val="21"/>
          <w:highlight w:val="none"/>
          <w:lang w:val="en-US" w:bidi="zh-CN"/>
        </w:rPr>
        <w:t>司本 吐温</w:t>
      </w:r>
      <w:r>
        <w:rPr>
          <w:rFonts w:hint="eastAsia" w:ascii="宋体" w:hAnsi="宋体" w:cs="宋体"/>
          <w:szCs w:val="21"/>
          <w:highlight w:val="none"/>
          <w:lang w:val="zh-CN" w:bidi="zh-CN"/>
        </w:rPr>
        <w:t xml:space="preserve">采购;  </w:t>
      </w:r>
    </w:p>
    <w:p w14:paraId="3B18FA1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5" w:name="_Toc23826"/>
      <w:bookmarkStart w:id="16" w:name="_Toc15843"/>
      <w:bookmarkStart w:id="17" w:name="_Toc1963"/>
      <w:r>
        <w:rPr>
          <w:rFonts w:hint="eastAsia" w:ascii="宋体" w:hAnsi="宋体" w:cs="宋体"/>
          <w:b/>
          <w:bCs/>
          <w:szCs w:val="21"/>
          <w:highlight w:val="none"/>
          <w:lang w:val="zh-CN" w:bidi="zh-CN"/>
        </w:rPr>
        <w:t>三、投标人资格要求</w:t>
      </w:r>
      <w:bookmarkEnd w:id="15"/>
      <w:bookmarkEnd w:id="16"/>
      <w:bookmarkEnd w:id="17"/>
    </w:p>
    <w:p w14:paraId="533D9222">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司本 吐温</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2931B041">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17197C5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具有良好的财务状况(提供202</w:t>
      </w:r>
      <w:r>
        <w:rPr>
          <w:rFonts w:hint="eastAsia" w:ascii="宋体" w:hAnsi="宋体" w:cs="宋体"/>
          <w:bCs/>
          <w:szCs w:val="21"/>
          <w:highlight w:val="none"/>
          <w:lang w:val="en-US" w:eastAsia="zh-CN"/>
        </w:rPr>
        <w:t>5</w:t>
      </w:r>
      <w:r>
        <w:rPr>
          <w:rFonts w:hint="eastAsia" w:ascii="宋体" w:hAnsi="宋体" w:cs="宋体"/>
          <w:bCs/>
          <w:szCs w:val="21"/>
          <w:highlight w:val="none"/>
        </w:rPr>
        <w:t>年年度经会计师事务所审计财务报表，含资产负债表、损益表（利润表）、现金流量表，有依法缴纳税收和社会保障资金的良好记录（提供投标截止日前6个月内任意连续3个月已缴凭证）；</w:t>
      </w:r>
    </w:p>
    <w:p w14:paraId="40533EBE">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6D6EB10F">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2D74419D">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5A024275">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4FA7267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3A1148D9">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7BA6F9C7">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2E5A6FC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8" w:name="_Toc31840"/>
      <w:bookmarkStart w:id="19" w:name="_Toc8299"/>
      <w:bookmarkStart w:id="20" w:name="_Toc7377"/>
      <w:r>
        <w:rPr>
          <w:rFonts w:hint="eastAsia" w:ascii="宋体" w:hAnsi="宋体" w:cs="宋体"/>
          <w:b/>
          <w:bCs/>
          <w:szCs w:val="21"/>
          <w:highlight w:val="none"/>
          <w:lang w:val="zh-CN" w:bidi="zh-CN"/>
        </w:rPr>
        <w:t>四、招标文件的获取</w:t>
      </w:r>
      <w:bookmarkEnd w:id="18"/>
      <w:bookmarkEnd w:id="19"/>
      <w:bookmarkEnd w:id="20"/>
    </w:p>
    <w:p w14:paraId="2D315F2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以采购公告时间为准</w:t>
      </w:r>
    </w:p>
    <w:p w14:paraId="7A9E64FA">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0991D83A">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14933EAC">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hint="eastAsia" w:ascii="宋体" w:hAnsi="宋体" w:cs="宋体"/>
          <w:szCs w:val="21"/>
          <w:highlight w:val="none"/>
          <w:lang w:val="en-US" w:bidi="zh-CN"/>
        </w:rPr>
        <w:t>登记</w:t>
      </w:r>
      <w:r>
        <w:rPr>
          <w:rFonts w:hint="eastAsia" w:ascii="宋体" w:hAnsi="宋体" w:cs="宋体"/>
          <w:szCs w:val="21"/>
          <w:highlight w:val="none"/>
          <w:lang w:val="zh-CN" w:bidi="zh-CN"/>
        </w:rPr>
        <w:t>后购买招标文件</w:t>
      </w:r>
      <w:r>
        <w:rPr>
          <w:rFonts w:hint="eastAsia" w:ascii="宋体" w:hAnsi="宋体" w:cs="宋体"/>
          <w:kern w:val="0"/>
          <w:szCs w:val="21"/>
          <w:highlight w:val="none"/>
        </w:rPr>
        <w:t>。</w:t>
      </w:r>
    </w:p>
    <w:p w14:paraId="572F926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1" w:name="_Toc10836"/>
      <w:bookmarkStart w:id="22" w:name="_Toc14098"/>
      <w:r>
        <w:rPr>
          <w:rFonts w:hint="eastAsia" w:ascii="宋体" w:hAnsi="宋体" w:cs="宋体"/>
          <w:b/>
          <w:bCs/>
          <w:szCs w:val="21"/>
          <w:highlight w:val="none"/>
          <w:lang w:val="zh-CN" w:bidi="zh-CN"/>
        </w:rPr>
        <w:t>五、投标文件的递交</w:t>
      </w:r>
      <w:bookmarkEnd w:id="21"/>
      <w:bookmarkEnd w:id="22"/>
    </w:p>
    <w:p w14:paraId="138A2E8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以采购公告时间为准</w:t>
      </w:r>
    </w:p>
    <w:p w14:paraId="710FD95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0E7E74E9">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3" w:name="_Toc23490"/>
      <w:bookmarkStart w:id="24" w:name="_Toc6081"/>
      <w:bookmarkStart w:id="25" w:name="_Toc28425"/>
      <w:r>
        <w:rPr>
          <w:rFonts w:hint="eastAsia" w:ascii="宋体" w:hAnsi="宋体" w:cs="宋体"/>
          <w:b/>
          <w:bCs/>
          <w:szCs w:val="21"/>
          <w:highlight w:val="none"/>
          <w:lang w:val="zh-CN" w:bidi="zh-CN"/>
        </w:rPr>
        <w:t>六、开标时间及地点</w:t>
      </w:r>
      <w:bookmarkEnd w:id="23"/>
      <w:bookmarkEnd w:id="24"/>
      <w:bookmarkEnd w:id="25"/>
    </w:p>
    <w:p w14:paraId="7BC2561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002BB5F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2E38099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6" w:name="_Toc11141"/>
      <w:bookmarkStart w:id="27" w:name="_Toc7374"/>
      <w:bookmarkStart w:id="28" w:name="_Toc21387"/>
      <w:r>
        <w:rPr>
          <w:rFonts w:hint="eastAsia" w:ascii="宋体" w:hAnsi="宋体" w:cs="宋体"/>
          <w:b/>
          <w:bCs/>
          <w:szCs w:val="21"/>
          <w:highlight w:val="none"/>
          <w:lang w:val="zh-CN" w:bidi="zh-CN"/>
        </w:rPr>
        <w:t>七、其他</w:t>
      </w:r>
      <w:bookmarkEnd w:id="26"/>
      <w:bookmarkEnd w:id="27"/>
      <w:bookmarkEnd w:id="28"/>
    </w:p>
    <w:p w14:paraId="56A2B7FB">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国药集团扬州威克生物工程有限公司拟通过招标方式选择</w:t>
      </w:r>
      <w:r>
        <w:rPr>
          <w:rFonts w:hint="eastAsia" w:ascii="宋体" w:hAnsi="宋体" w:cs="宋体"/>
          <w:szCs w:val="21"/>
          <w:highlight w:val="none"/>
          <w:u w:val="single"/>
          <w:lang w:val="en-US" w:bidi="zh-CN"/>
        </w:rPr>
        <w:t>1-2名</w:t>
      </w:r>
      <w:r>
        <w:rPr>
          <w:rFonts w:hint="eastAsia" w:ascii="宋体" w:hAnsi="宋体" w:cs="宋体"/>
          <w:szCs w:val="21"/>
          <w:highlight w:val="none"/>
          <w:lang w:bidi="zh-CN"/>
        </w:rPr>
        <w:t>供应商供应</w:t>
      </w:r>
      <w:r>
        <w:rPr>
          <w:rFonts w:hint="eastAsia" w:ascii="宋体" w:hAnsi="宋体" w:cs="宋体"/>
          <w:szCs w:val="21"/>
          <w:highlight w:val="none"/>
          <w:lang w:val="en-US" w:bidi="zh-CN"/>
        </w:rPr>
        <w:t>司本80 吐温80</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，本项目为固定</w:t>
      </w:r>
      <w:r>
        <w:rPr>
          <w:rFonts w:hint="eastAsia" w:ascii="宋体" w:hAnsi="宋体" w:cs="宋体"/>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2D5A9F00">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招标人单次</w:t>
      </w:r>
      <w:r>
        <w:rPr>
          <w:rFonts w:hint="eastAsia" w:ascii="宋体" w:hAnsi="宋体" w:cs="宋体"/>
          <w:szCs w:val="21"/>
          <w:highlight w:val="none"/>
          <w:lang w:val="zh-CN" w:bidi="zh-CN"/>
        </w:rPr>
        <w:t>订单要求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1E8D7F6E">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服务期限：合同签订之日起</w:t>
      </w:r>
      <w:r>
        <w:rPr>
          <w:rFonts w:hint="eastAsia" w:ascii="宋体" w:hAnsi="宋体" w:cs="宋体"/>
          <w:szCs w:val="21"/>
          <w:highlight w:val="none"/>
          <w:lang w:val="en-US" w:bidi="zh-CN"/>
        </w:rPr>
        <w:t>1年</w:t>
      </w:r>
      <w:r>
        <w:rPr>
          <w:rFonts w:hint="eastAsia" w:ascii="宋体" w:hAnsi="宋体" w:cs="宋体"/>
          <w:szCs w:val="21"/>
          <w:highlight w:val="none"/>
          <w:lang w:bidi="zh-CN"/>
        </w:rPr>
        <w:t>。</w:t>
      </w:r>
    </w:p>
    <w:p w14:paraId="2FFBBA9A">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60F3F5F8">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0B8F5455">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00F0F762">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01E1B0E1">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none"/>
        </w:rPr>
        <w:t>本项目公告发布平台：</w:t>
      </w:r>
      <w:r>
        <w:rPr>
          <w:rFonts w:hint="eastAsia" w:ascii="宋体" w:hAnsi="宋体" w:eastAsia="宋体"/>
          <w:sz w:val="21"/>
          <w:szCs w:val="21"/>
          <w:highlight w:val="none"/>
          <w:lang w:val="en-US" w:eastAsia="zh-CN"/>
        </w:rPr>
        <w:t>国药集团扬州威克生物工程有限公司官网</w:t>
      </w:r>
      <w:r>
        <w:rPr>
          <w:rFonts w:hint="eastAsia" w:ascii="宋体" w:hAnsi="宋体" w:eastAsia="宋体"/>
          <w:sz w:val="21"/>
          <w:szCs w:val="21"/>
          <w:highlight w:val="none"/>
        </w:rPr>
        <w:t>（http：//www.</w:t>
      </w:r>
      <w:r>
        <w:rPr>
          <w:rFonts w:hint="eastAsia" w:ascii="宋体" w:hAnsi="宋体" w:eastAsia="宋体"/>
          <w:sz w:val="21"/>
          <w:szCs w:val="21"/>
          <w:highlight w:val="none"/>
          <w:lang w:val="en-US" w:eastAsia="zh-CN"/>
        </w:rPr>
        <w:t>sinopharm-vacbio.com</w:t>
      </w:r>
      <w:r>
        <w:rPr>
          <w:rFonts w:hint="eastAsia" w:ascii="宋体" w:hAnsi="宋体" w:eastAsia="宋体"/>
          <w:sz w:val="21"/>
          <w:szCs w:val="21"/>
          <w:highlight w:val="none"/>
        </w:rPr>
        <w:t>）。因轻信其他组织、个人或媒介提供的信息而造成的损失，其责任由投标人自行负责。</w:t>
      </w:r>
    </w:p>
    <w:p w14:paraId="4EF72EF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9" w:name="_Toc16177"/>
      <w:bookmarkStart w:id="30" w:name="_Toc30277"/>
      <w:bookmarkStart w:id="31" w:name="_Toc14869"/>
      <w:r>
        <w:rPr>
          <w:rFonts w:hint="eastAsia" w:ascii="宋体" w:hAnsi="宋体" w:cs="宋体"/>
          <w:b/>
          <w:bCs/>
          <w:szCs w:val="21"/>
          <w:highlight w:val="none"/>
          <w:lang w:val="zh-CN" w:bidi="zh-CN"/>
        </w:rPr>
        <w:t>八、监督部门</w:t>
      </w:r>
      <w:bookmarkEnd w:id="29"/>
      <w:bookmarkEnd w:id="30"/>
      <w:bookmarkEnd w:id="31"/>
    </w:p>
    <w:p w14:paraId="7B101AB7">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6A8898A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32" w:name="_Toc24185"/>
      <w:bookmarkStart w:id="33" w:name="_Toc32313"/>
      <w:bookmarkStart w:id="34" w:name="_Toc21816"/>
      <w:r>
        <w:rPr>
          <w:rFonts w:hint="eastAsia" w:ascii="宋体" w:hAnsi="宋体" w:cs="宋体"/>
          <w:b/>
          <w:bCs/>
          <w:szCs w:val="21"/>
          <w:highlight w:val="none"/>
          <w:lang w:val="zh-CN" w:bidi="zh-CN"/>
        </w:rPr>
        <w:t>九、联系方式</w:t>
      </w:r>
      <w:bookmarkEnd w:id="32"/>
      <w:bookmarkEnd w:id="33"/>
      <w:bookmarkEnd w:id="34"/>
    </w:p>
    <w:p w14:paraId="161A62D2">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068B2B3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5E82E6B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6C736EA3">
      <w:pPr>
        <w:autoSpaceDE w:val="0"/>
        <w:autoSpaceDN w:val="0"/>
        <w:spacing w:line="360" w:lineRule="auto"/>
        <w:jc w:val="left"/>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480C7257">
      <w:pPr>
        <w:autoSpaceDE w:val="0"/>
        <w:autoSpaceDN w:val="0"/>
        <w:spacing w:line="360" w:lineRule="auto"/>
        <w:jc w:val="left"/>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145CA6F8">
      <w:pPr>
        <w:pStyle w:val="3"/>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152042303"/>
      <w:bookmarkStart w:id="36" w:name="_Toc233102490"/>
      <w:bookmarkStart w:id="37" w:name="_Toc25653"/>
      <w:bookmarkStart w:id="38" w:name="_Toc144974495"/>
      <w:bookmarkStart w:id="39" w:name="_Toc179632544"/>
      <w:bookmarkStart w:id="40" w:name="_Toc152045527"/>
      <w:bookmarkStart w:id="41" w:name="_Toc109736026"/>
      <w:bookmarkStart w:id="42" w:name="_Toc390940505"/>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p w14:paraId="35309555">
      <w:pPr>
        <w:pStyle w:val="20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sz w:val="21"/>
          <w:szCs w:val="21"/>
          <w:highlight w:val="none"/>
          <w:lang w:val="en-US" w:eastAsia="zh-CN"/>
        </w:rPr>
      </w:pPr>
      <w:bookmarkStart w:id="43" w:name="_Toc109736027"/>
      <w:bookmarkStart w:id="44" w:name="_Toc390940506"/>
      <w:bookmarkStart w:id="45" w:name="_Toc18804"/>
      <w:bookmarkStart w:id="46" w:name="_Toc20399"/>
      <w:bookmarkStart w:id="47" w:name="_Toc152042304"/>
      <w:bookmarkStart w:id="48" w:name="_Toc144974496"/>
      <w:bookmarkStart w:id="49" w:name="_Toc233102491"/>
      <w:bookmarkStart w:id="50" w:name="_Toc152045528"/>
      <w:bookmarkStart w:id="51" w:name="_Toc179632545"/>
      <w:r>
        <w:rPr>
          <w:rFonts w:hint="eastAsia" w:ascii="宋体" w:hAnsi="宋体" w:eastAsia="宋体"/>
          <w:b/>
          <w:sz w:val="21"/>
          <w:szCs w:val="21"/>
          <w:highlight w:val="none"/>
        </w:rPr>
        <w:t>投标人须知前附表</w:t>
      </w:r>
      <w:bookmarkEnd w:id="43"/>
      <w:bookmarkEnd w:id="44"/>
      <w:bookmarkEnd w:id="45"/>
      <w:bookmarkEnd w:id="46"/>
      <w:bookmarkEnd w:id="47"/>
      <w:bookmarkEnd w:id="48"/>
      <w:bookmarkEnd w:id="49"/>
      <w:bookmarkEnd w:id="50"/>
      <w:bookmarkEnd w:id="51"/>
    </w:p>
    <w:p w14:paraId="3A9BAB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微软雅黑"/>
          <w:b/>
          <w:kern w:val="0"/>
          <w:szCs w:val="21"/>
          <w:highlight w:val="none"/>
        </w:rPr>
      </w:pPr>
      <w:r>
        <w:rPr>
          <w:rFonts w:hint="eastAsia" w:ascii="宋体" w:hAnsi="宋体" w:cs="微软雅黑"/>
          <w:b/>
          <w:kern w:val="0"/>
          <w:szCs w:val="21"/>
          <w:highlight w:val="none"/>
        </w:rPr>
        <w:t>本表是对“投标人须知”的具体补充和修改，如有矛盾，应以本表内容为准。</w:t>
      </w:r>
    </w:p>
    <w:p w14:paraId="0E4BF4A5">
      <w:pPr>
        <w:rPr>
          <w:rFonts w:ascii="宋体" w:hAnsi="宋体"/>
          <w:szCs w:val="21"/>
          <w:highlight w:val="none"/>
        </w:rPr>
      </w:pPr>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5C8E15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trPr>
        <w:tc>
          <w:tcPr>
            <w:tcW w:w="1260" w:type="dxa"/>
            <w:noWrap w:val="0"/>
            <w:vAlign w:val="center"/>
          </w:tcPr>
          <w:p w14:paraId="0C4C1922">
            <w:pPr>
              <w:jc w:val="center"/>
              <w:rPr>
                <w:rFonts w:ascii="宋体" w:hAnsi="宋体"/>
                <w:b/>
                <w:szCs w:val="21"/>
                <w:highlight w:val="none"/>
              </w:rPr>
            </w:pPr>
            <w:r>
              <w:rPr>
                <w:rFonts w:hint="eastAsia" w:ascii="宋体" w:hAnsi="宋体"/>
                <w:b/>
                <w:szCs w:val="21"/>
                <w:highlight w:val="none"/>
              </w:rPr>
              <w:t>条款号</w:t>
            </w:r>
          </w:p>
        </w:tc>
        <w:tc>
          <w:tcPr>
            <w:tcW w:w="7387" w:type="dxa"/>
            <w:noWrap w:val="0"/>
            <w:vAlign w:val="center"/>
          </w:tcPr>
          <w:p w14:paraId="781D3B21">
            <w:pPr>
              <w:jc w:val="center"/>
              <w:rPr>
                <w:rFonts w:ascii="宋体" w:hAnsi="宋体"/>
                <w:b/>
                <w:szCs w:val="21"/>
                <w:highlight w:val="none"/>
              </w:rPr>
            </w:pPr>
            <w:r>
              <w:rPr>
                <w:rFonts w:hint="eastAsia" w:ascii="宋体" w:hAnsi="宋体"/>
                <w:b/>
                <w:szCs w:val="21"/>
                <w:highlight w:val="none"/>
              </w:rPr>
              <w:t>内      容</w:t>
            </w:r>
          </w:p>
        </w:tc>
      </w:tr>
      <w:tr w14:paraId="73D0A6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1260" w:type="dxa"/>
            <w:noWrap w:val="0"/>
            <w:vAlign w:val="center"/>
          </w:tcPr>
          <w:p w14:paraId="565F59E5">
            <w:pPr>
              <w:spacing w:line="320" w:lineRule="exact"/>
              <w:jc w:val="center"/>
              <w:rPr>
                <w:rFonts w:ascii="宋体" w:hAnsi="宋体"/>
                <w:b/>
                <w:szCs w:val="21"/>
                <w:highlight w:val="none"/>
              </w:rPr>
            </w:pPr>
            <w:r>
              <w:rPr>
                <w:rFonts w:hint="eastAsia" w:ascii="宋体" w:hAnsi="宋体"/>
                <w:b/>
                <w:szCs w:val="21"/>
                <w:highlight w:val="none"/>
              </w:rPr>
              <w:t>1.1</w:t>
            </w:r>
          </w:p>
        </w:tc>
        <w:tc>
          <w:tcPr>
            <w:tcW w:w="7387" w:type="dxa"/>
            <w:noWrap w:val="0"/>
            <w:vAlign w:val="center"/>
          </w:tcPr>
          <w:p w14:paraId="7707769F">
            <w:pPr>
              <w:spacing w:line="360" w:lineRule="auto"/>
              <w:ind w:left="630" w:hanging="630" w:hangingChars="300"/>
              <w:rPr>
                <w:rFonts w:hint="eastAsia" w:ascii="宋体" w:hAnsi="宋体"/>
                <w:szCs w:val="21"/>
                <w:highlight w:val="none"/>
              </w:rPr>
            </w:pPr>
            <w:r>
              <w:rPr>
                <w:rFonts w:ascii="宋体" w:hAnsi="宋体"/>
                <w:szCs w:val="21"/>
                <w:highlight w:val="none"/>
              </w:rPr>
              <w:t>招标人名称：国药集团扬州威克生物工程有限公司</w:t>
            </w:r>
          </w:p>
          <w:p w14:paraId="0E1DC530">
            <w:pPr>
              <w:spacing w:line="360" w:lineRule="auto"/>
              <w:ind w:left="630" w:hanging="630" w:hangingChars="300"/>
              <w:rPr>
                <w:rFonts w:hint="eastAsia" w:ascii="宋体" w:hAnsi="宋体"/>
                <w:szCs w:val="21"/>
                <w:highlight w:val="none"/>
              </w:rPr>
            </w:pPr>
            <w:r>
              <w:rPr>
                <w:rFonts w:ascii="宋体" w:hAnsi="宋体"/>
                <w:szCs w:val="21"/>
                <w:highlight w:val="none"/>
              </w:rPr>
              <w:t>地</w:t>
            </w:r>
            <w:r>
              <w:rPr>
                <w:rFonts w:hint="eastAsia" w:ascii="宋体" w:hAnsi="宋体"/>
                <w:szCs w:val="21"/>
                <w:highlight w:val="none"/>
              </w:rPr>
              <w:t xml:space="preserve">  </w:t>
            </w:r>
            <w:r>
              <w:rPr>
                <w:rFonts w:ascii="宋体" w:hAnsi="宋体"/>
                <w:szCs w:val="21"/>
                <w:highlight w:val="none"/>
              </w:rPr>
              <w:t>址：</w:t>
            </w:r>
            <w:r>
              <w:rPr>
                <w:rFonts w:hint="eastAsia" w:ascii="宋体" w:hAnsi="宋体"/>
                <w:szCs w:val="21"/>
                <w:highlight w:val="none"/>
              </w:rPr>
              <w:t>扬州邗江工业园牧羊路15号</w:t>
            </w:r>
          </w:p>
          <w:p w14:paraId="2612ECEC">
            <w:pPr>
              <w:spacing w:line="360" w:lineRule="auto"/>
              <w:ind w:left="630" w:hanging="630" w:hangingChars="300"/>
              <w:rPr>
                <w:rFonts w:hint="eastAsia" w:ascii="宋体" w:hAnsi="宋体" w:eastAsia="宋体"/>
                <w:szCs w:val="21"/>
                <w:highlight w:val="none"/>
                <w:lang w:val="en-US" w:eastAsia="zh-CN"/>
              </w:rPr>
            </w:pPr>
            <w:r>
              <w:rPr>
                <w:rFonts w:hint="eastAsia" w:ascii="宋体" w:hAnsi="宋体"/>
                <w:szCs w:val="21"/>
                <w:highlight w:val="none"/>
              </w:rPr>
              <w:t>联  系  人：</w:t>
            </w:r>
            <w:r>
              <w:rPr>
                <w:rFonts w:hint="eastAsia" w:ascii="宋体" w:hAnsi="宋体"/>
                <w:szCs w:val="21"/>
                <w:highlight w:val="none"/>
                <w:lang w:val="en-US" w:eastAsia="zh-CN"/>
              </w:rPr>
              <w:t>陈娟</w:t>
            </w:r>
          </w:p>
          <w:p w14:paraId="6BEC9717">
            <w:pPr>
              <w:spacing w:line="360" w:lineRule="auto"/>
              <w:ind w:left="630" w:hanging="630" w:hangingChars="300"/>
              <w:rPr>
                <w:rFonts w:hint="eastAsia" w:ascii="宋体" w:hAnsi="宋体" w:eastAsia="宋体"/>
                <w:szCs w:val="21"/>
                <w:highlight w:val="none"/>
                <w:u w:val="single"/>
                <w:lang w:val="en-US" w:eastAsia="zh-CN"/>
              </w:rPr>
            </w:pPr>
            <w:r>
              <w:rPr>
                <w:rFonts w:hint="eastAsia" w:ascii="宋体" w:hAnsi="宋体"/>
                <w:szCs w:val="21"/>
                <w:highlight w:val="none"/>
              </w:rPr>
              <w:t>电      话：</w:t>
            </w:r>
            <w:r>
              <w:rPr>
                <w:rFonts w:ascii="宋体" w:hAnsi="宋体"/>
                <w:szCs w:val="21"/>
                <w:highlight w:val="none"/>
              </w:rPr>
              <w:t>0514-8510</w:t>
            </w:r>
            <w:r>
              <w:rPr>
                <w:rFonts w:hint="eastAsia" w:ascii="宋体" w:hAnsi="宋体"/>
                <w:szCs w:val="21"/>
                <w:highlight w:val="none"/>
              </w:rPr>
              <w:t>6680</w:t>
            </w:r>
            <w:r>
              <w:rPr>
                <w:rFonts w:hint="eastAsia" w:ascii="宋体" w:hAnsi="宋体"/>
                <w:szCs w:val="21"/>
                <w:highlight w:val="none"/>
                <w:lang w:val="en-US" w:eastAsia="zh-CN"/>
              </w:rPr>
              <w:t>转</w:t>
            </w:r>
            <w:r>
              <w:rPr>
                <w:rFonts w:hint="eastAsia" w:ascii="宋体" w:hAnsi="宋体"/>
                <w:szCs w:val="21"/>
                <w:highlight w:val="none"/>
              </w:rPr>
              <w:t>802</w:t>
            </w:r>
            <w:r>
              <w:rPr>
                <w:rFonts w:hint="eastAsia" w:ascii="宋体" w:hAnsi="宋体"/>
                <w:szCs w:val="21"/>
                <w:highlight w:val="none"/>
                <w:lang w:val="en-US" w:eastAsia="zh-CN"/>
              </w:rPr>
              <w:t>2</w:t>
            </w:r>
          </w:p>
        </w:tc>
      </w:tr>
      <w:tr w14:paraId="523EBC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3" w:hRule="atLeast"/>
        </w:trPr>
        <w:tc>
          <w:tcPr>
            <w:tcW w:w="1260" w:type="dxa"/>
            <w:tcBorders>
              <w:bottom w:val="single" w:color="auto" w:sz="4" w:space="0"/>
            </w:tcBorders>
            <w:noWrap w:val="0"/>
            <w:vAlign w:val="center"/>
          </w:tcPr>
          <w:p w14:paraId="0DB27DF6">
            <w:pPr>
              <w:spacing w:line="320" w:lineRule="exact"/>
              <w:jc w:val="center"/>
              <w:rPr>
                <w:rFonts w:ascii="宋体" w:hAnsi="宋体"/>
                <w:b/>
                <w:szCs w:val="21"/>
                <w:highlight w:val="none"/>
              </w:rPr>
            </w:pPr>
            <w:r>
              <w:rPr>
                <w:rFonts w:hint="eastAsia" w:ascii="宋体" w:hAnsi="宋体"/>
                <w:b/>
                <w:szCs w:val="21"/>
                <w:highlight w:val="none"/>
              </w:rPr>
              <w:t>1.2</w:t>
            </w:r>
          </w:p>
        </w:tc>
        <w:tc>
          <w:tcPr>
            <w:tcW w:w="7387" w:type="dxa"/>
            <w:tcBorders>
              <w:bottom w:val="single" w:color="auto" w:sz="4" w:space="0"/>
            </w:tcBorders>
            <w:noWrap w:val="0"/>
            <w:vAlign w:val="center"/>
          </w:tcPr>
          <w:p w14:paraId="0ED87327">
            <w:pPr>
              <w:spacing w:line="360" w:lineRule="auto"/>
              <w:ind w:left="630" w:hanging="630" w:hangingChars="300"/>
              <w:rPr>
                <w:rFonts w:hint="eastAsia"/>
                <w:highlight w:val="none"/>
              </w:rPr>
            </w:pPr>
            <w:r>
              <w:rPr>
                <w:rFonts w:hint="eastAsia"/>
                <w:highlight w:val="none"/>
              </w:rPr>
              <w:t>1．在中国境内注册的法人或其他组织，遵守中国的法律、法规和条例；</w:t>
            </w:r>
          </w:p>
          <w:p w14:paraId="20D434F4">
            <w:pPr>
              <w:spacing w:line="360" w:lineRule="auto"/>
              <w:ind w:left="630" w:hanging="630" w:hangingChars="300"/>
              <w:rPr>
                <w:rFonts w:hint="eastAsia"/>
                <w:highlight w:val="none"/>
              </w:rPr>
            </w:pPr>
            <w:r>
              <w:rPr>
                <w:rFonts w:hint="eastAsia"/>
                <w:highlight w:val="none"/>
              </w:rPr>
              <w:t>2．具有良好的财务状况(提供20</w:t>
            </w:r>
            <w:r>
              <w:rPr>
                <w:rFonts w:hint="eastAsia"/>
                <w:highlight w:val="none"/>
                <w:lang w:val="en-US" w:eastAsia="zh-CN"/>
              </w:rPr>
              <w:t>25</w:t>
            </w:r>
            <w:r>
              <w:rPr>
                <w:rFonts w:hint="eastAsia"/>
                <w:highlight w:val="none"/>
              </w:rPr>
              <w:t>年年度经会计师事务所审计财务报表，含资</w:t>
            </w:r>
          </w:p>
          <w:p w14:paraId="7BA34581">
            <w:pPr>
              <w:spacing w:line="360" w:lineRule="auto"/>
              <w:ind w:left="630" w:hanging="630" w:hangingChars="300"/>
              <w:rPr>
                <w:rFonts w:hint="eastAsia"/>
                <w:highlight w:val="none"/>
              </w:rPr>
            </w:pPr>
            <w:r>
              <w:rPr>
                <w:rFonts w:hint="eastAsia"/>
                <w:highlight w:val="none"/>
              </w:rPr>
              <w:t>产负债表、损益表（利润表）、现金流量表，有依法缴纳税收和社会保障资金</w:t>
            </w:r>
          </w:p>
          <w:p w14:paraId="35427861">
            <w:pPr>
              <w:spacing w:line="360" w:lineRule="auto"/>
              <w:rPr>
                <w:rFonts w:hint="eastAsia"/>
                <w:highlight w:val="none"/>
              </w:rPr>
            </w:pPr>
            <w:r>
              <w:rPr>
                <w:rFonts w:hint="eastAsia"/>
                <w:highlight w:val="none"/>
              </w:rPr>
              <w:t>良好记录（提供投标截止日前6个月内任意连续3个月已缴凭证）；</w:t>
            </w:r>
          </w:p>
          <w:p w14:paraId="499DE28E">
            <w:pPr>
              <w:spacing w:line="360" w:lineRule="auto"/>
              <w:ind w:left="630" w:hanging="630" w:hangingChars="300"/>
              <w:rPr>
                <w:rFonts w:hint="eastAsia"/>
                <w:highlight w:val="none"/>
              </w:rPr>
            </w:pPr>
            <w:r>
              <w:rPr>
                <w:rFonts w:hint="eastAsia"/>
                <w:highlight w:val="none"/>
              </w:rPr>
              <w:t>3．投标人应为拟投产品生产商或代理商，如果投标人是代理商，应提供所投产</w:t>
            </w:r>
          </w:p>
          <w:p w14:paraId="0CF73723">
            <w:pPr>
              <w:spacing w:line="360" w:lineRule="auto"/>
              <w:ind w:left="630" w:hanging="630" w:hangingChars="300"/>
              <w:rPr>
                <w:rFonts w:hint="eastAsia"/>
                <w:highlight w:val="none"/>
              </w:rPr>
            </w:pPr>
            <w:r>
              <w:rPr>
                <w:rFonts w:hint="eastAsia"/>
                <w:highlight w:val="none"/>
              </w:rPr>
              <w:t>品生产商出具的合法且在有效期内的授权书；</w:t>
            </w:r>
          </w:p>
          <w:p w14:paraId="0FBA734C">
            <w:pPr>
              <w:spacing w:line="360" w:lineRule="auto"/>
              <w:ind w:left="630" w:hanging="630" w:hangingChars="300"/>
              <w:rPr>
                <w:rFonts w:hint="eastAsia"/>
                <w:highlight w:val="none"/>
              </w:rPr>
            </w:pPr>
            <w:r>
              <w:rPr>
                <w:rFonts w:hint="eastAsia"/>
                <w:highlight w:val="none"/>
              </w:rPr>
              <w:t>4．投标人法定代表人为同一个人的两个及两个以上法人，母公司与全资子公司/</w:t>
            </w:r>
          </w:p>
          <w:p w14:paraId="246D9780">
            <w:pPr>
              <w:spacing w:line="360" w:lineRule="auto"/>
              <w:ind w:left="630" w:hanging="630" w:hangingChars="300"/>
              <w:rPr>
                <w:rFonts w:hint="eastAsia"/>
                <w:highlight w:val="none"/>
              </w:rPr>
            </w:pPr>
            <w:r>
              <w:rPr>
                <w:rFonts w:hint="eastAsia"/>
                <w:highlight w:val="none"/>
              </w:rPr>
              <w:t>由其控股的子公司，不得同时参与本项目；</w:t>
            </w:r>
          </w:p>
          <w:p w14:paraId="1EB261FF">
            <w:pPr>
              <w:spacing w:line="360" w:lineRule="auto"/>
              <w:ind w:left="630" w:hanging="630" w:hangingChars="300"/>
              <w:rPr>
                <w:rFonts w:hint="eastAsia"/>
                <w:highlight w:val="none"/>
              </w:rPr>
            </w:pPr>
            <w:r>
              <w:rPr>
                <w:rFonts w:hint="eastAsia"/>
                <w:highlight w:val="none"/>
              </w:rPr>
              <w:t>5．投标人在法律和财务上独立、合法运作并独立于招标人，不得直接或间接地</w:t>
            </w:r>
          </w:p>
          <w:p w14:paraId="40AEDA12">
            <w:pPr>
              <w:spacing w:line="360" w:lineRule="auto"/>
              <w:ind w:left="630" w:hanging="630" w:hangingChars="300"/>
              <w:rPr>
                <w:rFonts w:hint="eastAsia"/>
                <w:highlight w:val="none"/>
              </w:rPr>
            </w:pPr>
            <w:r>
              <w:rPr>
                <w:rFonts w:hint="eastAsia"/>
                <w:highlight w:val="none"/>
              </w:rPr>
              <w:t>与招标人为本项目所委托的咨询公司或其附属机构有任何关联；</w:t>
            </w:r>
          </w:p>
          <w:p w14:paraId="6D663997">
            <w:pPr>
              <w:spacing w:line="360" w:lineRule="auto"/>
              <w:ind w:left="630" w:hanging="630" w:hangingChars="300"/>
              <w:rPr>
                <w:rFonts w:hint="eastAsia"/>
                <w:highlight w:val="none"/>
              </w:rPr>
            </w:pPr>
            <w:r>
              <w:rPr>
                <w:rFonts w:hint="eastAsia"/>
                <w:highlight w:val="none"/>
              </w:rPr>
              <w:t>6．投标人须保证，招标人在其本国使用其提供的货物及服务时，不存在任何已</w:t>
            </w:r>
          </w:p>
          <w:p w14:paraId="32CE635D">
            <w:pPr>
              <w:spacing w:line="360" w:lineRule="auto"/>
              <w:ind w:left="630" w:hanging="630" w:hangingChars="300"/>
              <w:rPr>
                <w:rFonts w:hint="eastAsia"/>
                <w:highlight w:val="none"/>
              </w:rPr>
            </w:pPr>
            <w:r>
              <w:rPr>
                <w:rFonts w:hint="eastAsia"/>
                <w:highlight w:val="none"/>
              </w:rPr>
              <w:t>知的不合法的情形，也不存在任何已知的与第三方专利权、著作权、商标权或工</w:t>
            </w:r>
          </w:p>
          <w:p w14:paraId="144484BE">
            <w:pPr>
              <w:spacing w:line="360" w:lineRule="auto"/>
              <w:ind w:left="630" w:hanging="630" w:hangingChars="300"/>
              <w:rPr>
                <w:rFonts w:hint="eastAsia"/>
                <w:highlight w:val="none"/>
              </w:rPr>
            </w:pPr>
            <w:r>
              <w:rPr>
                <w:rFonts w:hint="eastAsia"/>
                <w:highlight w:val="none"/>
              </w:rPr>
              <w:t>业设计权相关的任何争议。如果有任何因招标人使用投标人提供的服务而提起的</w:t>
            </w:r>
          </w:p>
          <w:p w14:paraId="5F0564AB">
            <w:pPr>
              <w:spacing w:line="360" w:lineRule="auto"/>
              <w:ind w:left="630" w:hanging="630" w:hangingChars="300"/>
              <w:rPr>
                <w:rFonts w:hint="eastAsia"/>
                <w:highlight w:val="none"/>
              </w:rPr>
            </w:pPr>
            <w:r>
              <w:rPr>
                <w:rFonts w:hint="eastAsia"/>
                <w:highlight w:val="none"/>
              </w:rPr>
              <w:t>侵权指控，投标人须依法承担全部责任；</w:t>
            </w:r>
          </w:p>
          <w:p w14:paraId="6FA953EA">
            <w:pPr>
              <w:spacing w:line="360" w:lineRule="auto"/>
              <w:ind w:left="630" w:hanging="630" w:hangingChars="300"/>
              <w:rPr>
                <w:rFonts w:hint="eastAsia"/>
                <w:highlight w:val="none"/>
              </w:rPr>
            </w:pPr>
            <w:r>
              <w:rPr>
                <w:rFonts w:hint="eastAsia"/>
                <w:highlight w:val="none"/>
              </w:rPr>
              <w:t>7．投标人须承诺企业及企业法定代表人近三年内未受到监管机构重大处罚、无</w:t>
            </w:r>
          </w:p>
          <w:p w14:paraId="16CBC771">
            <w:pPr>
              <w:spacing w:line="360" w:lineRule="auto"/>
              <w:ind w:left="630" w:hanging="630" w:hangingChars="300"/>
              <w:rPr>
                <w:rFonts w:hint="eastAsia"/>
                <w:highlight w:val="none"/>
              </w:rPr>
            </w:pPr>
            <w:r>
              <w:rPr>
                <w:rFonts w:hint="eastAsia"/>
                <w:highlight w:val="none"/>
              </w:rPr>
              <w:t>行贿受贿违法行为、未被“信用中国网站”（www.creditchina.gov.cn）列入失</w:t>
            </w:r>
          </w:p>
          <w:p w14:paraId="0D7EC36F">
            <w:pPr>
              <w:spacing w:line="360" w:lineRule="auto"/>
              <w:ind w:left="630" w:hanging="630" w:hangingChars="300"/>
              <w:rPr>
                <w:rFonts w:hint="eastAsia"/>
                <w:highlight w:val="none"/>
              </w:rPr>
            </w:pPr>
            <w:r>
              <w:rPr>
                <w:rFonts w:hint="eastAsia"/>
                <w:highlight w:val="none"/>
              </w:rPr>
              <w:t>信被执行人、重大税收违法案件当事人名单、政府采购严重违法失信名单，具有</w:t>
            </w:r>
          </w:p>
          <w:p w14:paraId="44361798">
            <w:pPr>
              <w:spacing w:line="360" w:lineRule="auto"/>
              <w:ind w:left="630" w:hanging="630" w:hangingChars="300"/>
              <w:rPr>
                <w:rFonts w:hint="eastAsia"/>
                <w:highlight w:val="none"/>
              </w:rPr>
            </w:pPr>
            <w:r>
              <w:rPr>
                <w:rFonts w:hint="eastAsia"/>
                <w:highlight w:val="none"/>
              </w:rPr>
              <w:t>较强的风险控制和较好的经营业绩且经营状况良好，严格遵守国家有关的法律法</w:t>
            </w:r>
          </w:p>
          <w:p w14:paraId="54B1CAD1">
            <w:pPr>
              <w:spacing w:line="360" w:lineRule="auto"/>
              <w:ind w:left="630" w:hanging="630" w:hangingChars="300"/>
              <w:rPr>
                <w:rFonts w:hint="eastAsia"/>
                <w:highlight w:val="none"/>
              </w:rPr>
            </w:pPr>
            <w:r>
              <w:rPr>
                <w:rFonts w:hint="eastAsia"/>
                <w:highlight w:val="none"/>
              </w:rPr>
              <w:t>规，内部管理规范、控制制度严密，具有严格的操作规程和保密措施；</w:t>
            </w:r>
          </w:p>
          <w:p w14:paraId="3B8ACEEF">
            <w:pPr>
              <w:spacing w:line="360" w:lineRule="auto"/>
              <w:ind w:left="630" w:hanging="630" w:hangingChars="300"/>
              <w:rPr>
                <w:rFonts w:hint="eastAsia"/>
                <w:highlight w:val="none"/>
              </w:rPr>
            </w:pPr>
            <w:r>
              <w:rPr>
                <w:rFonts w:hint="eastAsia"/>
                <w:highlight w:val="none"/>
              </w:rPr>
              <w:t>8．投标人不得将本项目招标内容以任何方式进行转包或分包；</w:t>
            </w:r>
          </w:p>
          <w:p w14:paraId="4D17011F">
            <w:pPr>
              <w:spacing w:line="360" w:lineRule="auto"/>
              <w:ind w:left="630" w:hanging="630" w:hangingChars="300"/>
              <w:rPr>
                <w:rFonts w:hint="default" w:eastAsia="宋体"/>
                <w:highlight w:val="none"/>
                <w:lang w:val="en-US" w:eastAsia="zh-CN"/>
              </w:rPr>
            </w:pPr>
            <w:r>
              <w:rPr>
                <w:rFonts w:hint="eastAsia"/>
                <w:highlight w:val="none"/>
              </w:rPr>
              <w:t>9．本项目不接受联合体投标。</w:t>
            </w:r>
          </w:p>
        </w:tc>
      </w:tr>
      <w:tr w14:paraId="0D027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04100480">
            <w:pPr>
              <w:spacing w:line="360" w:lineRule="auto"/>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0B29151B">
            <w:pPr>
              <w:spacing w:line="360" w:lineRule="auto"/>
              <w:jc w:val="center"/>
              <w:rPr>
                <w:rFonts w:hint="eastAsia" w:ascii="宋体" w:hAnsi="宋体" w:cs="Arial"/>
                <w:szCs w:val="21"/>
                <w:highlight w:val="none"/>
              </w:rPr>
            </w:pPr>
            <w:r>
              <w:rPr>
                <w:rFonts w:hint="eastAsia" w:ascii="宋体" w:hAnsi="宋体"/>
                <w:b/>
                <w:szCs w:val="21"/>
                <w:highlight w:val="none"/>
              </w:rPr>
              <w:t>内容</w:t>
            </w:r>
          </w:p>
        </w:tc>
      </w:tr>
      <w:tr w14:paraId="48C78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104B54F5">
            <w:pPr>
              <w:spacing w:line="320" w:lineRule="exact"/>
              <w:jc w:val="center"/>
              <w:rPr>
                <w:rFonts w:hint="eastAsia" w:ascii="宋体" w:hAnsi="宋体"/>
                <w:b/>
                <w:szCs w:val="21"/>
                <w:highlight w:val="none"/>
              </w:rPr>
            </w:pPr>
            <w:r>
              <w:rPr>
                <w:rFonts w:hint="eastAsia" w:ascii="宋体" w:hAnsi="宋体"/>
                <w:b/>
                <w:szCs w:val="21"/>
                <w:highlight w:val="none"/>
              </w:rPr>
              <w:t>1.3</w:t>
            </w:r>
          </w:p>
        </w:tc>
        <w:tc>
          <w:tcPr>
            <w:tcW w:w="7387" w:type="dxa"/>
            <w:tcBorders>
              <w:bottom w:val="single" w:color="auto" w:sz="4" w:space="0"/>
            </w:tcBorders>
            <w:noWrap w:val="0"/>
            <w:vAlign w:val="center"/>
          </w:tcPr>
          <w:p w14:paraId="5B4103CD">
            <w:pPr>
              <w:spacing w:line="320" w:lineRule="exact"/>
              <w:rPr>
                <w:rFonts w:ascii="宋体" w:hAnsi="宋体" w:cs="Arial"/>
                <w:szCs w:val="21"/>
                <w:highlight w:val="none"/>
              </w:rPr>
            </w:pPr>
            <w:r>
              <w:rPr>
                <w:rFonts w:hint="eastAsia" w:ascii="宋体" w:hAnsi="宋体" w:cs="Arial"/>
                <w:szCs w:val="21"/>
                <w:highlight w:val="none"/>
              </w:rPr>
              <w:t>本项目不接受联合体投标。</w:t>
            </w:r>
          </w:p>
        </w:tc>
      </w:tr>
      <w:tr w14:paraId="23392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1CA8DE31">
            <w:pPr>
              <w:spacing w:line="360" w:lineRule="auto"/>
              <w:jc w:val="center"/>
              <w:rPr>
                <w:rFonts w:ascii="宋体" w:hAnsi="宋体" w:cs="Arial"/>
                <w:b/>
                <w:kern w:val="2"/>
                <w:sz w:val="21"/>
                <w:szCs w:val="21"/>
                <w:highlight w:val="none"/>
                <w:lang w:val="en-US" w:eastAsia="zh-CN" w:bidi="ar-SA"/>
              </w:rPr>
            </w:pPr>
            <w:r>
              <w:rPr>
                <w:rFonts w:hint="eastAsia" w:ascii="宋体" w:hAnsi="宋体" w:cs="Arial"/>
                <w:b/>
                <w:szCs w:val="21"/>
                <w:highlight w:val="none"/>
              </w:rPr>
              <w:t>2</w:t>
            </w:r>
          </w:p>
        </w:tc>
        <w:tc>
          <w:tcPr>
            <w:tcW w:w="7387" w:type="dxa"/>
            <w:tcBorders>
              <w:bottom w:val="single" w:color="auto" w:sz="4" w:space="0"/>
            </w:tcBorders>
            <w:noWrap w:val="0"/>
            <w:vAlign w:val="center"/>
          </w:tcPr>
          <w:p w14:paraId="108C5198">
            <w:pPr>
              <w:spacing w:line="360" w:lineRule="auto"/>
              <w:rPr>
                <w:rFonts w:ascii="宋体" w:hAnsi="宋体" w:cs="Arial"/>
                <w:kern w:val="2"/>
                <w:sz w:val="21"/>
                <w:szCs w:val="21"/>
                <w:highlight w:val="none"/>
                <w:lang w:val="en-US" w:eastAsia="zh-CN" w:bidi="ar-SA"/>
              </w:rPr>
            </w:pPr>
            <w:r>
              <w:rPr>
                <w:rFonts w:hint="eastAsia" w:ascii="宋体" w:hAnsi="宋体" w:cs="Arial"/>
                <w:szCs w:val="21"/>
                <w:highlight w:val="none"/>
              </w:rPr>
              <w:t>本项目资金来源：企业自筹</w:t>
            </w:r>
          </w:p>
        </w:tc>
      </w:tr>
      <w:tr w14:paraId="000BCD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11CEECFD">
            <w:pPr>
              <w:spacing w:line="320" w:lineRule="exact"/>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3</w:t>
            </w:r>
          </w:p>
        </w:tc>
        <w:tc>
          <w:tcPr>
            <w:tcW w:w="7387" w:type="dxa"/>
            <w:tcBorders>
              <w:bottom w:val="single" w:color="auto" w:sz="4" w:space="0"/>
            </w:tcBorders>
            <w:noWrap w:val="0"/>
            <w:vAlign w:val="center"/>
          </w:tcPr>
          <w:p w14:paraId="076F2139">
            <w:pPr>
              <w:spacing w:line="320" w:lineRule="exact"/>
              <w:rPr>
                <w:rFonts w:ascii="宋体" w:hAnsi="宋体" w:cs="Arial"/>
                <w:szCs w:val="21"/>
                <w:highlight w:val="none"/>
              </w:rPr>
            </w:pPr>
            <w:r>
              <w:rPr>
                <w:rFonts w:ascii="宋体" w:hAnsi="宋体" w:cs="Arial"/>
                <w:szCs w:val="21"/>
                <w:highlight w:val="none"/>
              </w:rPr>
              <w:t>是否允许提供备选方案：否</w:t>
            </w:r>
          </w:p>
        </w:tc>
      </w:tr>
      <w:tr w14:paraId="76BC1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6333AFCC">
            <w:pPr>
              <w:spacing w:line="360" w:lineRule="auto"/>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4</w:t>
            </w:r>
          </w:p>
        </w:tc>
        <w:tc>
          <w:tcPr>
            <w:tcW w:w="7387" w:type="dxa"/>
            <w:tcBorders>
              <w:bottom w:val="single" w:color="auto" w:sz="4" w:space="0"/>
            </w:tcBorders>
            <w:noWrap w:val="0"/>
            <w:vAlign w:val="center"/>
          </w:tcPr>
          <w:p w14:paraId="2FDB41A3">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的资格声明：是</w:t>
            </w:r>
          </w:p>
          <w:p w14:paraId="6B205EDD">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的授权书：提供</w:t>
            </w:r>
            <w:r>
              <w:rPr>
                <w:rFonts w:hint="eastAsia" w:ascii="宋体" w:hAnsi="宋体" w:cs="Arial"/>
                <w:szCs w:val="21"/>
                <w:highlight w:val="none"/>
              </w:rPr>
              <w:t>有效期内</w:t>
            </w:r>
            <w:r>
              <w:rPr>
                <w:rFonts w:ascii="宋体" w:hAnsi="宋体" w:cs="Arial"/>
                <w:szCs w:val="21"/>
                <w:highlight w:val="none"/>
              </w:rPr>
              <w:t>生产厂商关于本项目授权（函）</w:t>
            </w:r>
            <w:r>
              <w:rPr>
                <w:rFonts w:hint="eastAsia" w:ascii="宋体" w:hAnsi="宋体" w:cs="Arial"/>
                <w:szCs w:val="21"/>
                <w:highlight w:val="none"/>
              </w:rPr>
              <w:t>原</w:t>
            </w:r>
            <w:r>
              <w:rPr>
                <w:rFonts w:ascii="宋体" w:hAnsi="宋体" w:cs="Arial"/>
                <w:szCs w:val="21"/>
                <w:highlight w:val="none"/>
              </w:rPr>
              <w:t>件。</w:t>
            </w:r>
          </w:p>
          <w:p w14:paraId="6835291E">
            <w:pPr>
              <w:spacing w:line="360" w:lineRule="auto"/>
              <w:rPr>
                <w:rFonts w:ascii="宋体" w:hAnsi="宋体" w:cs="Arial"/>
                <w:szCs w:val="21"/>
                <w:highlight w:val="none"/>
              </w:rPr>
            </w:pPr>
            <w:r>
              <w:rPr>
                <w:rFonts w:ascii="宋体" w:hAnsi="宋体" w:cs="Arial"/>
                <w:szCs w:val="21"/>
                <w:highlight w:val="none"/>
              </w:rPr>
              <w:t>其他可接受的</w:t>
            </w:r>
            <w:r>
              <w:rPr>
                <w:rFonts w:hint="eastAsia" w:ascii="宋体" w:hAnsi="宋体" w:cs="Arial"/>
                <w:szCs w:val="21"/>
                <w:highlight w:val="none"/>
              </w:rPr>
              <w:t>生产厂商</w:t>
            </w:r>
            <w:r>
              <w:rPr>
                <w:rFonts w:ascii="宋体" w:hAnsi="宋体" w:cs="Arial"/>
                <w:szCs w:val="21"/>
                <w:highlight w:val="none"/>
              </w:rPr>
              <w:t>授权形式</w:t>
            </w:r>
            <w:r>
              <w:rPr>
                <w:rFonts w:hint="eastAsia" w:ascii="宋体" w:hAnsi="宋体" w:cs="Arial"/>
                <w:szCs w:val="21"/>
                <w:highlight w:val="none"/>
              </w:rPr>
              <w:t>：</w:t>
            </w:r>
            <w:r>
              <w:rPr>
                <w:rFonts w:ascii="宋体" w:hAnsi="宋体" w:cs="Arial"/>
                <w:szCs w:val="21"/>
                <w:highlight w:val="none"/>
              </w:rPr>
              <w:t>合法渠道获得的销售证明文件。</w:t>
            </w:r>
          </w:p>
        </w:tc>
      </w:tr>
      <w:tr w14:paraId="73760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3" w:hRule="atLeast"/>
        </w:trPr>
        <w:tc>
          <w:tcPr>
            <w:tcW w:w="1260" w:type="dxa"/>
            <w:noWrap w:val="0"/>
            <w:vAlign w:val="center"/>
          </w:tcPr>
          <w:p w14:paraId="3E297F37">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2C58BB0D">
            <w:pPr>
              <w:spacing w:line="320" w:lineRule="exact"/>
              <w:rPr>
                <w:rFonts w:hint="eastAsia" w:ascii="宋体" w:hAnsi="宋体"/>
                <w:szCs w:val="21"/>
                <w:highlight w:val="none"/>
              </w:rPr>
            </w:pPr>
            <w:r>
              <w:rPr>
                <w:rFonts w:hint="eastAsia" w:ascii="宋体" w:hAnsi="宋体"/>
                <w:b/>
                <w:szCs w:val="21"/>
                <w:highlight w:val="none"/>
              </w:rPr>
              <w:t>投标保证金：</w:t>
            </w:r>
            <w:r>
              <w:rPr>
                <w:rFonts w:hint="eastAsia" w:ascii="宋体" w:hAnsi="宋体"/>
                <w:szCs w:val="21"/>
                <w:highlight w:val="none"/>
              </w:rPr>
              <w:t>无。</w:t>
            </w:r>
          </w:p>
          <w:p w14:paraId="528A0E14">
            <w:pPr>
              <w:spacing w:line="360" w:lineRule="exact"/>
              <w:rPr>
                <w:rFonts w:ascii="宋体" w:hAnsi="宋体"/>
                <w:b/>
                <w:szCs w:val="21"/>
                <w:highlight w:val="none"/>
              </w:rPr>
            </w:pPr>
          </w:p>
        </w:tc>
      </w:tr>
      <w:tr w14:paraId="763E5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54BC9539">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6</w:t>
            </w:r>
          </w:p>
        </w:tc>
        <w:tc>
          <w:tcPr>
            <w:tcW w:w="7387" w:type="dxa"/>
            <w:noWrap w:val="0"/>
            <w:vAlign w:val="center"/>
          </w:tcPr>
          <w:p w14:paraId="265F2D1C">
            <w:pPr>
              <w:spacing w:line="320" w:lineRule="exact"/>
              <w:ind w:left="1592"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5C768C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032079FF">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7</w:t>
            </w:r>
          </w:p>
        </w:tc>
        <w:tc>
          <w:tcPr>
            <w:tcW w:w="7387" w:type="dxa"/>
            <w:noWrap w:val="0"/>
            <w:vAlign w:val="center"/>
          </w:tcPr>
          <w:p w14:paraId="0F730356">
            <w:pPr>
              <w:spacing w:line="320" w:lineRule="exact"/>
              <w:rPr>
                <w:highlight w:val="none"/>
              </w:rPr>
            </w:pPr>
            <w:r>
              <w:rPr>
                <w:rFonts w:hint="eastAsia"/>
                <w:highlight w:val="none"/>
              </w:rPr>
              <w:t>投标文件：正本：1份，副本：2份，可编辑的电子文档（U盘）：1份</w:t>
            </w:r>
            <w:r>
              <w:rPr>
                <w:highlight w:val="none"/>
              </w:rPr>
              <w:t>（电子文件与纸质文件内容不符时，以纸质文件的正本为准）</w:t>
            </w:r>
            <w:r>
              <w:rPr>
                <w:rFonts w:hint="eastAsia"/>
                <w:highlight w:val="none"/>
              </w:rPr>
              <w:t>，未按要求提供的，将导致废标。</w:t>
            </w:r>
          </w:p>
        </w:tc>
      </w:tr>
      <w:tr w14:paraId="2422D1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0CD28E50">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8</w:t>
            </w:r>
          </w:p>
        </w:tc>
        <w:tc>
          <w:tcPr>
            <w:tcW w:w="7387" w:type="dxa"/>
            <w:noWrap w:val="0"/>
            <w:vAlign w:val="center"/>
          </w:tcPr>
          <w:p w14:paraId="643D896A">
            <w:pPr>
              <w:spacing w:line="320" w:lineRule="exact"/>
              <w:rPr>
                <w:rFonts w:hint="eastAsia" w:ascii="宋体" w:hAnsi="宋体"/>
                <w:b/>
                <w:bCs/>
                <w:szCs w:val="21"/>
                <w:highlight w:val="yellow"/>
                <w:u w:val="single"/>
              </w:rPr>
            </w:pPr>
            <w:r>
              <w:rPr>
                <w:rFonts w:hint="eastAsia" w:ascii="宋体" w:hAnsi="宋体"/>
                <w:szCs w:val="21"/>
                <w:highlight w:val="none"/>
              </w:rPr>
              <w:t>投标截止期：</w:t>
            </w:r>
            <w:r>
              <w:rPr>
                <w:rFonts w:hint="eastAsia" w:ascii="宋体" w:hAnsi="宋体"/>
                <w:b/>
                <w:bCs/>
                <w:szCs w:val="21"/>
                <w:highlight w:val="yellow"/>
                <w:u w:val="single"/>
              </w:rPr>
              <w:t>以</w:t>
            </w:r>
            <w:r>
              <w:rPr>
                <w:rFonts w:hint="eastAsia" w:ascii="宋体" w:hAnsi="宋体"/>
                <w:b/>
                <w:bCs/>
                <w:szCs w:val="21"/>
                <w:highlight w:val="yellow"/>
                <w:u w:val="single"/>
                <w:lang w:eastAsia="zh-CN"/>
              </w:rPr>
              <w:t>采购公告</w:t>
            </w:r>
            <w:r>
              <w:rPr>
                <w:rFonts w:hint="eastAsia" w:ascii="宋体" w:hAnsi="宋体"/>
                <w:b/>
                <w:bCs/>
                <w:szCs w:val="21"/>
                <w:highlight w:val="yellow"/>
                <w:u w:val="single"/>
              </w:rPr>
              <w:t>时间为准（（北京时间）</w:t>
            </w:r>
          </w:p>
          <w:p w14:paraId="1E9F588A">
            <w:pPr>
              <w:spacing w:line="320" w:lineRule="exact"/>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6C376564">
            <w:pPr>
              <w:spacing w:line="320" w:lineRule="exact"/>
              <w:rPr>
                <w:rFonts w:ascii="宋体" w:hAnsi="宋体"/>
                <w:szCs w:val="21"/>
                <w:highlight w:val="none"/>
              </w:rPr>
            </w:pPr>
            <w:r>
              <w:rPr>
                <w:rFonts w:hint="eastAsia" w:ascii="宋体" w:hAnsi="宋体"/>
                <w:szCs w:val="21"/>
                <w:highlight w:val="none"/>
              </w:rPr>
              <w:t>(</w:t>
            </w:r>
            <w:r>
              <w:rPr>
                <w:rFonts w:ascii="宋体" w:hAnsi="宋体"/>
                <w:szCs w:val="21"/>
                <w:highlight w:val="none"/>
              </w:rPr>
              <w:t>若未按上述要求按时递交，则其投标文件</w:t>
            </w:r>
            <w:r>
              <w:rPr>
                <w:rFonts w:hint="eastAsia" w:ascii="宋体" w:hAnsi="宋体"/>
                <w:szCs w:val="21"/>
                <w:highlight w:val="none"/>
              </w:rPr>
              <w:t>将被拒绝</w:t>
            </w:r>
            <w:r>
              <w:rPr>
                <w:rFonts w:ascii="宋体" w:hAnsi="宋体"/>
                <w:szCs w:val="21"/>
                <w:highlight w:val="none"/>
              </w:rPr>
              <w:t>）</w:t>
            </w:r>
          </w:p>
        </w:tc>
      </w:tr>
      <w:tr w14:paraId="0B33EC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775BD9E2">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9</w:t>
            </w:r>
          </w:p>
        </w:tc>
        <w:tc>
          <w:tcPr>
            <w:tcW w:w="7387" w:type="dxa"/>
            <w:noWrap w:val="0"/>
            <w:vAlign w:val="center"/>
          </w:tcPr>
          <w:p w14:paraId="65899354">
            <w:pPr>
              <w:spacing w:line="320" w:lineRule="exact"/>
              <w:rPr>
                <w:rFonts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5D4C4F0F">
            <w:pPr>
              <w:spacing w:line="320" w:lineRule="exact"/>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66037C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0DBFF4D9">
            <w:pPr>
              <w:spacing w:line="320" w:lineRule="exact"/>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10</w:t>
            </w:r>
          </w:p>
        </w:tc>
        <w:tc>
          <w:tcPr>
            <w:tcW w:w="7387" w:type="dxa"/>
            <w:tcBorders>
              <w:bottom w:val="single" w:color="auto" w:sz="4" w:space="0"/>
            </w:tcBorders>
            <w:noWrap w:val="0"/>
            <w:vAlign w:val="center"/>
          </w:tcPr>
          <w:p w14:paraId="3C95A5C4">
            <w:pPr>
              <w:spacing w:line="320" w:lineRule="exact"/>
              <w:rPr>
                <w:rFonts w:hint="eastAsia" w:ascii="宋体" w:hAnsi="宋体"/>
                <w:szCs w:val="21"/>
                <w:highlight w:val="none"/>
              </w:rPr>
            </w:pPr>
            <w:r>
              <w:rPr>
                <w:rFonts w:hint="eastAsia" w:ascii="宋体" w:hAnsi="宋体"/>
                <w:szCs w:val="21"/>
                <w:highlight w:val="none"/>
              </w:rPr>
              <w:t>评标方法：22.2（2）综合评分法  （适用）</w:t>
            </w:r>
          </w:p>
          <w:p w14:paraId="153C7947">
            <w:pPr>
              <w:spacing w:line="320" w:lineRule="exact"/>
              <w:ind w:firstLine="1050" w:firstLineChars="500"/>
              <w:rPr>
                <w:rFonts w:ascii="宋体" w:hAnsi="宋体"/>
                <w:szCs w:val="21"/>
                <w:highlight w:val="none"/>
              </w:rPr>
            </w:pPr>
            <w:r>
              <w:rPr>
                <w:rFonts w:hint="eastAsia" w:ascii="宋体" w:hAnsi="宋体"/>
                <w:szCs w:val="21"/>
                <w:highlight w:val="none"/>
              </w:rPr>
              <w:t>22.2（1）最低评标价法（不适用）</w:t>
            </w:r>
          </w:p>
        </w:tc>
      </w:tr>
      <w:tr w14:paraId="1FED1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atLeast"/>
        </w:trPr>
        <w:tc>
          <w:tcPr>
            <w:tcW w:w="1260" w:type="dxa"/>
            <w:tcBorders>
              <w:top w:val="single" w:color="auto" w:sz="4" w:space="0"/>
            </w:tcBorders>
            <w:noWrap w:val="0"/>
            <w:vAlign w:val="center"/>
          </w:tcPr>
          <w:p w14:paraId="7E607E74">
            <w:pPr>
              <w:spacing w:line="320" w:lineRule="exact"/>
              <w:jc w:val="center"/>
              <w:rPr>
                <w:rFonts w:ascii="宋体" w:hAnsi="宋体"/>
                <w:b/>
                <w:szCs w:val="21"/>
                <w:highlight w:val="none"/>
              </w:rPr>
            </w:pPr>
            <w:r>
              <w:rPr>
                <w:rFonts w:hint="eastAsia" w:ascii="宋体" w:hAnsi="宋体"/>
                <w:b/>
                <w:szCs w:val="21"/>
                <w:highlight w:val="none"/>
              </w:rPr>
              <w:t>30.1</w:t>
            </w:r>
          </w:p>
        </w:tc>
        <w:tc>
          <w:tcPr>
            <w:tcW w:w="7387" w:type="dxa"/>
            <w:tcBorders>
              <w:top w:val="single" w:color="auto" w:sz="4" w:space="0"/>
              <w:bottom w:val="single" w:color="auto" w:sz="4" w:space="0"/>
            </w:tcBorders>
            <w:noWrap w:val="0"/>
            <w:vAlign w:val="center"/>
          </w:tcPr>
          <w:p w14:paraId="791DD19B">
            <w:pPr>
              <w:spacing w:line="360" w:lineRule="auto"/>
              <w:rPr>
                <w:rFonts w:ascii="宋体" w:hAnsi="宋体" w:cs="Arial"/>
                <w:szCs w:val="21"/>
                <w:highlight w:val="none"/>
              </w:rPr>
            </w:pPr>
            <w:r>
              <w:rPr>
                <w:rFonts w:hint="eastAsia" w:ascii="宋体" w:hAnsi="宋体"/>
                <w:szCs w:val="21"/>
                <w:highlight w:val="none"/>
              </w:rPr>
              <w:t>履约保证金：</w:t>
            </w:r>
            <w:r>
              <w:rPr>
                <w:rFonts w:hint="eastAsia" w:ascii="宋体" w:hAnsi="宋体" w:cs="Arial"/>
                <w:szCs w:val="21"/>
                <w:highlight w:val="none"/>
              </w:rPr>
              <w:t>参照合同</w:t>
            </w:r>
          </w:p>
          <w:p w14:paraId="52AEA11E">
            <w:pPr>
              <w:spacing w:line="320" w:lineRule="exact"/>
              <w:rPr>
                <w:rFonts w:ascii="宋体" w:hAnsi="宋体" w:cs="Arial"/>
                <w:szCs w:val="21"/>
                <w:highlight w:val="none"/>
              </w:rPr>
            </w:pPr>
            <w:r>
              <w:rPr>
                <w:rFonts w:hint="eastAsia" w:ascii="宋体" w:hAnsi="宋体" w:cs="Arial"/>
                <w:szCs w:val="21"/>
                <w:highlight w:val="none"/>
              </w:rPr>
              <w:t>履约保证金形式：</w:t>
            </w:r>
            <w:r>
              <w:rPr>
                <w:rFonts w:hint="eastAsia" w:ascii="宋体" w:hAnsi="宋体" w:cs="Arial"/>
                <w:szCs w:val="21"/>
                <w:highlight w:val="none"/>
                <w:u w:val="single"/>
              </w:rPr>
              <w:t>支票或者电汇</w:t>
            </w:r>
          </w:p>
        </w:tc>
      </w:tr>
      <w:tr w14:paraId="1E218C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6215CDBA">
            <w:pPr>
              <w:spacing w:line="320" w:lineRule="exact"/>
              <w:jc w:val="center"/>
              <w:rPr>
                <w:rFonts w:hint="eastAsia" w:ascii="宋体" w:hAnsi="宋体"/>
                <w:b/>
                <w:szCs w:val="21"/>
                <w:highlight w:val="none"/>
              </w:rPr>
            </w:pPr>
            <w:r>
              <w:rPr>
                <w:rFonts w:ascii="宋体" w:hAnsi="宋体" w:cs="Arial"/>
                <w:b/>
                <w:szCs w:val="21"/>
                <w:highlight w:val="none"/>
              </w:rPr>
              <w:t>适用于本投标人须知的额外增加的变动</w:t>
            </w:r>
          </w:p>
        </w:tc>
      </w:tr>
      <w:tr w14:paraId="1E959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7DF57E89">
            <w:pPr>
              <w:spacing w:line="360" w:lineRule="auto"/>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六</w:t>
            </w:r>
            <w:r>
              <w:rPr>
                <w:rFonts w:hint="eastAsia"/>
                <w:highlight w:val="none"/>
              </w:rPr>
              <w:t>章 货物需求一览表及技术要求”中“必需”的条款为关键技术于参数要求，如不满足，其投标将被否决。</w:t>
            </w:r>
          </w:p>
          <w:p w14:paraId="4ABEDC96">
            <w:pPr>
              <w:spacing w:line="360" w:lineRule="auto"/>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4FF68A4B">
            <w:pPr>
              <w:spacing w:line="320" w:lineRule="exact"/>
              <w:jc w:val="both"/>
              <w:rPr>
                <w:rFonts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3786D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5C090DF3">
            <w:pPr>
              <w:spacing w:line="360" w:lineRule="auto"/>
              <w:rPr>
                <w:rFonts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408B9BE5">
            <w:pPr>
              <w:adjustRightInd w:val="0"/>
              <w:snapToGrid w:val="0"/>
              <w:spacing w:line="360" w:lineRule="auto"/>
              <w:rPr>
                <w:rFonts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2D3F5B17">
            <w:pPr>
              <w:adjustRightInd w:val="0"/>
              <w:snapToGrid w:val="0"/>
              <w:spacing w:line="360" w:lineRule="auto"/>
              <w:rPr>
                <w:rFonts w:ascii="宋体" w:hAnsi="宋体"/>
                <w:b/>
                <w:szCs w:val="21"/>
                <w:highlight w:val="none"/>
              </w:rPr>
            </w:pPr>
            <w:r>
              <w:rPr>
                <w:rFonts w:hint="eastAsia" w:ascii="宋体" w:hAnsi="宋体"/>
                <w:b/>
                <w:szCs w:val="21"/>
                <w:highlight w:val="none"/>
              </w:rPr>
              <w:t>有下列情形之一的，视为供应商相互串通投标：</w:t>
            </w:r>
          </w:p>
          <w:p w14:paraId="72BB82B2">
            <w:pPr>
              <w:adjustRightInd w:val="0"/>
              <w:snapToGrid w:val="0"/>
              <w:spacing w:line="360" w:lineRule="auto"/>
              <w:rPr>
                <w:rFonts w:ascii="宋体" w:hAnsi="宋体"/>
                <w:bCs/>
                <w:szCs w:val="21"/>
                <w:highlight w:val="none"/>
              </w:rPr>
            </w:pPr>
            <w:r>
              <w:rPr>
                <w:rFonts w:hint="eastAsia" w:ascii="宋体" w:hAnsi="宋体"/>
                <w:bCs/>
                <w:szCs w:val="21"/>
                <w:highlight w:val="none"/>
              </w:rPr>
              <w:t>（一）不同供应商的响应文件由同一单位或者个人编制；</w:t>
            </w:r>
          </w:p>
          <w:p w14:paraId="4D1DEF55">
            <w:pPr>
              <w:adjustRightInd w:val="0"/>
              <w:snapToGrid w:val="0"/>
              <w:spacing w:line="360" w:lineRule="auto"/>
              <w:rPr>
                <w:rFonts w:ascii="宋体" w:hAnsi="宋体"/>
                <w:bCs/>
                <w:szCs w:val="21"/>
                <w:highlight w:val="none"/>
              </w:rPr>
            </w:pPr>
            <w:r>
              <w:rPr>
                <w:rFonts w:hint="eastAsia" w:ascii="宋体" w:hAnsi="宋体"/>
                <w:bCs/>
                <w:szCs w:val="21"/>
                <w:highlight w:val="none"/>
              </w:rPr>
              <w:t>（二）不同供应商的响应文件载明的项目管理成员为同一人；</w:t>
            </w:r>
          </w:p>
          <w:p w14:paraId="669C3F5C">
            <w:pPr>
              <w:adjustRightInd w:val="0"/>
              <w:snapToGrid w:val="0"/>
              <w:spacing w:line="360" w:lineRule="auto"/>
              <w:rPr>
                <w:rFonts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17730A21">
            <w:pPr>
              <w:adjustRightInd w:val="0"/>
              <w:snapToGrid w:val="0"/>
              <w:spacing w:line="360" w:lineRule="auto"/>
              <w:rPr>
                <w:rFonts w:ascii="宋体" w:hAnsi="宋体"/>
                <w:bCs/>
                <w:szCs w:val="21"/>
                <w:highlight w:val="none"/>
              </w:rPr>
            </w:pPr>
            <w:r>
              <w:rPr>
                <w:rFonts w:hint="eastAsia" w:ascii="宋体" w:hAnsi="宋体"/>
                <w:bCs/>
                <w:szCs w:val="21"/>
                <w:highlight w:val="none"/>
              </w:rPr>
              <w:t>（四）不同供应商的响应文件相互混装；</w:t>
            </w:r>
          </w:p>
          <w:p w14:paraId="02196229">
            <w:pPr>
              <w:spacing w:line="320" w:lineRule="exact"/>
              <w:ind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69D51E81">
      <w:pPr>
        <w:pStyle w:val="4"/>
        <w:spacing w:before="0" w:line="360" w:lineRule="auto"/>
        <w:ind w:left="0" w:leftChars="0" w:firstLine="0" w:firstLineChars="0"/>
        <w:jc w:val="both"/>
        <w:outlineLvl w:val="9"/>
        <w:rPr>
          <w:rFonts w:hint="eastAsia" w:ascii="宋体" w:hAnsi="宋体" w:eastAsia="宋体"/>
          <w:sz w:val="24"/>
          <w:szCs w:val="24"/>
          <w:highlight w:val="none"/>
        </w:rPr>
      </w:pPr>
      <w:bookmarkStart w:id="52" w:name="_Toc109736028"/>
      <w:bookmarkStart w:id="53" w:name="_Toc520356143"/>
      <w:bookmarkStart w:id="54" w:name="_Toc216582805"/>
      <w:bookmarkStart w:id="55" w:name="_Toc144974497"/>
      <w:bookmarkStart w:id="56" w:name="_Toc233102492"/>
      <w:bookmarkStart w:id="57" w:name="_Toc152042305"/>
      <w:bookmarkStart w:id="58" w:name="_Toc179632546"/>
      <w:bookmarkStart w:id="59" w:name="_Toc152045529"/>
    </w:p>
    <w:p w14:paraId="4D630FB1">
      <w:pPr>
        <w:pStyle w:val="4"/>
        <w:keepNext/>
        <w:keepLines/>
        <w:pageBreakBefore w:val="0"/>
        <w:widowControl w:val="0"/>
        <w:kinsoku/>
        <w:wordWrap/>
        <w:overflowPunct/>
        <w:topLinePunct w:val="0"/>
        <w:autoSpaceDE/>
        <w:autoSpaceDN/>
        <w:bidi w:val="0"/>
        <w:adjustRightInd/>
        <w:snapToGrid/>
        <w:spacing w:before="0" w:line="360" w:lineRule="auto"/>
        <w:ind w:left="0" w:leftChars="0" w:firstLine="0" w:firstLineChars="0"/>
        <w:jc w:val="center"/>
        <w:textAlignment w:val="auto"/>
        <w:rPr>
          <w:rFonts w:hint="eastAsia" w:ascii="宋体" w:hAnsi="宋体" w:eastAsia="宋体"/>
          <w:sz w:val="24"/>
          <w:szCs w:val="24"/>
          <w:highlight w:val="none"/>
        </w:rPr>
      </w:pPr>
      <w:bookmarkStart w:id="60" w:name="_Toc2259"/>
      <w:r>
        <w:rPr>
          <w:rFonts w:hint="eastAsia" w:ascii="宋体" w:hAnsi="宋体" w:eastAsia="宋体"/>
          <w:sz w:val="24"/>
          <w:szCs w:val="24"/>
          <w:highlight w:val="none"/>
        </w:rPr>
        <w:t>一  说  明</w:t>
      </w:r>
      <w:bookmarkEnd w:id="52"/>
      <w:bookmarkEnd w:id="53"/>
      <w:bookmarkEnd w:id="54"/>
      <w:bookmarkEnd w:id="60"/>
    </w:p>
    <w:p w14:paraId="76D98306">
      <w:pPr>
        <w:keepNext/>
        <w:keepLines/>
        <w:pageBreakBefore w:val="0"/>
        <w:widowControl/>
        <w:kinsoku/>
        <w:wordWrap/>
        <w:overflowPunct/>
        <w:topLinePunct w:val="0"/>
        <w:autoSpaceDE/>
        <w:autoSpaceDN/>
        <w:bidi w:val="0"/>
        <w:adjustRightInd/>
        <w:snapToGrid/>
        <w:spacing w:before="0" w:after="0" w:line="360" w:lineRule="auto"/>
        <w:jc w:val="both"/>
        <w:textAlignment w:val="auto"/>
        <w:outlineLvl w:val="2"/>
        <w:rPr>
          <w:rFonts w:ascii="宋体" w:hAnsi="宋体"/>
          <w:b/>
          <w:bCs/>
          <w:sz w:val="21"/>
          <w:szCs w:val="21"/>
          <w:highlight w:val="none"/>
        </w:rPr>
      </w:pPr>
      <w:bookmarkStart w:id="61" w:name="_Toc520356144"/>
      <w:bookmarkStart w:id="62" w:name="_Toc27571"/>
      <w:bookmarkStart w:id="63" w:name="_Toc17941"/>
      <w:bookmarkStart w:id="64" w:name="_Toc109736029"/>
      <w:r>
        <w:rPr>
          <w:rFonts w:hint="eastAsia" w:ascii="宋体" w:hAnsi="宋体"/>
          <w:b/>
          <w:bCs/>
          <w:sz w:val="21"/>
          <w:szCs w:val="21"/>
          <w:highlight w:val="none"/>
        </w:rPr>
        <w:t>1.</w:t>
      </w:r>
      <w:r>
        <w:rPr>
          <w:rFonts w:hint="eastAsia" w:ascii="宋体" w:hAnsi="宋体"/>
          <w:b/>
          <w:bCs/>
          <w:sz w:val="21"/>
          <w:szCs w:val="21"/>
          <w:highlight w:val="none"/>
        </w:rPr>
        <w:tab/>
      </w:r>
      <w:r>
        <w:rPr>
          <w:rFonts w:hint="eastAsia" w:ascii="宋体" w:hAnsi="宋体"/>
          <w:b/>
          <w:bCs/>
          <w:sz w:val="21"/>
          <w:szCs w:val="21"/>
          <w:highlight w:val="none"/>
        </w:rPr>
        <w:t xml:space="preserve">    招标采购单位及合格的投标人</w:t>
      </w:r>
      <w:bookmarkEnd w:id="61"/>
      <w:bookmarkEnd w:id="62"/>
      <w:bookmarkEnd w:id="63"/>
      <w:bookmarkEnd w:id="64"/>
    </w:p>
    <w:p w14:paraId="30BBD72E">
      <w:pPr>
        <w:numPr>
          <w:ilvl w:val="1"/>
          <w:numId w:val="11"/>
        </w:numPr>
        <w:tabs>
          <w:tab w:val="left" w:pos="0"/>
          <w:tab w:val="clear" w:pos="900"/>
        </w:tabs>
        <w:spacing w:line="360" w:lineRule="auto"/>
        <w:ind w:hanging="898"/>
        <w:rPr>
          <w:rFonts w:ascii="宋体" w:hAnsi="宋体"/>
          <w:szCs w:val="21"/>
          <w:highlight w:val="none"/>
        </w:rPr>
      </w:pPr>
      <w:r>
        <w:rPr>
          <w:rFonts w:hint="eastAsia" w:ascii="宋体" w:hAnsi="宋体"/>
          <w:szCs w:val="21"/>
          <w:highlight w:val="none"/>
        </w:rPr>
        <w:t>招标采购单位：系指招标人。</w:t>
      </w:r>
    </w:p>
    <w:p w14:paraId="35A0E239">
      <w:pPr>
        <w:spacing w:line="360" w:lineRule="auto"/>
        <w:rPr>
          <w:rFonts w:hint="eastAsia" w:ascii="宋体" w:hAnsi="宋体"/>
          <w:szCs w:val="21"/>
          <w:highlight w:val="none"/>
        </w:rPr>
      </w:pPr>
      <w:r>
        <w:rPr>
          <w:rFonts w:hint="eastAsia" w:ascii="宋体" w:hAnsi="宋体"/>
          <w:szCs w:val="21"/>
          <w:highlight w:val="none"/>
        </w:rPr>
        <w:t>1.2</w:t>
      </w:r>
      <w:r>
        <w:rPr>
          <w:rFonts w:ascii="宋体" w:hAnsi="宋体"/>
          <w:szCs w:val="21"/>
          <w:highlight w:val="none"/>
        </w:rPr>
        <w:tab/>
      </w:r>
      <w:r>
        <w:rPr>
          <w:rFonts w:hint="eastAsia" w:ascii="宋体" w:hAnsi="宋体"/>
          <w:szCs w:val="21"/>
          <w:highlight w:val="none"/>
        </w:rPr>
        <w:t xml:space="preserve">    满足以下条件的投标人是合格的投标人，可以参加本次投标：</w:t>
      </w:r>
    </w:p>
    <w:p w14:paraId="78FD0917">
      <w:pPr>
        <w:spacing w:line="360" w:lineRule="auto"/>
        <w:ind w:left="788" w:hanging="787" w:hangingChars="375"/>
        <w:rPr>
          <w:rFonts w:hint="eastAsia" w:ascii="宋体" w:hAnsi="宋体"/>
          <w:szCs w:val="21"/>
          <w:highlight w:val="none"/>
        </w:rPr>
      </w:pPr>
      <w:r>
        <w:rPr>
          <w:rFonts w:hint="eastAsia" w:ascii="宋体" w:hAnsi="宋体"/>
          <w:szCs w:val="21"/>
          <w:highlight w:val="none"/>
        </w:rPr>
        <w:t>1.2.1</w:t>
      </w:r>
      <w:r>
        <w:rPr>
          <w:rFonts w:hint="eastAsia" w:ascii="宋体" w:hAnsi="宋体"/>
          <w:szCs w:val="21"/>
          <w:highlight w:val="none"/>
        </w:rPr>
        <w:tab/>
      </w:r>
      <w:r>
        <w:rPr>
          <w:rFonts w:hint="eastAsia" w:ascii="宋体" w:hAnsi="宋体"/>
          <w:szCs w:val="21"/>
          <w:highlight w:val="none"/>
        </w:rPr>
        <w:t>在中华人民共和国境内注册，能够独立承担民事责任，有生产或供应能力的本国供应商，包括法人、其他组织、自然人及其联合体。</w:t>
      </w:r>
    </w:p>
    <w:p w14:paraId="6CC060EC">
      <w:pPr>
        <w:spacing w:line="360" w:lineRule="auto"/>
        <w:ind w:left="788" w:hanging="787" w:hangingChars="375"/>
        <w:rPr>
          <w:rFonts w:hint="eastAsia" w:ascii="宋体" w:hAnsi="宋体"/>
          <w:szCs w:val="21"/>
          <w:highlight w:val="none"/>
        </w:rPr>
      </w:pPr>
      <w:r>
        <w:rPr>
          <w:rFonts w:hint="eastAsia" w:ascii="宋体" w:hAnsi="宋体"/>
          <w:szCs w:val="21"/>
          <w:highlight w:val="none"/>
        </w:rPr>
        <w:t>1.2.2</w:t>
      </w:r>
      <w:r>
        <w:rPr>
          <w:rFonts w:hint="eastAsia" w:ascii="宋体" w:hAnsi="宋体"/>
          <w:szCs w:val="21"/>
          <w:highlight w:val="none"/>
        </w:rPr>
        <w:tab/>
      </w:r>
      <w:r>
        <w:rPr>
          <w:rFonts w:hint="eastAsia" w:ascii="宋体" w:hAnsi="宋体"/>
          <w:szCs w:val="21"/>
          <w:highlight w:val="none"/>
        </w:rPr>
        <w:t>遵守国家有关法律、法规、规章和扬州市有关的规章，具有良好的商业信誉和健全的财务会计制度。</w:t>
      </w:r>
    </w:p>
    <w:p w14:paraId="59089389">
      <w:pPr>
        <w:spacing w:line="360" w:lineRule="auto"/>
        <w:ind w:left="788" w:hanging="787" w:hangingChars="375"/>
        <w:rPr>
          <w:rFonts w:hint="eastAsia" w:ascii="宋体" w:hAnsi="宋体"/>
          <w:szCs w:val="21"/>
          <w:highlight w:val="none"/>
        </w:rPr>
      </w:pPr>
      <w:r>
        <w:rPr>
          <w:rFonts w:hint="eastAsia" w:ascii="宋体" w:hAnsi="宋体"/>
          <w:szCs w:val="21"/>
          <w:highlight w:val="none"/>
        </w:rPr>
        <w:t>1.3     如</w:t>
      </w:r>
      <w:r>
        <w:rPr>
          <w:rFonts w:hint="eastAsia" w:ascii="宋体" w:hAnsi="宋体"/>
          <w:szCs w:val="21"/>
          <w:highlight w:val="none"/>
          <w:u w:val="single"/>
        </w:rPr>
        <w:t>投标人须知资料表</w:t>
      </w:r>
      <w:r>
        <w:rPr>
          <w:rFonts w:hint="eastAsia" w:ascii="宋体" w:hAnsi="宋体"/>
          <w:szCs w:val="21"/>
          <w:highlight w:val="none"/>
        </w:rPr>
        <w:t>中允许联合体投标，对联合体规定如下：</w:t>
      </w:r>
    </w:p>
    <w:p w14:paraId="71A7640A">
      <w:pPr>
        <w:spacing w:line="360" w:lineRule="auto"/>
        <w:ind w:left="788" w:hanging="787" w:hangingChars="375"/>
        <w:rPr>
          <w:rFonts w:hint="eastAsia" w:ascii="宋体" w:hAnsi="宋体"/>
          <w:szCs w:val="21"/>
          <w:highlight w:val="none"/>
        </w:rPr>
      </w:pPr>
      <w:r>
        <w:rPr>
          <w:rFonts w:hint="eastAsia" w:ascii="宋体" w:hAnsi="宋体"/>
          <w:szCs w:val="21"/>
          <w:highlight w:val="none"/>
        </w:rPr>
        <w:t>1.3.1   两个以上投标人可以组成一个投标联合体，以一个投标人的身份投标。</w:t>
      </w:r>
    </w:p>
    <w:p w14:paraId="3336749C">
      <w:pPr>
        <w:spacing w:line="360" w:lineRule="auto"/>
        <w:ind w:left="788" w:hanging="787" w:hangingChars="375"/>
        <w:rPr>
          <w:rFonts w:hint="eastAsia" w:ascii="宋体" w:hAnsi="宋体"/>
          <w:szCs w:val="21"/>
          <w:highlight w:val="none"/>
        </w:rPr>
      </w:pPr>
      <w:r>
        <w:rPr>
          <w:rFonts w:hint="eastAsia" w:ascii="宋体" w:hAnsi="宋体"/>
          <w:szCs w:val="21"/>
          <w:highlight w:val="none"/>
        </w:rPr>
        <w:t>1.3.2   招标人根据采购项目对投标人的特殊要求，联合体中至少应当有一方符合其规定。</w:t>
      </w:r>
    </w:p>
    <w:p w14:paraId="438568C2">
      <w:pPr>
        <w:spacing w:line="360" w:lineRule="auto"/>
        <w:ind w:left="788" w:hanging="787" w:hangingChars="375"/>
        <w:rPr>
          <w:rFonts w:hint="eastAsia" w:ascii="宋体" w:hAnsi="宋体"/>
          <w:szCs w:val="21"/>
          <w:highlight w:val="none"/>
        </w:rPr>
      </w:pPr>
      <w:r>
        <w:rPr>
          <w:rFonts w:hint="eastAsia" w:ascii="宋体" w:hAnsi="宋体"/>
          <w:szCs w:val="21"/>
          <w:highlight w:val="none"/>
        </w:rPr>
        <w:t>1.3.3   联合体各方应签订共同投标协议，明确约定联合体各方承担的工作和相应的责任，并将共同投标协议连同投标文件一并提交招标采购单位。</w:t>
      </w:r>
    </w:p>
    <w:p w14:paraId="7698173E">
      <w:pPr>
        <w:spacing w:line="360" w:lineRule="auto"/>
        <w:ind w:left="788" w:hanging="787" w:hangingChars="375"/>
        <w:rPr>
          <w:rFonts w:ascii="宋体" w:hAnsi="宋体"/>
          <w:szCs w:val="21"/>
          <w:highlight w:val="none"/>
        </w:rPr>
      </w:pPr>
      <w:r>
        <w:rPr>
          <w:rFonts w:hint="eastAsia" w:ascii="宋体" w:hAnsi="宋体"/>
          <w:szCs w:val="21"/>
          <w:highlight w:val="none"/>
        </w:rPr>
        <w:t>1.3.4   联合</w:t>
      </w:r>
      <w:r>
        <w:rPr>
          <w:rFonts w:ascii="宋体" w:hAnsi="宋体"/>
          <w:szCs w:val="21"/>
          <w:highlight w:val="none"/>
        </w:rPr>
        <w:t>体中有</w:t>
      </w:r>
      <w:r>
        <w:rPr>
          <w:rFonts w:hint="eastAsia" w:ascii="宋体" w:hAnsi="宋体"/>
          <w:szCs w:val="21"/>
          <w:highlight w:val="none"/>
        </w:rPr>
        <w:t>同</w:t>
      </w:r>
      <w:r>
        <w:rPr>
          <w:rFonts w:ascii="宋体" w:hAnsi="宋体"/>
          <w:szCs w:val="21"/>
          <w:highlight w:val="none"/>
        </w:rPr>
        <w:t>类资质的投标人按照联合体分</w:t>
      </w:r>
      <w:r>
        <w:rPr>
          <w:rFonts w:hint="eastAsia" w:ascii="宋体" w:hAnsi="宋体"/>
          <w:szCs w:val="21"/>
          <w:highlight w:val="none"/>
        </w:rPr>
        <w:t>工</w:t>
      </w:r>
      <w:r>
        <w:rPr>
          <w:rFonts w:ascii="宋体" w:hAnsi="宋体"/>
          <w:szCs w:val="21"/>
          <w:highlight w:val="none"/>
        </w:rPr>
        <w:t>承担</w:t>
      </w:r>
      <w:r>
        <w:rPr>
          <w:rFonts w:hint="eastAsia" w:ascii="宋体" w:hAnsi="宋体"/>
          <w:szCs w:val="21"/>
          <w:highlight w:val="none"/>
        </w:rPr>
        <w:t>相</w:t>
      </w:r>
      <w:r>
        <w:rPr>
          <w:rFonts w:ascii="宋体" w:hAnsi="宋体"/>
          <w:szCs w:val="21"/>
          <w:highlight w:val="none"/>
        </w:rPr>
        <w:t>同工作的，按照资质等级</w:t>
      </w:r>
      <w:r>
        <w:rPr>
          <w:rFonts w:hint="eastAsia" w:ascii="宋体" w:hAnsi="宋体"/>
          <w:szCs w:val="21"/>
          <w:highlight w:val="none"/>
        </w:rPr>
        <w:t>较低</w:t>
      </w:r>
      <w:r>
        <w:rPr>
          <w:rFonts w:ascii="宋体" w:hAnsi="宋体"/>
          <w:szCs w:val="21"/>
          <w:highlight w:val="none"/>
        </w:rPr>
        <w:t>的投标人确定资质等级。</w:t>
      </w:r>
    </w:p>
    <w:p w14:paraId="091A350A">
      <w:pPr>
        <w:spacing w:line="360" w:lineRule="auto"/>
        <w:ind w:left="788" w:hanging="787" w:hangingChars="375"/>
        <w:rPr>
          <w:rFonts w:hint="eastAsia" w:ascii="宋体" w:hAnsi="宋体"/>
          <w:szCs w:val="21"/>
          <w:highlight w:val="none"/>
        </w:rPr>
      </w:pPr>
      <w:r>
        <w:rPr>
          <w:rFonts w:ascii="宋体" w:hAnsi="宋体"/>
          <w:szCs w:val="21"/>
          <w:highlight w:val="none"/>
        </w:rPr>
        <w:t>1.3.</w:t>
      </w:r>
      <w:r>
        <w:rPr>
          <w:rFonts w:hint="eastAsia" w:ascii="宋体" w:hAnsi="宋体"/>
          <w:szCs w:val="21"/>
          <w:highlight w:val="none"/>
        </w:rPr>
        <w:t>5</w:t>
      </w:r>
      <w:r>
        <w:rPr>
          <w:rFonts w:ascii="宋体" w:hAnsi="宋体"/>
          <w:szCs w:val="21"/>
          <w:highlight w:val="none"/>
        </w:rPr>
        <w:t xml:space="preserve">  </w:t>
      </w:r>
      <w:r>
        <w:rPr>
          <w:rFonts w:hint="eastAsia" w:ascii="宋体" w:hAnsi="宋体"/>
          <w:szCs w:val="21"/>
          <w:highlight w:val="none"/>
        </w:rPr>
        <w:t>以</w:t>
      </w:r>
      <w:r>
        <w:rPr>
          <w:rFonts w:ascii="宋体" w:hAnsi="宋体"/>
          <w:szCs w:val="21"/>
          <w:highlight w:val="none"/>
        </w:rPr>
        <w:t>联合体形式参加</w:t>
      </w:r>
      <w:r>
        <w:rPr>
          <w:rFonts w:hint="eastAsia" w:ascii="宋体" w:hAnsi="宋体"/>
          <w:szCs w:val="21"/>
          <w:highlight w:val="none"/>
        </w:rPr>
        <w:t>招投标</w:t>
      </w:r>
      <w:r>
        <w:rPr>
          <w:rFonts w:ascii="宋体" w:hAnsi="宋体"/>
          <w:szCs w:val="21"/>
          <w:highlight w:val="none"/>
        </w:rPr>
        <w:t>活动的，联合体各方不得再</w:t>
      </w:r>
      <w:r>
        <w:rPr>
          <w:rFonts w:hint="eastAsia" w:ascii="宋体" w:hAnsi="宋体"/>
          <w:szCs w:val="21"/>
          <w:highlight w:val="none"/>
        </w:rPr>
        <w:t>单独</w:t>
      </w:r>
      <w:r>
        <w:rPr>
          <w:rFonts w:ascii="宋体" w:hAnsi="宋体"/>
          <w:szCs w:val="21"/>
          <w:highlight w:val="none"/>
        </w:rPr>
        <w:t>参加或者与其他投标人另外组成联合体参加</w:t>
      </w:r>
      <w:r>
        <w:rPr>
          <w:rFonts w:hint="eastAsia" w:ascii="宋体" w:hAnsi="宋体"/>
          <w:szCs w:val="21"/>
          <w:highlight w:val="none"/>
        </w:rPr>
        <w:t>本项目投标</w:t>
      </w:r>
      <w:r>
        <w:rPr>
          <w:rFonts w:ascii="宋体" w:hAnsi="宋体"/>
          <w:szCs w:val="21"/>
          <w:highlight w:val="none"/>
        </w:rPr>
        <w:t>。</w:t>
      </w:r>
    </w:p>
    <w:p w14:paraId="7E412E12">
      <w:pPr>
        <w:spacing w:line="360" w:lineRule="auto"/>
        <w:ind w:left="788" w:hanging="787" w:hangingChars="375"/>
        <w:rPr>
          <w:rFonts w:hint="eastAsia" w:ascii="宋体" w:hAnsi="宋体"/>
          <w:szCs w:val="21"/>
          <w:highlight w:val="none"/>
        </w:rPr>
      </w:pPr>
      <w:r>
        <w:rPr>
          <w:rFonts w:hint="eastAsia" w:ascii="宋体" w:hAnsi="宋体"/>
          <w:szCs w:val="21"/>
          <w:highlight w:val="none"/>
        </w:rPr>
        <w:t>1.3.6   对联合体投标的其他资格要求见</w:t>
      </w:r>
      <w:r>
        <w:rPr>
          <w:rFonts w:hint="eastAsia" w:ascii="宋体" w:hAnsi="宋体"/>
          <w:szCs w:val="21"/>
          <w:highlight w:val="none"/>
          <w:u w:val="single"/>
        </w:rPr>
        <w:t>投标人须知资料表</w:t>
      </w:r>
      <w:r>
        <w:rPr>
          <w:rFonts w:hint="eastAsia" w:ascii="宋体" w:hAnsi="宋体"/>
          <w:szCs w:val="21"/>
          <w:highlight w:val="none"/>
        </w:rPr>
        <w:t>。</w:t>
      </w:r>
    </w:p>
    <w:p w14:paraId="1AB1308C">
      <w:pPr>
        <w:spacing w:line="360" w:lineRule="auto"/>
        <w:ind w:left="788" w:hanging="787" w:hangingChars="375"/>
        <w:rPr>
          <w:rFonts w:hint="eastAsia" w:ascii="宋体" w:hAnsi="宋体"/>
          <w:szCs w:val="21"/>
          <w:highlight w:val="none"/>
        </w:rPr>
      </w:pPr>
      <w:r>
        <w:rPr>
          <w:rFonts w:hint="eastAsia" w:ascii="宋体" w:hAnsi="宋体"/>
          <w:szCs w:val="21"/>
          <w:highlight w:val="none"/>
        </w:rPr>
        <w:t>1.4     凡在法律或财务上不能独立合法经营，或在法律或财务上不能独立于本项目招标采购单位的任何机构，不得参加投标。</w:t>
      </w:r>
    </w:p>
    <w:p w14:paraId="1A2D8CE3">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5</w:t>
      </w:r>
      <w:r>
        <w:rPr>
          <w:rFonts w:ascii="宋体" w:hAnsi="宋体"/>
          <w:szCs w:val="21"/>
          <w:highlight w:val="none"/>
        </w:rPr>
        <w:t xml:space="preserve">    为</w:t>
      </w:r>
      <w:r>
        <w:rPr>
          <w:rFonts w:hint="eastAsia" w:ascii="宋体" w:hAnsi="宋体"/>
          <w:szCs w:val="21"/>
          <w:highlight w:val="none"/>
        </w:rPr>
        <w:t>本</w:t>
      </w:r>
      <w:r>
        <w:rPr>
          <w:rFonts w:ascii="宋体" w:hAnsi="宋体"/>
          <w:szCs w:val="21"/>
          <w:highlight w:val="none"/>
        </w:rPr>
        <w:t>项目提供整体</w:t>
      </w:r>
      <w:r>
        <w:rPr>
          <w:rFonts w:hint="eastAsia" w:ascii="宋体" w:hAnsi="宋体"/>
          <w:szCs w:val="21"/>
          <w:highlight w:val="none"/>
        </w:rPr>
        <w:t>设计</w:t>
      </w:r>
      <w:r>
        <w:rPr>
          <w:rFonts w:ascii="宋体" w:hAnsi="宋体"/>
          <w:szCs w:val="21"/>
          <w:highlight w:val="none"/>
        </w:rPr>
        <w:t>、规范编制或者项目管理、监理、检测等服务的投标人，不得再参加</w:t>
      </w:r>
      <w:r>
        <w:rPr>
          <w:rFonts w:hint="eastAsia" w:ascii="宋体" w:hAnsi="宋体"/>
          <w:szCs w:val="21"/>
          <w:highlight w:val="none"/>
        </w:rPr>
        <w:t>本项目投标</w:t>
      </w:r>
      <w:r>
        <w:rPr>
          <w:rFonts w:ascii="宋体" w:hAnsi="宋体"/>
          <w:szCs w:val="21"/>
          <w:highlight w:val="none"/>
        </w:rPr>
        <w:t>。</w:t>
      </w:r>
    </w:p>
    <w:p w14:paraId="6EEE7315">
      <w:pPr>
        <w:spacing w:line="360" w:lineRule="auto"/>
        <w:ind w:left="788" w:hanging="787" w:hangingChars="375"/>
        <w:rPr>
          <w:rFonts w:hint="eastAsia" w:ascii="宋体" w:hAnsi="宋体"/>
          <w:szCs w:val="21"/>
          <w:highlight w:val="none"/>
        </w:rPr>
      </w:pPr>
      <w:r>
        <w:rPr>
          <w:rFonts w:hint="eastAsia" w:ascii="宋体" w:hAnsi="宋体"/>
          <w:szCs w:val="21"/>
          <w:highlight w:val="none"/>
        </w:rPr>
        <w:t>1.6</w:t>
      </w:r>
      <w:r>
        <w:rPr>
          <w:rFonts w:hint="eastAsia" w:ascii="宋体" w:hAnsi="宋体"/>
          <w:szCs w:val="21"/>
          <w:highlight w:val="none"/>
        </w:rPr>
        <w:tab/>
      </w:r>
      <w:r>
        <w:rPr>
          <w:rFonts w:hint="eastAsia" w:ascii="宋体" w:hAnsi="宋体"/>
          <w:szCs w:val="21"/>
          <w:highlight w:val="none"/>
        </w:rPr>
        <w:t>投标人在投标过程中不得向招标采购单位提供、给予任何有价值的物品，影响其正常决策行为。一经发现，上述投标人的资格将被取消。</w:t>
      </w:r>
    </w:p>
    <w:p w14:paraId="573A747D">
      <w:pPr>
        <w:spacing w:line="360" w:lineRule="auto"/>
        <w:ind w:left="788" w:hanging="787" w:hangingChars="375"/>
        <w:rPr>
          <w:rFonts w:hint="eastAsia" w:ascii="宋体" w:hAnsi="宋体"/>
          <w:szCs w:val="21"/>
          <w:highlight w:val="none"/>
        </w:rPr>
      </w:pPr>
      <w:r>
        <w:rPr>
          <w:rFonts w:hint="eastAsia" w:ascii="宋体" w:hAnsi="宋体"/>
          <w:szCs w:val="21"/>
          <w:highlight w:val="none"/>
        </w:rPr>
        <w:t>1.7</w:t>
      </w:r>
      <w:r>
        <w:rPr>
          <w:rFonts w:hint="eastAsia" w:ascii="宋体" w:hAnsi="宋体"/>
          <w:szCs w:val="21"/>
          <w:highlight w:val="none"/>
        </w:rPr>
        <w:tab/>
      </w:r>
      <w:r>
        <w:rPr>
          <w:rFonts w:hint="eastAsia" w:ascii="宋体" w:hAnsi="宋体"/>
          <w:szCs w:val="21"/>
          <w:highlight w:val="none"/>
        </w:rPr>
        <w:t>招标采购单位在任何时候发现投标人有下列情形之一时，有权依法追究投标人的责任并取消其中标资格，如果采购合同已经履行的，给招标人、其他投标人造成损失的，由责任人承担赔偿责任：</w:t>
      </w:r>
    </w:p>
    <w:p w14:paraId="319B6444">
      <w:pPr>
        <w:spacing w:line="360" w:lineRule="auto"/>
        <w:ind w:left="788" w:hanging="787" w:hangingChars="375"/>
        <w:rPr>
          <w:rFonts w:hint="eastAsia"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提供虚假的资料。</w:t>
      </w:r>
    </w:p>
    <w:p w14:paraId="2CC81288">
      <w:pPr>
        <w:spacing w:line="360" w:lineRule="auto"/>
        <w:ind w:left="788" w:hanging="787" w:hangingChars="375"/>
        <w:rPr>
          <w:rFonts w:hint="eastAsia"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与其他投标人恶意串通。</w:t>
      </w:r>
    </w:p>
    <w:p w14:paraId="43D6CCF5">
      <w:pPr>
        <w:spacing w:line="360" w:lineRule="auto"/>
        <w:ind w:left="788" w:hanging="787" w:hangingChars="375"/>
        <w:rPr>
          <w:rFonts w:hint="eastAsia"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向招标采购单位或评审专家行贿或提供其他不正当利益。</w:t>
      </w:r>
    </w:p>
    <w:p w14:paraId="533C8904">
      <w:pPr>
        <w:spacing w:line="360" w:lineRule="auto"/>
        <w:ind w:left="788" w:hanging="787" w:hangingChars="375"/>
        <w:rPr>
          <w:rFonts w:hint="eastAsia" w:ascii="宋体" w:hAnsi="宋体"/>
          <w:szCs w:val="21"/>
          <w:highlight w:val="none"/>
        </w:rPr>
      </w:pPr>
      <w:r>
        <w:rPr>
          <w:rFonts w:hint="eastAsia" w:ascii="宋体" w:hAnsi="宋体"/>
          <w:szCs w:val="21"/>
          <w:highlight w:val="none"/>
        </w:rPr>
        <w:t>1.7.4   中标后不按照招标文件和其投标文件与招标人订立合同。</w:t>
      </w:r>
    </w:p>
    <w:p w14:paraId="100D20B5">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ascii="宋体" w:hAnsi="宋体"/>
          <w:b/>
          <w:bCs/>
          <w:sz w:val="21"/>
          <w:szCs w:val="21"/>
          <w:highlight w:val="none"/>
        </w:rPr>
      </w:pPr>
      <w:bookmarkStart w:id="65" w:name="_Toc29658"/>
      <w:bookmarkStart w:id="66" w:name="_Toc541"/>
      <w:bookmarkStart w:id="67" w:name="_Toc109736030"/>
      <w:r>
        <w:rPr>
          <w:rFonts w:hint="eastAsia" w:ascii="宋体" w:hAnsi="宋体"/>
          <w:b/>
          <w:bCs/>
          <w:sz w:val="21"/>
          <w:szCs w:val="21"/>
          <w:highlight w:val="none"/>
        </w:rPr>
        <w:t xml:space="preserve">2． </w:t>
      </w:r>
      <w:r>
        <w:rPr>
          <w:rFonts w:hint="eastAsia" w:ascii="宋体" w:hAnsi="宋体"/>
          <w:b/>
          <w:bCs/>
          <w:sz w:val="21"/>
          <w:szCs w:val="21"/>
          <w:highlight w:val="none"/>
        </w:rPr>
        <w:tab/>
      </w:r>
      <w:r>
        <w:rPr>
          <w:rFonts w:hint="eastAsia" w:ascii="宋体" w:hAnsi="宋体"/>
          <w:b/>
          <w:bCs/>
          <w:sz w:val="21"/>
          <w:szCs w:val="21"/>
          <w:highlight w:val="none"/>
        </w:rPr>
        <w:t>资金来源</w:t>
      </w:r>
      <w:bookmarkEnd w:id="65"/>
      <w:bookmarkEnd w:id="66"/>
      <w:bookmarkEnd w:id="67"/>
    </w:p>
    <w:p w14:paraId="0C6AA23E">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.1</w:t>
      </w:r>
      <w:r>
        <w:rPr>
          <w:rFonts w:hint="eastAsia" w:ascii="宋体" w:hAnsi="宋体"/>
          <w:szCs w:val="21"/>
          <w:highlight w:val="none"/>
        </w:rPr>
        <w:tab/>
      </w:r>
      <w:r>
        <w:rPr>
          <w:rFonts w:hint="eastAsia" w:ascii="宋体" w:hAnsi="宋体"/>
          <w:szCs w:val="21"/>
          <w:highlight w:val="none"/>
        </w:rPr>
        <w:t>本项目</w:t>
      </w:r>
      <w:r>
        <w:rPr>
          <w:rFonts w:hint="eastAsia" w:ascii="宋体" w:hAnsi="宋体"/>
          <w:szCs w:val="21"/>
          <w:highlight w:val="none"/>
          <w:lang w:eastAsia="zh-CN"/>
        </w:rPr>
        <w:t>采购公告</w:t>
      </w:r>
      <w:r>
        <w:rPr>
          <w:rFonts w:hint="eastAsia" w:ascii="宋体" w:hAnsi="宋体"/>
          <w:szCs w:val="21"/>
          <w:highlight w:val="none"/>
        </w:rPr>
        <w:t>所述的招标人已获得足以支付本次招标后所签订的合同项下的款项（包括财政性资金和本项目采购</w:t>
      </w:r>
      <w:r>
        <w:rPr>
          <w:rFonts w:ascii="宋体" w:hAnsi="宋体"/>
          <w:szCs w:val="21"/>
          <w:highlight w:val="none"/>
        </w:rPr>
        <w:t>中无法</w:t>
      </w:r>
      <w:r>
        <w:rPr>
          <w:rFonts w:hint="eastAsia" w:ascii="宋体" w:hAnsi="宋体"/>
          <w:szCs w:val="21"/>
          <w:highlight w:val="none"/>
        </w:rPr>
        <w:t>与</w:t>
      </w:r>
      <w:r>
        <w:rPr>
          <w:rFonts w:ascii="宋体" w:hAnsi="宋体"/>
          <w:szCs w:val="21"/>
          <w:highlight w:val="none"/>
        </w:rPr>
        <w:t>财政性资金分割的非财政性资金</w:t>
      </w:r>
      <w:r>
        <w:rPr>
          <w:rFonts w:hint="eastAsia" w:ascii="宋体" w:hAnsi="宋体"/>
          <w:szCs w:val="21"/>
          <w:highlight w:val="none"/>
        </w:rPr>
        <w:t>）。</w:t>
      </w:r>
    </w:p>
    <w:p w14:paraId="267BA704">
      <w:pPr>
        <w:spacing w:line="360" w:lineRule="auto"/>
        <w:ind w:left="788" w:hanging="787" w:hangingChars="375"/>
        <w:rPr>
          <w:rFonts w:ascii="宋体" w:hAnsi="宋体"/>
          <w:szCs w:val="21"/>
          <w:highlight w:val="none"/>
        </w:rPr>
      </w:pPr>
      <w:r>
        <w:rPr>
          <w:rFonts w:hint="eastAsia" w:ascii="宋体" w:hAnsi="宋体"/>
          <w:szCs w:val="21"/>
          <w:highlight w:val="none"/>
        </w:rPr>
        <w:t>2.2    项目预算金额和分项或分包控制金额</w:t>
      </w:r>
      <w:r>
        <w:rPr>
          <w:rFonts w:hint="eastAsia" w:ascii="宋体" w:hAnsi="宋体"/>
          <w:szCs w:val="21"/>
          <w:highlight w:val="none"/>
          <w:u w:val="single"/>
        </w:rPr>
        <w:t>见投标人须知资料表</w:t>
      </w:r>
      <w:r>
        <w:rPr>
          <w:rFonts w:hint="eastAsia" w:ascii="宋体" w:hAnsi="宋体"/>
          <w:szCs w:val="21"/>
          <w:highlight w:val="none"/>
        </w:rPr>
        <w:t>。</w:t>
      </w:r>
    </w:p>
    <w:p w14:paraId="353A9B84">
      <w:pPr>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ascii="宋体" w:hAnsi="宋体"/>
          <w:b/>
          <w:bCs/>
          <w:sz w:val="21"/>
          <w:szCs w:val="21"/>
          <w:highlight w:val="none"/>
        </w:rPr>
      </w:pPr>
      <w:bookmarkStart w:id="68" w:name="_Toc30223"/>
      <w:bookmarkStart w:id="69" w:name="_Toc205"/>
      <w:bookmarkStart w:id="70" w:name="_Toc520356145"/>
      <w:bookmarkStart w:id="71" w:name="_Toc109736031"/>
      <w:r>
        <w:rPr>
          <w:rFonts w:hint="eastAsia" w:ascii="宋体" w:hAnsi="宋体"/>
          <w:b/>
          <w:bCs/>
          <w:sz w:val="21"/>
          <w:szCs w:val="21"/>
          <w:highlight w:val="none"/>
        </w:rPr>
        <w:t xml:space="preserve">3． </w:t>
      </w:r>
      <w:r>
        <w:rPr>
          <w:rFonts w:hint="eastAsia" w:ascii="宋体" w:hAnsi="宋体"/>
          <w:b/>
          <w:bCs/>
          <w:sz w:val="21"/>
          <w:szCs w:val="21"/>
          <w:highlight w:val="none"/>
        </w:rPr>
        <w:tab/>
      </w:r>
      <w:r>
        <w:rPr>
          <w:rFonts w:hint="eastAsia" w:ascii="宋体" w:hAnsi="宋体"/>
          <w:b/>
          <w:bCs/>
          <w:sz w:val="21"/>
          <w:szCs w:val="21"/>
          <w:highlight w:val="none"/>
        </w:rPr>
        <w:t>投标费用</w:t>
      </w:r>
      <w:bookmarkEnd w:id="68"/>
      <w:bookmarkEnd w:id="69"/>
      <w:bookmarkEnd w:id="70"/>
      <w:bookmarkEnd w:id="71"/>
    </w:p>
    <w:p w14:paraId="729A7C5D">
      <w:pPr>
        <w:spacing w:line="360" w:lineRule="auto"/>
        <w:ind w:left="788" w:hanging="787" w:hangingChars="375"/>
        <w:rPr>
          <w:rFonts w:hint="eastAsia" w:ascii="宋体" w:hAnsi="宋体"/>
          <w:szCs w:val="21"/>
          <w:highlight w:val="none"/>
        </w:rPr>
      </w:pPr>
      <w:r>
        <w:rPr>
          <w:rFonts w:ascii="宋体" w:hAnsi="宋体"/>
          <w:szCs w:val="21"/>
          <w:highlight w:val="none"/>
        </w:rPr>
        <w:tab/>
      </w:r>
      <w:r>
        <w:rPr>
          <w:rFonts w:hint="eastAsia" w:ascii="宋体" w:hAnsi="宋体"/>
          <w:szCs w:val="21"/>
          <w:highlight w:val="none"/>
        </w:rPr>
        <w:t>投标人应承担所有与准备和参加投标有关的费用，不论投标的结果如何，招标采购单位均无承担的义务和责任。</w:t>
      </w:r>
    </w:p>
    <w:p w14:paraId="0B0B7A73">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hint="eastAsia" w:ascii="宋体" w:hAnsi="宋体"/>
          <w:b/>
          <w:bCs/>
          <w:sz w:val="21"/>
          <w:szCs w:val="21"/>
          <w:highlight w:val="none"/>
        </w:rPr>
      </w:pPr>
      <w:bookmarkStart w:id="72" w:name="_Toc109736032"/>
      <w:bookmarkStart w:id="73" w:name="_Toc27623"/>
      <w:bookmarkStart w:id="74" w:name="_Toc472"/>
      <w:r>
        <w:rPr>
          <w:rFonts w:hint="eastAsia" w:ascii="宋体" w:hAnsi="宋体"/>
          <w:b/>
          <w:bCs/>
          <w:sz w:val="21"/>
          <w:szCs w:val="21"/>
          <w:highlight w:val="none"/>
        </w:rPr>
        <w:t>4.     适用法律</w:t>
      </w:r>
      <w:bookmarkEnd w:id="72"/>
      <w:bookmarkEnd w:id="73"/>
      <w:bookmarkEnd w:id="74"/>
    </w:p>
    <w:p w14:paraId="1492301C">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       本次招标属货物类国内公开招标，招标采购单位、投标人、评标委员会的相关行为均受《</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w:t>
      </w:r>
      <w:r>
        <w:rPr>
          <w:rFonts w:hint="eastAsia" w:ascii="宋体" w:hAnsi="宋体"/>
          <w:szCs w:val="21"/>
          <w:highlight w:val="none"/>
        </w:rPr>
        <w:t>。</w:t>
      </w:r>
    </w:p>
    <w:p w14:paraId="7E69EE86">
      <w:pPr>
        <w:spacing w:line="360" w:lineRule="auto"/>
        <w:ind w:left="1080" w:leftChars="257" w:hanging="540"/>
        <w:rPr>
          <w:rFonts w:hint="eastAsia" w:ascii="宋体" w:hAnsi="宋体"/>
          <w:szCs w:val="21"/>
          <w:highlight w:val="none"/>
        </w:rPr>
      </w:pPr>
    </w:p>
    <w:p w14:paraId="218759B7">
      <w:pPr>
        <w:pStyle w:val="4"/>
        <w:spacing w:before="0" w:line="360" w:lineRule="auto"/>
        <w:jc w:val="center"/>
        <w:rPr>
          <w:rFonts w:hint="eastAsia" w:ascii="宋体" w:hAnsi="宋体" w:eastAsia="宋体"/>
          <w:sz w:val="24"/>
          <w:szCs w:val="24"/>
          <w:highlight w:val="none"/>
        </w:rPr>
      </w:pPr>
      <w:bookmarkStart w:id="75" w:name="_Toc109736033"/>
      <w:bookmarkStart w:id="76" w:name="_Toc216582806"/>
      <w:bookmarkStart w:id="77" w:name="_Toc1810"/>
      <w:bookmarkStart w:id="78" w:name="_Toc520356146"/>
      <w:r>
        <w:rPr>
          <w:rFonts w:hint="eastAsia" w:ascii="宋体" w:hAnsi="宋体" w:eastAsia="宋体"/>
          <w:sz w:val="24"/>
          <w:szCs w:val="24"/>
          <w:highlight w:val="none"/>
        </w:rPr>
        <w:t>二   招标文件</w:t>
      </w:r>
      <w:bookmarkEnd w:id="75"/>
      <w:bookmarkEnd w:id="76"/>
      <w:bookmarkEnd w:id="77"/>
      <w:bookmarkEnd w:id="78"/>
    </w:p>
    <w:p w14:paraId="17F9A66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ascii="宋体" w:hAnsi="宋体"/>
          <w:b/>
          <w:bCs/>
          <w:sz w:val="21"/>
          <w:szCs w:val="21"/>
          <w:highlight w:val="none"/>
        </w:rPr>
      </w:pPr>
      <w:bookmarkStart w:id="79" w:name="_Toc520356147"/>
      <w:bookmarkStart w:id="80" w:name="_Toc109736034"/>
      <w:r>
        <w:rPr>
          <w:rFonts w:hint="eastAsia" w:ascii="宋体" w:hAnsi="宋体"/>
          <w:b/>
          <w:bCs/>
          <w:sz w:val="21"/>
          <w:szCs w:val="21"/>
          <w:highlight w:val="none"/>
        </w:rPr>
        <w:t>5.</w:t>
      </w:r>
      <w:r>
        <w:rPr>
          <w:rFonts w:hint="eastAsia" w:ascii="宋体" w:hAnsi="宋体"/>
          <w:b/>
          <w:bCs/>
          <w:sz w:val="21"/>
          <w:szCs w:val="21"/>
          <w:highlight w:val="none"/>
        </w:rPr>
        <w:tab/>
      </w:r>
      <w:r>
        <w:rPr>
          <w:rFonts w:hint="eastAsia" w:ascii="宋体" w:hAnsi="宋体"/>
          <w:b/>
          <w:bCs/>
          <w:sz w:val="21"/>
          <w:szCs w:val="21"/>
          <w:highlight w:val="none"/>
        </w:rPr>
        <w:t xml:space="preserve">    招标文件构成</w:t>
      </w:r>
      <w:bookmarkEnd w:id="79"/>
      <w:bookmarkEnd w:id="80"/>
    </w:p>
    <w:p w14:paraId="770D67D5">
      <w:pPr>
        <w:spacing w:line="360" w:lineRule="auto"/>
        <w:ind w:left="788" w:hanging="787" w:hangingChars="375"/>
        <w:rPr>
          <w:rFonts w:hint="eastAsia" w:ascii="宋体" w:hAnsi="宋体"/>
          <w:szCs w:val="21"/>
          <w:highlight w:val="none"/>
        </w:rPr>
      </w:pPr>
      <w:r>
        <w:rPr>
          <w:rFonts w:hint="eastAsia" w:ascii="宋体" w:hAnsi="宋体"/>
          <w:szCs w:val="21"/>
          <w:highlight w:val="none"/>
        </w:rPr>
        <w:t>5.1</w:t>
      </w:r>
      <w:r>
        <w:rPr>
          <w:rFonts w:hint="eastAsia" w:ascii="宋体" w:hAnsi="宋体"/>
          <w:szCs w:val="21"/>
          <w:highlight w:val="none"/>
        </w:rPr>
        <w:tab/>
      </w:r>
      <w:r>
        <w:rPr>
          <w:rFonts w:hint="eastAsia" w:ascii="宋体" w:hAnsi="宋体"/>
          <w:szCs w:val="21"/>
          <w:highlight w:val="none"/>
        </w:rPr>
        <w:t>要求提供货物的内容及详细技术需求、投标须知和合同条件等在招标文件中均有说明。</w:t>
      </w:r>
    </w:p>
    <w:p w14:paraId="651BEEE2">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招标文件共六章，内容如下：</w:t>
      </w:r>
    </w:p>
    <w:p w14:paraId="572C4B94">
      <w:pPr>
        <w:numPr>
          <w:ilvl w:val="0"/>
          <w:numId w:val="12"/>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投标</w:t>
      </w:r>
      <w:r>
        <w:rPr>
          <w:rFonts w:hint="eastAsia" w:ascii="宋体" w:hAnsi="宋体"/>
          <w:szCs w:val="21"/>
          <w:highlight w:val="none"/>
          <w:lang w:val="en-US" w:eastAsia="zh-CN"/>
        </w:rPr>
        <w:t>公告</w:t>
      </w:r>
    </w:p>
    <w:p w14:paraId="39246EEA">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投标人须知</w:t>
      </w:r>
    </w:p>
    <w:p w14:paraId="05567139">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合同条款</w:t>
      </w:r>
    </w:p>
    <w:p w14:paraId="4DB7E5E4">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附件—投标文件格式</w:t>
      </w:r>
    </w:p>
    <w:p w14:paraId="7FC535B9">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评标方法和标准</w:t>
      </w:r>
    </w:p>
    <w:p w14:paraId="0EE32E79">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货物技术要求</w:t>
      </w:r>
    </w:p>
    <w:p w14:paraId="0D7A84BC">
      <w:pPr>
        <w:spacing w:line="360" w:lineRule="auto"/>
        <w:ind w:left="788" w:hanging="787" w:hangingChars="375"/>
        <w:rPr>
          <w:rFonts w:hint="eastAsia" w:ascii="宋体" w:hAnsi="宋体"/>
          <w:szCs w:val="21"/>
          <w:highlight w:val="none"/>
        </w:rPr>
      </w:pPr>
      <w:r>
        <w:rPr>
          <w:rFonts w:hint="eastAsia" w:ascii="宋体" w:hAnsi="宋体"/>
          <w:szCs w:val="21"/>
          <w:highlight w:val="none"/>
        </w:rPr>
        <w:t>5.2    投标人应认真阅读招标文件所有的事项、格式、条款和技术规范等。如投标人没有按照招标文件要求提交全部资料，或者投标文件没有对招标文件在各方面都做出实质性响应是投标人的风险，并可能导致其投标被拒绝。</w:t>
      </w:r>
    </w:p>
    <w:p w14:paraId="288468E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1" w:name="_Toc109736035"/>
      <w:bookmarkStart w:id="82" w:name="_Toc520356148"/>
      <w:r>
        <w:rPr>
          <w:rFonts w:hint="eastAsia" w:ascii="宋体" w:hAnsi="宋体" w:eastAsia="宋体" w:cs="Times New Roman"/>
          <w:b/>
          <w:bCs/>
          <w:sz w:val="21"/>
          <w:szCs w:val="21"/>
          <w:highlight w:val="none"/>
        </w:rPr>
        <w:t>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招标文件的澄清</w:t>
      </w:r>
      <w:bookmarkEnd w:id="81"/>
      <w:bookmarkEnd w:id="82"/>
    </w:p>
    <w:p w14:paraId="1D75A821">
      <w:pPr>
        <w:spacing w:line="360" w:lineRule="auto"/>
        <w:ind w:left="788" w:hanging="787" w:hangingChars="375"/>
        <w:rPr>
          <w:rFonts w:ascii="宋体" w:hAnsi="宋体"/>
          <w:szCs w:val="21"/>
          <w:highlight w:val="none"/>
        </w:rPr>
      </w:pPr>
      <w:r>
        <w:rPr>
          <w:rFonts w:ascii="宋体" w:hAnsi="宋体"/>
          <w:szCs w:val="21"/>
          <w:highlight w:val="none"/>
        </w:rPr>
        <w:tab/>
      </w:r>
      <w:r>
        <w:rPr>
          <w:rFonts w:hint="eastAsia" w:ascii="宋体" w:hAnsi="宋体"/>
          <w:szCs w:val="21"/>
          <w:highlight w:val="none"/>
        </w:rPr>
        <w:t>任何要求对招标文件进行澄清的投标人，均应以书面形式通知招标采购单位。为了</w:t>
      </w:r>
      <w:r>
        <w:rPr>
          <w:rFonts w:ascii="宋体" w:hAnsi="宋体"/>
          <w:szCs w:val="21"/>
          <w:highlight w:val="none"/>
        </w:rPr>
        <w:t>保证对招标文件的</w:t>
      </w:r>
      <w:r>
        <w:rPr>
          <w:rFonts w:hint="eastAsia" w:ascii="宋体" w:hAnsi="宋体"/>
          <w:szCs w:val="21"/>
          <w:highlight w:val="none"/>
        </w:rPr>
        <w:t>澄清</w:t>
      </w:r>
      <w:r>
        <w:rPr>
          <w:rFonts w:ascii="宋体" w:hAnsi="宋体"/>
          <w:szCs w:val="21"/>
          <w:highlight w:val="none"/>
        </w:rPr>
        <w:t>和修改满足</w:t>
      </w:r>
      <w:r>
        <w:rPr>
          <w:rFonts w:hint="eastAsia" w:ascii="宋体" w:hAnsi="宋体"/>
          <w:szCs w:val="21"/>
          <w:highlight w:val="none"/>
        </w:rPr>
        <w:t>法律</w:t>
      </w:r>
      <w:r>
        <w:rPr>
          <w:rFonts w:ascii="宋体" w:hAnsi="宋体"/>
          <w:szCs w:val="21"/>
          <w:highlight w:val="none"/>
        </w:rPr>
        <w:t>的</w:t>
      </w:r>
      <w:r>
        <w:rPr>
          <w:rFonts w:hint="eastAsia" w:ascii="宋体" w:hAnsi="宋体"/>
          <w:szCs w:val="21"/>
          <w:highlight w:val="none"/>
        </w:rPr>
        <w:t>时限</w:t>
      </w:r>
      <w:r>
        <w:rPr>
          <w:rFonts w:ascii="宋体" w:hAnsi="宋体"/>
          <w:szCs w:val="21"/>
          <w:highlight w:val="none"/>
        </w:rPr>
        <w:t>要求，</w:t>
      </w:r>
      <w:r>
        <w:rPr>
          <w:rFonts w:hint="eastAsia" w:ascii="宋体" w:hAnsi="宋体"/>
          <w:szCs w:val="21"/>
          <w:highlight w:val="none"/>
        </w:rPr>
        <w:t>投标</w:t>
      </w:r>
      <w:r>
        <w:rPr>
          <w:rFonts w:ascii="宋体" w:hAnsi="宋体"/>
          <w:szCs w:val="21"/>
          <w:highlight w:val="none"/>
        </w:rPr>
        <w:t>人应在投标截止</w:t>
      </w:r>
      <w:r>
        <w:rPr>
          <w:rFonts w:hint="eastAsia" w:ascii="宋体" w:hAnsi="宋体"/>
          <w:szCs w:val="21"/>
          <w:highlight w:val="none"/>
        </w:rPr>
        <w:t>期</w:t>
      </w:r>
      <w:r>
        <w:rPr>
          <w:rFonts w:hint="eastAsia" w:ascii="宋体" w:hAnsi="宋体"/>
          <w:szCs w:val="21"/>
          <w:highlight w:val="none"/>
          <w:lang w:val="en-US" w:eastAsia="zh-CN"/>
        </w:rPr>
        <w:t>三</w:t>
      </w:r>
      <w:r>
        <w:rPr>
          <w:rFonts w:hint="eastAsia" w:ascii="宋体" w:hAnsi="宋体"/>
          <w:szCs w:val="21"/>
          <w:highlight w:val="none"/>
        </w:rPr>
        <w:t>日前提出并送达澄清要求至招标采购单位。招标采购单位应以公告和书面形式通知每个购买招标文件的投标人（答复中不包括问题的来源）。</w:t>
      </w:r>
    </w:p>
    <w:p w14:paraId="1D5F17A4">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3" w:name="_Toc109736036"/>
      <w:bookmarkStart w:id="84" w:name="_Toc520356149"/>
      <w:bookmarkStart w:id="85" w:name="_Ref467378678"/>
      <w:r>
        <w:rPr>
          <w:rFonts w:hint="eastAsia" w:ascii="宋体" w:hAnsi="宋体" w:eastAsia="宋体" w:cs="Times New Roman"/>
          <w:b/>
          <w:bCs/>
          <w:sz w:val="21"/>
          <w:szCs w:val="21"/>
          <w:highlight w:val="none"/>
        </w:rPr>
        <w:t>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招标文件的修改</w:t>
      </w:r>
      <w:bookmarkEnd w:id="83"/>
      <w:bookmarkEnd w:id="84"/>
      <w:bookmarkEnd w:id="85"/>
    </w:p>
    <w:p w14:paraId="28E12AEC">
      <w:pPr>
        <w:spacing w:line="360" w:lineRule="auto"/>
        <w:ind w:left="893" w:hanging="892" w:hangingChars="425"/>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.1</w:t>
      </w:r>
      <w:r>
        <w:rPr>
          <w:rFonts w:ascii="宋体" w:hAnsi="宋体"/>
          <w:szCs w:val="21"/>
          <w:highlight w:val="none"/>
        </w:rPr>
        <w:tab/>
      </w:r>
      <w:r>
        <w:rPr>
          <w:rFonts w:hint="eastAsia" w:ascii="宋体" w:hAnsi="宋体"/>
          <w:szCs w:val="21"/>
          <w:highlight w:val="none"/>
        </w:rPr>
        <w:t>在投标截止期</w:t>
      </w:r>
      <w:r>
        <w:rPr>
          <w:rFonts w:hint="eastAsia" w:ascii="宋体" w:hAnsi="宋体"/>
          <w:szCs w:val="21"/>
          <w:highlight w:val="none"/>
          <w:lang w:val="en-US" w:eastAsia="zh-CN"/>
        </w:rPr>
        <w:t>五</w:t>
      </w:r>
      <w:r>
        <w:rPr>
          <w:rFonts w:hint="eastAsia" w:ascii="宋体" w:hAnsi="宋体"/>
          <w:szCs w:val="21"/>
          <w:highlight w:val="none"/>
        </w:rPr>
        <w:t>日前，招标采购单位可主动地或在解答投标人提出的澄清问题时对招标文件进行修改。</w:t>
      </w:r>
    </w:p>
    <w:p w14:paraId="5255E0D2">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招标文件的修改应以公告和书面形式通知所有购买招标文件的投标人，并对其具有约束力。投标人在收到上述通知后，应立即向招标采购单位回函确认。</w:t>
      </w:r>
    </w:p>
    <w:p w14:paraId="35ACAF08">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.3</w:t>
      </w:r>
      <w:r>
        <w:rPr>
          <w:rFonts w:ascii="宋体" w:hAnsi="宋体"/>
          <w:szCs w:val="21"/>
          <w:highlight w:val="none"/>
        </w:rPr>
        <w:tab/>
      </w:r>
      <w:r>
        <w:rPr>
          <w:rFonts w:hint="eastAsia" w:ascii="宋体" w:hAnsi="宋体"/>
          <w:szCs w:val="21"/>
          <w:highlight w:val="none"/>
        </w:rPr>
        <w:t>为使投标人准备投标时有足够的时间对招标文件的修改部分进行研究，招标采购单位有权决定是否延长投标截止期。</w:t>
      </w:r>
    </w:p>
    <w:p w14:paraId="1C92CBEE">
      <w:pPr>
        <w:spacing w:line="360" w:lineRule="auto"/>
        <w:ind w:left="788" w:hanging="787" w:hangingChars="375"/>
        <w:rPr>
          <w:rFonts w:hint="eastAsia" w:ascii="宋体" w:hAnsi="宋体"/>
          <w:szCs w:val="21"/>
          <w:highlight w:val="none"/>
        </w:rPr>
      </w:pPr>
    </w:p>
    <w:p w14:paraId="7E782133">
      <w:pPr>
        <w:rPr>
          <w:rFonts w:hint="eastAsia" w:ascii="宋体" w:hAnsi="宋体"/>
          <w:szCs w:val="21"/>
          <w:highlight w:val="none"/>
        </w:rPr>
      </w:pPr>
      <w:bookmarkStart w:id="86" w:name="_Toc516367020"/>
      <w:bookmarkStart w:id="87" w:name="_Toc216582807"/>
      <w:bookmarkStart w:id="88" w:name="_Toc520356150"/>
    </w:p>
    <w:p w14:paraId="5F575554">
      <w:pPr>
        <w:pStyle w:val="4"/>
        <w:keepNext/>
        <w:keepLines/>
        <w:pageBreakBefore w:val="0"/>
        <w:widowControl w:val="0"/>
        <w:tabs>
          <w:tab w:val="left" w:pos="900"/>
        </w:tabs>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89" w:name="_Toc8001"/>
      <w:bookmarkStart w:id="90" w:name="_Toc109736037"/>
      <w:r>
        <w:rPr>
          <w:rFonts w:hint="eastAsia" w:ascii="宋体" w:hAnsi="宋体" w:eastAsia="宋体"/>
          <w:sz w:val="24"/>
          <w:szCs w:val="24"/>
          <w:highlight w:val="none"/>
        </w:rPr>
        <w:t>三   投标文件</w:t>
      </w:r>
      <w:bookmarkEnd w:id="86"/>
      <w:r>
        <w:rPr>
          <w:rFonts w:hint="eastAsia" w:ascii="宋体" w:hAnsi="宋体" w:eastAsia="宋体"/>
          <w:sz w:val="24"/>
          <w:szCs w:val="24"/>
          <w:highlight w:val="none"/>
        </w:rPr>
        <w:t>的编制</w:t>
      </w:r>
      <w:bookmarkEnd w:id="87"/>
      <w:bookmarkEnd w:id="88"/>
      <w:bookmarkEnd w:id="89"/>
      <w:bookmarkEnd w:id="90"/>
    </w:p>
    <w:p w14:paraId="7082F038">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1" w:name="_Toc516367021"/>
      <w:bookmarkStart w:id="92" w:name="_Toc109736038"/>
      <w:bookmarkStart w:id="93" w:name="_Toc520356151"/>
      <w:r>
        <w:rPr>
          <w:rFonts w:hint="eastAsia" w:ascii="宋体" w:hAnsi="宋体" w:eastAsia="宋体" w:cs="Times New Roman"/>
          <w:b/>
          <w:bCs/>
          <w:sz w:val="21"/>
          <w:szCs w:val="21"/>
          <w:highlight w:val="none"/>
        </w:rPr>
        <w:t>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投标范围及投标文件中标准和计量单位的使用</w:t>
      </w:r>
      <w:bookmarkEnd w:id="91"/>
      <w:bookmarkEnd w:id="92"/>
      <w:bookmarkEnd w:id="93"/>
    </w:p>
    <w:p w14:paraId="29750D64">
      <w:pPr>
        <w:spacing w:line="360" w:lineRule="auto"/>
        <w:ind w:left="788" w:hanging="787" w:hangingChars="375"/>
        <w:rPr>
          <w:rFonts w:hint="eastAsia" w:ascii="宋体" w:hAnsi="宋体"/>
          <w:szCs w:val="21"/>
          <w:highlight w:val="none"/>
        </w:rPr>
      </w:pPr>
      <w:r>
        <w:rPr>
          <w:rFonts w:hint="eastAsia" w:ascii="宋体" w:hAnsi="宋体"/>
          <w:szCs w:val="21"/>
          <w:highlight w:val="none"/>
        </w:rPr>
        <w:t>8</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投标人可对招标文件中“货物需求一览表”所列的所有货物进行投标，也可只对其中一包或几包货物进行投标，除非在</w:t>
      </w:r>
      <w:r>
        <w:rPr>
          <w:rFonts w:hint="eastAsia" w:ascii="宋体" w:hAnsi="宋体"/>
          <w:szCs w:val="21"/>
          <w:highlight w:val="none"/>
          <w:u w:val="single"/>
        </w:rPr>
        <w:t>投标人须知资料表</w:t>
      </w:r>
      <w:r>
        <w:rPr>
          <w:rFonts w:hint="eastAsia" w:ascii="宋体" w:hAnsi="宋体"/>
          <w:szCs w:val="21"/>
          <w:highlight w:val="none"/>
        </w:rPr>
        <w:t>中另有规定。但无论如何，均不得将一包中的内容拆开投标。</w:t>
      </w:r>
    </w:p>
    <w:p w14:paraId="6EBA93EB">
      <w:pPr>
        <w:spacing w:line="360" w:lineRule="auto"/>
        <w:ind w:left="788" w:hanging="787" w:hangingChars="375"/>
        <w:rPr>
          <w:rFonts w:hint="eastAsia" w:ascii="宋体" w:hAnsi="宋体"/>
          <w:szCs w:val="21"/>
          <w:highlight w:val="none"/>
        </w:rPr>
      </w:pPr>
      <w:r>
        <w:rPr>
          <w:rFonts w:hint="eastAsia" w:ascii="宋体" w:hAnsi="宋体"/>
          <w:szCs w:val="21"/>
          <w:highlight w:val="none"/>
        </w:rPr>
        <w:t>8.2     如</w:t>
      </w:r>
      <w:r>
        <w:rPr>
          <w:rFonts w:hint="eastAsia" w:ascii="宋体" w:hAnsi="宋体"/>
          <w:szCs w:val="21"/>
          <w:highlight w:val="none"/>
          <w:u w:val="single"/>
        </w:rPr>
        <w:t>投标人须知资料表</w:t>
      </w:r>
      <w:r>
        <w:rPr>
          <w:rFonts w:hint="eastAsia" w:ascii="宋体" w:hAnsi="宋体"/>
          <w:szCs w:val="21"/>
          <w:highlight w:val="none"/>
        </w:rPr>
        <w:t>中允许提供备选方案，投标人可提交符合招标文件要求备选投标方案及其报价，但要明确标明“备选方案”。备选方案只能有一个，提供两个以上备选方案的投标将作为无效投标被拒绝。如不允许提交备选方案，所有提交备选方案的投标将作为无效投标被拒绝。</w:t>
      </w:r>
    </w:p>
    <w:p w14:paraId="2463270D">
      <w:pPr>
        <w:spacing w:line="360" w:lineRule="auto"/>
        <w:ind w:left="788" w:hanging="787" w:hangingChars="375"/>
        <w:rPr>
          <w:rFonts w:ascii="宋体" w:hAnsi="宋体"/>
          <w:szCs w:val="21"/>
          <w:highlight w:val="none"/>
        </w:rPr>
      </w:pPr>
      <w:r>
        <w:rPr>
          <w:rFonts w:hint="eastAsia" w:ascii="宋体" w:hAnsi="宋体"/>
          <w:szCs w:val="21"/>
          <w:highlight w:val="none"/>
        </w:rPr>
        <w:t>8.3     无论招标文件第八章货物需求一览表及技术规格中是否要求，投标人所投货物均应符合国家强制性标准。</w:t>
      </w:r>
    </w:p>
    <w:p w14:paraId="5BE989BB">
      <w:pPr>
        <w:spacing w:line="360" w:lineRule="auto"/>
        <w:ind w:left="788" w:hanging="787" w:hangingChars="375"/>
        <w:rPr>
          <w:rFonts w:ascii="宋体" w:hAnsi="宋体"/>
          <w:szCs w:val="21"/>
          <w:highlight w:val="none"/>
        </w:rPr>
      </w:pPr>
      <w:r>
        <w:rPr>
          <w:rFonts w:hint="eastAsia" w:ascii="宋体" w:hAnsi="宋体"/>
          <w:szCs w:val="21"/>
          <w:highlight w:val="none"/>
        </w:rPr>
        <w:t>8</w:t>
      </w:r>
      <w:r>
        <w:rPr>
          <w:rFonts w:ascii="宋体" w:hAnsi="宋体"/>
          <w:szCs w:val="21"/>
          <w:highlight w:val="none"/>
        </w:rPr>
        <w:t>.</w:t>
      </w:r>
      <w:r>
        <w:rPr>
          <w:rFonts w:hint="eastAsia" w:ascii="宋体" w:hAnsi="宋体"/>
          <w:szCs w:val="21"/>
          <w:highlight w:val="none"/>
        </w:rPr>
        <w:t>4</w:t>
      </w:r>
      <w:r>
        <w:rPr>
          <w:rFonts w:ascii="宋体" w:hAnsi="宋体"/>
          <w:szCs w:val="21"/>
          <w:highlight w:val="none"/>
        </w:rPr>
        <w:tab/>
      </w:r>
      <w:r>
        <w:rPr>
          <w:rFonts w:hint="eastAsia" w:ascii="宋体" w:hAnsi="宋体"/>
          <w:szCs w:val="21"/>
          <w:highlight w:val="none"/>
        </w:rPr>
        <w:t>投标文件中所使用的计量单位，除招标文件中有特殊要求外，应采用中华人民共和国法定计量单位。</w:t>
      </w:r>
    </w:p>
    <w:p w14:paraId="30AD688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4" w:name="_Toc516367022"/>
      <w:bookmarkStart w:id="95" w:name="_Ref467306676"/>
      <w:bookmarkStart w:id="96" w:name="_Ref467306195"/>
      <w:bookmarkStart w:id="97" w:name="_Toc520356152"/>
      <w:bookmarkStart w:id="98" w:name="_Toc109736039"/>
      <w:r>
        <w:rPr>
          <w:rFonts w:hint="eastAsia" w:ascii="宋体" w:hAnsi="宋体" w:eastAsia="宋体" w:cs="Times New Roman"/>
          <w:b/>
          <w:bCs/>
          <w:sz w:val="21"/>
          <w:szCs w:val="21"/>
          <w:highlight w:val="none"/>
        </w:rPr>
        <w:t>9.</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w:t>
      </w:r>
      <w:bookmarkEnd w:id="94"/>
      <w:bookmarkEnd w:id="95"/>
      <w:bookmarkEnd w:id="96"/>
      <w:r>
        <w:rPr>
          <w:rFonts w:hint="eastAsia" w:ascii="宋体" w:hAnsi="宋体" w:eastAsia="宋体" w:cs="Times New Roman"/>
          <w:b/>
          <w:bCs/>
          <w:sz w:val="21"/>
          <w:szCs w:val="21"/>
          <w:highlight w:val="none"/>
        </w:rPr>
        <w:t>构成</w:t>
      </w:r>
      <w:bookmarkEnd w:id="97"/>
      <w:bookmarkEnd w:id="98"/>
    </w:p>
    <w:p w14:paraId="37A713D0">
      <w:pPr>
        <w:spacing w:line="360" w:lineRule="auto"/>
        <w:ind w:left="788" w:hanging="787" w:hangingChars="375"/>
        <w:rPr>
          <w:rFonts w:hint="eastAsia" w:ascii="宋体" w:hAnsi="宋体"/>
          <w:szCs w:val="21"/>
          <w:highlight w:val="none"/>
        </w:rPr>
      </w:pPr>
      <w:bookmarkStart w:id="99" w:name="_Ref467052588"/>
      <w:r>
        <w:rPr>
          <w:rFonts w:hint="eastAsia" w:ascii="宋体" w:hAnsi="宋体"/>
          <w:szCs w:val="21"/>
          <w:highlight w:val="none"/>
        </w:rPr>
        <w:t>9</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投标人应完整地按招标文件提供的投标文件格式填写投标文件，投标文件应包括以下内容</w:t>
      </w:r>
      <w:bookmarkEnd w:id="99"/>
      <w:r>
        <w:rPr>
          <w:rFonts w:hint="eastAsia" w:ascii="宋体" w:hAnsi="宋体"/>
          <w:szCs w:val="21"/>
          <w:highlight w:val="none"/>
        </w:rPr>
        <w:t>，如不完整将按无效投标处理：</w:t>
      </w:r>
    </w:p>
    <w:p w14:paraId="5B060BCE">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0B6963F9">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6356DBDF">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7A304738">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50604674">
      <w:pPr>
        <w:tabs>
          <w:tab w:val="left" w:pos="900"/>
          <w:tab w:val="left" w:pos="5580"/>
        </w:tabs>
        <w:spacing w:line="360" w:lineRule="auto"/>
        <w:ind w:left="1056" w:leftChars="428" w:hanging="157" w:hangingChars="75"/>
        <w:rPr>
          <w:rFonts w:hint="eastAsia" w:ascii="宋体" w:hAnsi="宋体"/>
          <w:szCs w:val="21"/>
          <w:highlight w:val="none"/>
        </w:rPr>
      </w:pPr>
      <w:bookmarkStart w:id="100" w:name="_Hlt520276204"/>
      <w:bookmarkStart w:id="101" w:name="_Hlt520274929"/>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bookmarkEnd w:id="100"/>
    <w:bookmarkEnd w:id="101"/>
    <w:p w14:paraId="441D7E5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4583171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-1法人或者其他组织的营业执照等证明文件复印件（须加盖本单位公章）</w:t>
      </w:r>
    </w:p>
    <w:p w14:paraId="3BB3554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5A0ABBE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5A14CDE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-4投标人开户银行在投标截止日前三个月内开具的资信证明（原件或复印件加盖公章）或会计师事务所出具的上一年度财务审计报告复印件</w:t>
      </w:r>
    </w:p>
    <w:p w14:paraId="174ED48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783A66D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1174F66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3E0C8F0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5AC48D0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0B81846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2E03B33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6FCDA7B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5A12292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62B500F0">
      <w:pPr>
        <w:spacing w:line="360" w:lineRule="auto"/>
        <w:ind w:left="788" w:hanging="787" w:hangingChars="375"/>
        <w:rPr>
          <w:rFonts w:hint="eastAsia" w:ascii="宋体" w:hAnsi="宋体"/>
          <w:szCs w:val="21"/>
          <w:highlight w:val="none"/>
        </w:rPr>
      </w:pPr>
      <w:r>
        <w:rPr>
          <w:rFonts w:hint="eastAsia" w:ascii="宋体" w:hAnsi="宋体"/>
          <w:szCs w:val="21"/>
          <w:highlight w:val="none"/>
        </w:rPr>
        <w:t>9</w:t>
      </w:r>
      <w:r>
        <w:rPr>
          <w:rFonts w:ascii="宋体" w:hAnsi="宋体"/>
          <w:szCs w:val="21"/>
          <w:highlight w:val="none"/>
        </w:rPr>
        <w:t>.2</w:t>
      </w:r>
      <w:r>
        <w:rPr>
          <w:rFonts w:ascii="宋体" w:hAnsi="宋体"/>
          <w:szCs w:val="21"/>
          <w:highlight w:val="none"/>
        </w:rPr>
        <w:tab/>
      </w:r>
      <w:r>
        <w:rPr>
          <w:rFonts w:hint="eastAsia" w:ascii="宋体" w:hAnsi="宋体"/>
          <w:szCs w:val="21"/>
          <w:highlight w:val="none"/>
        </w:rPr>
        <w:t>除上述9</w:t>
      </w:r>
      <w:r>
        <w:rPr>
          <w:rFonts w:ascii="宋体" w:hAnsi="宋体"/>
          <w:szCs w:val="21"/>
          <w:highlight w:val="none"/>
        </w:rPr>
        <w:t>.1</w:t>
      </w:r>
      <w:r>
        <w:rPr>
          <w:rFonts w:hint="eastAsia" w:ascii="宋体" w:hAnsi="宋体"/>
          <w:szCs w:val="21"/>
          <w:highlight w:val="none"/>
        </w:rPr>
        <w:t>条外，投标文件还应包括本须知第10条的所有文件。</w:t>
      </w:r>
    </w:p>
    <w:p w14:paraId="761BC91B">
      <w:pPr>
        <w:spacing w:line="360" w:lineRule="auto"/>
        <w:ind w:left="735" w:hanging="735" w:hangingChars="350"/>
        <w:rPr>
          <w:rFonts w:hint="eastAsia" w:ascii="宋体" w:hAnsi="宋体"/>
          <w:szCs w:val="21"/>
          <w:highlight w:val="none"/>
        </w:rPr>
      </w:pPr>
      <w:r>
        <w:rPr>
          <w:rFonts w:hint="eastAsia" w:ascii="宋体" w:hAnsi="宋体"/>
          <w:szCs w:val="21"/>
          <w:highlight w:val="none"/>
        </w:rPr>
        <w:t>9.3    所有投标人和投标货物的资格证明文件均应为合法、有效文件，否则将被视为该文件未被递交。</w:t>
      </w:r>
    </w:p>
    <w:p w14:paraId="58E2A351">
      <w:pPr>
        <w:spacing w:line="360" w:lineRule="auto"/>
        <w:ind w:left="788" w:hanging="787" w:hangingChars="375"/>
        <w:rPr>
          <w:rFonts w:hint="eastAsia" w:ascii="宋体" w:hAnsi="宋体"/>
          <w:szCs w:val="21"/>
          <w:highlight w:val="none"/>
        </w:rPr>
      </w:pPr>
      <w:r>
        <w:rPr>
          <w:rFonts w:hint="eastAsia" w:ascii="宋体" w:hAnsi="宋体"/>
          <w:szCs w:val="21"/>
          <w:highlight w:val="none"/>
        </w:rPr>
        <w:t>9.4    上述文件应按照招标文件规定的格式填写、签署和盖章。</w:t>
      </w:r>
    </w:p>
    <w:p w14:paraId="3B0F486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2" w:name="_Toc516367023"/>
      <w:bookmarkStart w:id="103" w:name="_Toc520356153"/>
      <w:bookmarkStart w:id="104" w:name="_Toc109736040"/>
      <w:r>
        <w:rPr>
          <w:rFonts w:hint="eastAsia" w:ascii="宋体" w:hAnsi="宋体" w:eastAsia="宋体" w:cs="Times New Roman"/>
          <w:b/>
          <w:bCs/>
          <w:sz w:val="21"/>
          <w:szCs w:val="21"/>
          <w:highlight w:val="none"/>
        </w:rPr>
        <w:t>10.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证明货物的合格性和符合招标文件规定的文件</w:t>
      </w:r>
      <w:bookmarkEnd w:id="102"/>
      <w:bookmarkEnd w:id="103"/>
      <w:bookmarkEnd w:id="104"/>
    </w:p>
    <w:p w14:paraId="1B2F415C">
      <w:pPr>
        <w:spacing w:line="360" w:lineRule="auto"/>
        <w:ind w:left="788" w:hanging="787" w:hangingChars="375"/>
        <w:rPr>
          <w:rFonts w:ascii="宋体" w:hAnsi="宋体"/>
          <w:szCs w:val="21"/>
          <w:highlight w:val="none"/>
        </w:rPr>
      </w:pPr>
      <w:r>
        <w:rPr>
          <w:rFonts w:hint="eastAsia" w:ascii="宋体" w:hAnsi="宋体"/>
          <w:szCs w:val="21"/>
          <w:highlight w:val="none"/>
        </w:rPr>
        <w:t>10</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投标人应提交证明文件，证明其拟供的合同项下的货物和服务的合格性符合招标文件规定。该证明文件是投标文件的一部分。</w:t>
      </w:r>
    </w:p>
    <w:p w14:paraId="182FE02F">
      <w:pPr>
        <w:spacing w:line="360" w:lineRule="auto"/>
        <w:ind w:left="788" w:hanging="787" w:hangingChars="375"/>
        <w:rPr>
          <w:rFonts w:ascii="宋体" w:hAnsi="宋体"/>
          <w:szCs w:val="21"/>
          <w:highlight w:val="none"/>
        </w:rPr>
      </w:pPr>
      <w:bookmarkStart w:id="105" w:name="_Ref467306244"/>
      <w:r>
        <w:rPr>
          <w:rFonts w:hint="eastAsia" w:ascii="宋体" w:hAnsi="宋体"/>
          <w:szCs w:val="21"/>
          <w:highlight w:val="none"/>
        </w:rPr>
        <w:t>10</w:t>
      </w:r>
      <w:r>
        <w:rPr>
          <w:rFonts w:ascii="宋体" w:hAnsi="宋体"/>
          <w:szCs w:val="21"/>
          <w:highlight w:val="none"/>
        </w:rPr>
        <w:t>.2</w:t>
      </w:r>
      <w:r>
        <w:rPr>
          <w:rFonts w:ascii="宋体" w:hAnsi="宋体"/>
          <w:szCs w:val="21"/>
          <w:highlight w:val="none"/>
        </w:rPr>
        <w:tab/>
      </w:r>
      <w:r>
        <w:rPr>
          <w:rFonts w:hint="eastAsia" w:ascii="宋体" w:hAnsi="宋体"/>
          <w:szCs w:val="21"/>
          <w:highlight w:val="none"/>
        </w:rPr>
        <w:t>上款所述的证明文件，可以是文字资料、图纸和数据，</w:t>
      </w:r>
      <w:bookmarkEnd w:id="105"/>
      <w:r>
        <w:rPr>
          <w:rFonts w:hint="eastAsia" w:ascii="宋体" w:hAnsi="宋体"/>
          <w:szCs w:val="21"/>
          <w:highlight w:val="none"/>
        </w:rPr>
        <w:t>它包括：</w:t>
      </w:r>
    </w:p>
    <w:p w14:paraId="51CE4168">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.2.1</w:t>
      </w:r>
      <w:r>
        <w:rPr>
          <w:rFonts w:ascii="宋体" w:hAnsi="宋体"/>
          <w:szCs w:val="21"/>
          <w:highlight w:val="none"/>
        </w:rPr>
        <w:tab/>
      </w:r>
      <w:r>
        <w:rPr>
          <w:rFonts w:hint="eastAsia" w:ascii="宋体" w:hAnsi="宋体"/>
          <w:szCs w:val="21"/>
          <w:highlight w:val="none"/>
        </w:rPr>
        <w:t>货物主要技术指标和性能的详细说明。</w:t>
      </w:r>
    </w:p>
    <w:p w14:paraId="21E68A72">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.2.2</w:t>
      </w:r>
      <w:r>
        <w:rPr>
          <w:rFonts w:ascii="宋体" w:hAnsi="宋体"/>
          <w:szCs w:val="21"/>
          <w:highlight w:val="none"/>
        </w:rPr>
        <w:tab/>
      </w:r>
      <w:r>
        <w:rPr>
          <w:rFonts w:hint="eastAsia" w:ascii="宋体" w:hAnsi="宋体"/>
          <w:szCs w:val="21"/>
          <w:highlight w:val="none"/>
        </w:rPr>
        <w:t>货物从买方开始使用至招标文件规定的保质期内正常、连续地使用所必须的备件和专用工具清单，包括备件和专用工具的货源及现行价格。</w:t>
      </w:r>
    </w:p>
    <w:p w14:paraId="11C12370">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.2.3</w:t>
      </w:r>
      <w:r>
        <w:rPr>
          <w:rFonts w:ascii="宋体" w:hAnsi="宋体"/>
          <w:szCs w:val="21"/>
          <w:highlight w:val="none"/>
        </w:rPr>
        <w:tab/>
      </w:r>
      <w:r>
        <w:rPr>
          <w:rFonts w:hint="eastAsia" w:ascii="宋体" w:hAnsi="宋体"/>
          <w:szCs w:val="21"/>
          <w:highlight w:val="none"/>
        </w:rPr>
        <w:t>对照招标文件技术规格，逐条说明所提供货物和服务已对招标文件的技术规格做出了实质性的响应，或申明与技术规格条文的偏差和例外。</w:t>
      </w:r>
    </w:p>
    <w:p w14:paraId="60D13CF8">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人应注意招标人在技术规格中指出的工艺、材料和设备的专有名称、参照牌号或分类号仅起说明作用，并没有任何限制性。投标人在投标中可以选用替代牌号或分类号，但这些替代要实质上相当于技术规格的要求。招标采购单位承诺不以上述设备专有名称、参考牌号或分类号作为评标时确定无效投标的取舍标准。</w:t>
      </w:r>
    </w:p>
    <w:p w14:paraId="71323DD1">
      <w:pPr>
        <w:spacing w:line="360" w:lineRule="auto"/>
        <w:ind w:left="788" w:hanging="787" w:hangingChars="375"/>
        <w:rPr>
          <w:rFonts w:hint="eastAsia" w:ascii="宋体" w:hAnsi="宋体"/>
          <w:szCs w:val="21"/>
          <w:highlight w:val="none"/>
        </w:rPr>
      </w:pPr>
      <w:r>
        <w:rPr>
          <w:rFonts w:hint="eastAsia" w:ascii="宋体" w:hAnsi="宋体"/>
          <w:szCs w:val="21"/>
          <w:highlight w:val="none"/>
        </w:rPr>
        <w:t>10.4   本条所指证明文件不得为对招标文件相关部分的文字、图标的复制。</w:t>
      </w:r>
    </w:p>
    <w:p w14:paraId="445B6CD2">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6" w:name="_Toc520356155"/>
      <w:bookmarkStart w:id="107" w:name="_Toc109736041"/>
      <w:r>
        <w:rPr>
          <w:rFonts w:hint="eastAsia" w:ascii="宋体" w:hAnsi="宋体" w:eastAsia="宋体" w:cs="Times New Roman"/>
          <w:b/>
          <w:bCs/>
          <w:sz w:val="21"/>
          <w:szCs w:val="21"/>
          <w:highlight w:val="none"/>
        </w:rPr>
        <w:t>11.</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投标报价</w:t>
      </w:r>
      <w:bookmarkEnd w:id="106"/>
      <w:bookmarkEnd w:id="107"/>
    </w:p>
    <w:p w14:paraId="5A306D2F">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所有投标均以人民币报价。投标人的投标报价应遵守《中华人民共和国价格法》。</w:t>
      </w:r>
    </w:p>
    <w:p w14:paraId="78326561">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val="en-US" w:eastAsia="zh-CN"/>
        </w:rPr>
        <w:t>开标一览表</w:t>
      </w:r>
      <w:r>
        <w:rPr>
          <w:rFonts w:hint="eastAsia" w:ascii="宋体" w:hAnsi="宋体"/>
          <w:szCs w:val="21"/>
          <w:highlight w:val="none"/>
        </w:rPr>
        <w:t>上标明投标货物及相关服务的单价（如适用）和总价（如适用），并由法定代表人或其授权代表签署。</w:t>
      </w:r>
    </w:p>
    <w:p w14:paraId="7EEBD43F">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投标分项报价表上的价格应按下列方式填写：</w:t>
      </w:r>
    </w:p>
    <w:p w14:paraId="0FE2818E">
      <w:pPr>
        <w:spacing w:line="360" w:lineRule="auto"/>
        <w:ind w:left="788" w:hanging="787" w:hangingChars="375"/>
        <w:rPr>
          <w:rFonts w:hint="eastAsia" w:ascii="宋体" w:hAnsi="宋体"/>
          <w:szCs w:val="21"/>
          <w:highlight w:val="none"/>
        </w:rPr>
      </w:pPr>
      <w:r>
        <w:rPr>
          <w:rFonts w:hint="eastAsia" w:ascii="宋体" w:hAnsi="宋体"/>
          <w:szCs w:val="21"/>
          <w:highlight w:val="none"/>
        </w:rPr>
        <w:t>11.3.1  投标货物（包括备品备件、专用工具等）的出厂价（包括已在中国国内的进口货物完税后的仓库交货价、展室交货价或货架交货价），投标货物安装、调试、检验、技术服务和培训等费用；</w:t>
      </w:r>
    </w:p>
    <w:p w14:paraId="18C1632E">
      <w:pPr>
        <w:spacing w:line="360" w:lineRule="auto"/>
        <w:ind w:left="788" w:hanging="787" w:hangingChars="375"/>
        <w:rPr>
          <w:rFonts w:hint="eastAsia" w:ascii="宋体" w:hAnsi="宋体"/>
          <w:szCs w:val="21"/>
          <w:highlight w:val="none"/>
        </w:rPr>
      </w:pPr>
      <w:r>
        <w:rPr>
          <w:rFonts w:hint="eastAsia" w:ascii="宋体" w:hAnsi="宋体"/>
          <w:szCs w:val="21"/>
          <w:highlight w:val="none"/>
        </w:rPr>
        <w:t>11.3.2  货物运至最终目的地的运输费和保险费用。</w:t>
      </w:r>
    </w:p>
    <w:p w14:paraId="3FDF76AA">
      <w:pPr>
        <w:spacing w:line="360" w:lineRule="auto"/>
        <w:ind w:left="788" w:hanging="787" w:hangingChars="375"/>
        <w:rPr>
          <w:rFonts w:ascii="宋体" w:hAnsi="宋体"/>
          <w:szCs w:val="21"/>
          <w:highlight w:val="none"/>
        </w:rPr>
      </w:pPr>
      <w:r>
        <w:rPr>
          <w:rFonts w:hint="eastAsia" w:ascii="宋体" w:hAnsi="宋体"/>
          <w:szCs w:val="21"/>
          <w:highlight w:val="none"/>
        </w:rPr>
        <w:t>11</w:t>
      </w:r>
      <w:r>
        <w:rPr>
          <w:rFonts w:ascii="宋体" w:hAnsi="宋体"/>
          <w:szCs w:val="21"/>
          <w:highlight w:val="none"/>
        </w:rPr>
        <w:t>.</w:t>
      </w: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为了方便评标委员会对投标文件进行比较，投标人可根据本须知11</w:t>
      </w:r>
      <w:r>
        <w:rPr>
          <w:rFonts w:ascii="宋体" w:hAnsi="宋体"/>
          <w:szCs w:val="21"/>
          <w:highlight w:val="none"/>
        </w:rPr>
        <w:t>.3</w:t>
      </w:r>
      <w:r>
        <w:rPr>
          <w:rFonts w:hint="eastAsia" w:ascii="宋体" w:hAnsi="宋体"/>
          <w:szCs w:val="21"/>
          <w:highlight w:val="none"/>
        </w:rPr>
        <w:t>条的规定将投标价分成几部分，并不限制买方以上述任何条件订立合同的权利。</w:t>
      </w:r>
    </w:p>
    <w:p w14:paraId="00FF56B0">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.5</w:t>
      </w:r>
      <w:r>
        <w:rPr>
          <w:rFonts w:ascii="宋体" w:hAnsi="宋体"/>
          <w:szCs w:val="21"/>
          <w:highlight w:val="none"/>
        </w:rPr>
        <w:tab/>
      </w:r>
      <w:r>
        <w:rPr>
          <w:rFonts w:hint="eastAsia" w:ascii="宋体" w:hAnsi="宋体"/>
          <w:szCs w:val="21"/>
          <w:highlight w:val="none"/>
        </w:rPr>
        <w:t>投标人所报的各分项投标单价在合同履行过程中是固定不变的，不得以任何理由予以变更。任何包含价格调整要求的投标，依据本须知第21条规定，将被认为是无效投标而被拒绝。</w:t>
      </w:r>
    </w:p>
    <w:p w14:paraId="15FC3852">
      <w:pPr>
        <w:spacing w:line="360" w:lineRule="auto"/>
        <w:ind w:left="788" w:hanging="787" w:hangingChars="375"/>
        <w:rPr>
          <w:rFonts w:hint="eastAsia" w:ascii="宋体" w:hAnsi="宋体"/>
          <w:szCs w:val="21"/>
          <w:highlight w:val="none"/>
        </w:rPr>
      </w:pPr>
      <w:r>
        <w:rPr>
          <w:rFonts w:hint="eastAsia" w:ascii="宋体" w:hAnsi="宋体"/>
          <w:szCs w:val="21"/>
          <w:highlight w:val="none"/>
        </w:rPr>
        <w:t>11.6</w:t>
      </w:r>
      <w:r>
        <w:rPr>
          <w:rFonts w:hint="eastAsia" w:ascii="宋体" w:hAnsi="宋体"/>
          <w:szCs w:val="21"/>
          <w:highlight w:val="none"/>
        </w:rPr>
        <w:tab/>
      </w:r>
      <w:r>
        <w:rPr>
          <w:rFonts w:hint="eastAsia" w:ascii="宋体" w:hAnsi="宋体"/>
          <w:szCs w:val="21"/>
          <w:highlight w:val="none"/>
        </w:rPr>
        <w:t>每种货物只能有一个投标报价。招标采购单位不接受具有附加条件的报价。</w:t>
      </w:r>
    </w:p>
    <w:p w14:paraId="7AB5B58E">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8" w:name="_Toc520356156"/>
      <w:bookmarkStart w:id="109" w:name="_Toc109736042"/>
      <w:bookmarkStart w:id="110" w:name="_Ref467306513"/>
      <w:r>
        <w:rPr>
          <w:rFonts w:hint="eastAsia" w:ascii="宋体" w:hAnsi="宋体" w:eastAsia="宋体" w:cs="Times New Roman"/>
          <w:b/>
          <w:bCs/>
          <w:sz w:val="21"/>
          <w:szCs w:val="21"/>
          <w:highlight w:val="none"/>
        </w:rPr>
        <w:t xml:space="preserve">12.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投标保证金</w:t>
      </w:r>
      <w:bookmarkEnd w:id="108"/>
      <w:bookmarkEnd w:id="109"/>
      <w:bookmarkEnd w:id="110"/>
    </w:p>
    <w:p w14:paraId="396F8DC5">
      <w:pPr>
        <w:spacing w:line="360" w:lineRule="auto"/>
        <w:ind w:left="788" w:hanging="787" w:hangingChars="375"/>
        <w:rPr>
          <w:rFonts w:hint="eastAsia" w:ascii="宋体" w:hAnsi="宋体"/>
          <w:szCs w:val="21"/>
          <w:highlight w:val="none"/>
        </w:rPr>
      </w:pPr>
      <w:bookmarkStart w:id="111" w:name="_Ref467306302"/>
      <w:r>
        <w:rPr>
          <w:rFonts w:ascii="宋体" w:hAnsi="宋体"/>
          <w:szCs w:val="21"/>
          <w:highlight w:val="none"/>
        </w:rPr>
        <w:t>1</w:t>
      </w:r>
      <w:r>
        <w:rPr>
          <w:rFonts w:hint="eastAsia" w:ascii="宋体" w:hAnsi="宋体"/>
          <w:szCs w:val="21"/>
          <w:highlight w:val="none"/>
        </w:rPr>
        <w:t>2</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投标人应提供</w:t>
      </w:r>
      <w:r>
        <w:rPr>
          <w:rFonts w:hint="eastAsia" w:ascii="宋体" w:hAnsi="宋体"/>
          <w:szCs w:val="21"/>
          <w:highlight w:val="none"/>
          <w:u w:val="single"/>
        </w:rPr>
        <w:t>投标人须知资料表</w:t>
      </w:r>
      <w:r>
        <w:rPr>
          <w:rFonts w:hint="eastAsia" w:ascii="宋体" w:hAnsi="宋体"/>
          <w:szCs w:val="21"/>
          <w:highlight w:val="none"/>
        </w:rPr>
        <w:t>中规定的投标保证金</w:t>
      </w:r>
      <w:bookmarkEnd w:id="111"/>
      <w:r>
        <w:rPr>
          <w:rFonts w:hint="eastAsia" w:ascii="宋体" w:hAnsi="宋体"/>
          <w:szCs w:val="21"/>
          <w:highlight w:val="none"/>
        </w:rPr>
        <w:t>，并作为其投标的一部分。</w:t>
      </w:r>
    </w:p>
    <w:p w14:paraId="7A4B2CBA">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2</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投标保证金是为了保护招标采购单位免遭因投标人的行为蒙受损失而要求的。</w:t>
      </w:r>
    </w:p>
    <w:p w14:paraId="116C88CA">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下列任何情况发生，投标保证金将被没收：</w:t>
      </w:r>
    </w:p>
    <w:p w14:paraId="40035A9F">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（1）在开标之日后到投标有效期满前，投标人擅自撤回投标的；</w:t>
      </w:r>
    </w:p>
    <w:p w14:paraId="653EEC7B">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（2）中标投标人不按本须知的规定与招标人签订合同的；</w:t>
      </w:r>
    </w:p>
    <w:p w14:paraId="54C8FC20">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（3）中标投标人不按本须知的规定提交履约保证金的；</w:t>
      </w:r>
    </w:p>
    <w:p w14:paraId="36182D5B">
      <w:pPr>
        <w:spacing w:line="360" w:lineRule="auto"/>
        <w:ind w:left="788" w:hanging="787" w:hangingChars="375"/>
        <w:rPr>
          <w:rFonts w:ascii="宋体" w:hAnsi="宋体"/>
          <w:szCs w:val="21"/>
          <w:highlight w:val="none"/>
        </w:rPr>
      </w:pPr>
      <w:bookmarkStart w:id="112" w:name="_Ref467306336"/>
      <w:r>
        <w:rPr>
          <w:rFonts w:hint="eastAsia" w:ascii="宋体" w:hAnsi="宋体"/>
          <w:szCs w:val="21"/>
          <w:highlight w:val="none"/>
        </w:rPr>
        <w:t>12.3</w:t>
      </w:r>
      <w:r>
        <w:rPr>
          <w:rFonts w:hint="eastAsia" w:ascii="宋体" w:hAnsi="宋体"/>
          <w:szCs w:val="21"/>
          <w:highlight w:val="none"/>
        </w:rPr>
        <w:tab/>
      </w:r>
      <w:r>
        <w:rPr>
          <w:rFonts w:hint="eastAsia" w:ascii="宋体" w:hAnsi="宋体"/>
          <w:szCs w:val="21"/>
          <w:highlight w:val="none"/>
        </w:rPr>
        <w:t>投标保证金可采用下列形式之一：</w:t>
      </w:r>
      <w:bookmarkEnd w:id="112"/>
    </w:p>
    <w:p w14:paraId="484C3A1B">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扬州地区：支票、汇票、电汇，</w:t>
      </w:r>
      <w:r>
        <w:rPr>
          <w:rFonts w:ascii="宋体" w:hAnsi="宋体"/>
          <w:szCs w:val="21"/>
          <w:highlight w:val="none"/>
        </w:rPr>
        <w:t>以及</w:t>
      </w:r>
      <w:r>
        <w:rPr>
          <w:rFonts w:hint="eastAsia" w:ascii="宋体" w:hAnsi="宋体"/>
          <w:szCs w:val="21"/>
          <w:highlight w:val="none"/>
        </w:rPr>
        <w:t>招标采购单位可接受的其他形式</w:t>
      </w:r>
    </w:p>
    <w:p w14:paraId="633C03C4">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外埠：汇票、电汇，</w:t>
      </w:r>
      <w:r>
        <w:rPr>
          <w:rFonts w:ascii="宋体" w:hAnsi="宋体"/>
          <w:szCs w:val="21"/>
          <w:highlight w:val="none"/>
        </w:rPr>
        <w:t>以及</w:t>
      </w:r>
      <w:r>
        <w:rPr>
          <w:rFonts w:hint="eastAsia" w:ascii="宋体" w:hAnsi="宋体"/>
          <w:szCs w:val="21"/>
          <w:highlight w:val="none"/>
        </w:rPr>
        <w:t>招标采购单位可接受的其他形式</w:t>
      </w:r>
    </w:p>
    <w:p w14:paraId="49D630AE">
      <w:pPr>
        <w:spacing w:line="360" w:lineRule="auto"/>
        <w:ind w:left="788" w:hanging="787" w:hangingChars="375"/>
        <w:rPr>
          <w:rFonts w:hint="eastAsia" w:ascii="宋体" w:hAnsi="宋体"/>
          <w:szCs w:val="21"/>
          <w:highlight w:val="none"/>
        </w:rPr>
      </w:pPr>
      <w:r>
        <w:rPr>
          <w:rFonts w:hint="eastAsia" w:ascii="宋体" w:hAnsi="宋体"/>
          <w:szCs w:val="21"/>
          <w:highlight w:val="none"/>
        </w:rPr>
        <w:t>12.4</w:t>
      </w:r>
      <w:r>
        <w:rPr>
          <w:rFonts w:hint="eastAsia" w:ascii="宋体" w:hAnsi="宋体"/>
          <w:szCs w:val="21"/>
          <w:highlight w:val="none"/>
        </w:rPr>
        <w:tab/>
      </w:r>
      <w:r>
        <w:rPr>
          <w:rFonts w:hint="eastAsia" w:ascii="宋体" w:hAnsi="宋体"/>
          <w:szCs w:val="21"/>
          <w:highlight w:val="none"/>
        </w:rPr>
        <w:t>凡没有根据本须知12</w:t>
      </w:r>
      <w:r>
        <w:rPr>
          <w:rFonts w:ascii="宋体" w:hAnsi="宋体"/>
          <w:szCs w:val="21"/>
          <w:highlight w:val="none"/>
        </w:rPr>
        <w:t>.1</w:t>
      </w:r>
      <w:r>
        <w:rPr>
          <w:rFonts w:hint="eastAsia" w:ascii="宋体" w:hAnsi="宋体"/>
          <w:szCs w:val="21"/>
          <w:highlight w:val="none"/>
        </w:rPr>
        <w:t>和第</w:t>
      </w:r>
      <w:r>
        <w:rPr>
          <w:rFonts w:ascii="宋体" w:hAnsi="宋体"/>
          <w:szCs w:val="21"/>
          <w:highlight w:val="none"/>
        </w:rPr>
        <w:t>1</w:t>
      </w:r>
      <w:r>
        <w:rPr>
          <w:rFonts w:hint="eastAsia" w:ascii="宋体" w:hAnsi="宋体"/>
          <w:szCs w:val="21"/>
          <w:highlight w:val="none"/>
        </w:rPr>
        <w:t>2</w:t>
      </w:r>
      <w:r>
        <w:rPr>
          <w:rFonts w:ascii="宋体" w:hAnsi="宋体"/>
          <w:szCs w:val="21"/>
          <w:highlight w:val="none"/>
        </w:rPr>
        <w:t>.3</w:t>
      </w:r>
      <w:r>
        <w:rPr>
          <w:rFonts w:hint="eastAsia" w:ascii="宋体" w:hAnsi="宋体"/>
          <w:szCs w:val="21"/>
          <w:highlight w:val="none"/>
        </w:rPr>
        <w:t>条的规定，随附投标保证金的投标，将被视为无效投标被拒绝。</w:t>
      </w:r>
    </w:p>
    <w:p w14:paraId="0CD24F42">
      <w:pPr>
        <w:spacing w:line="360" w:lineRule="auto"/>
        <w:ind w:left="788" w:hanging="787" w:hangingChars="375"/>
        <w:rPr>
          <w:rFonts w:ascii="宋体" w:hAnsi="宋体"/>
          <w:szCs w:val="21"/>
          <w:highlight w:val="none"/>
        </w:rPr>
      </w:pPr>
      <w:r>
        <w:rPr>
          <w:rFonts w:hint="eastAsia" w:ascii="宋体" w:hAnsi="宋体"/>
          <w:szCs w:val="21"/>
          <w:highlight w:val="none"/>
        </w:rPr>
        <w:t>12.5   联合体投标的，可以由联合体中的一方或者共同提交投标保证金，以一方名义提交投标保证金的，对联合体各方均具有约束力。</w:t>
      </w:r>
    </w:p>
    <w:p w14:paraId="570F5744">
      <w:pPr>
        <w:spacing w:line="360" w:lineRule="auto"/>
        <w:ind w:left="788" w:hanging="787" w:hangingChars="375"/>
        <w:rPr>
          <w:rFonts w:hint="eastAsia" w:ascii="宋体" w:hAnsi="宋体"/>
          <w:b/>
          <w:szCs w:val="21"/>
          <w:highlight w:val="none"/>
        </w:rPr>
      </w:pPr>
      <w:r>
        <w:rPr>
          <w:rFonts w:hint="eastAsia" w:ascii="宋体" w:hAnsi="宋体"/>
          <w:szCs w:val="21"/>
          <w:highlight w:val="none"/>
        </w:rPr>
        <w:t>12.6</w:t>
      </w:r>
      <w:r>
        <w:rPr>
          <w:rFonts w:hint="eastAsia" w:ascii="宋体" w:hAnsi="宋体"/>
          <w:szCs w:val="21"/>
          <w:highlight w:val="none"/>
        </w:rPr>
        <w:tab/>
      </w:r>
      <w:r>
        <w:rPr>
          <w:rFonts w:hint="eastAsia" w:ascii="宋体" w:hAnsi="宋体"/>
          <w:b/>
          <w:szCs w:val="21"/>
          <w:highlight w:val="none"/>
        </w:rPr>
        <w:t>投标人必须填写投标保证金退回表（格式详见本章附件2），投标时和投标保证金一并密封于一信封内。</w:t>
      </w:r>
    </w:p>
    <w:p w14:paraId="5941061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3" w:name="_Toc109736043"/>
      <w:bookmarkStart w:id="114" w:name="_Toc520356157"/>
      <w:r>
        <w:rPr>
          <w:rFonts w:hint="eastAsia" w:ascii="宋体" w:hAnsi="宋体" w:eastAsia="宋体" w:cs="Times New Roman"/>
          <w:b/>
          <w:bCs/>
          <w:sz w:val="21"/>
          <w:szCs w:val="21"/>
          <w:highlight w:val="none"/>
        </w:rPr>
        <w:t>13.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投标有效期</w:t>
      </w:r>
      <w:bookmarkEnd w:id="113"/>
      <w:bookmarkEnd w:id="114"/>
    </w:p>
    <w:p w14:paraId="763FF449">
      <w:pPr>
        <w:spacing w:line="360" w:lineRule="auto"/>
        <w:ind w:left="788" w:hanging="787" w:hangingChars="375"/>
        <w:rPr>
          <w:rFonts w:ascii="宋体" w:hAnsi="宋体"/>
          <w:szCs w:val="21"/>
          <w:highlight w:val="none"/>
        </w:rPr>
      </w:pPr>
      <w:r>
        <w:rPr>
          <w:rFonts w:hint="eastAsia" w:ascii="宋体" w:hAnsi="宋体"/>
          <w:szCs w:val="21"/>
          <w:highlight w:val="none"/>
        </w:rPr>
        <w:t>13.1</w:t>
      </w:r>
      <w:r>
        <w:rPr>
          <w:rFonts w:hint="eastAsia" w:ascii="宋体" w:hAnsi="宋体"/>
          <w:szCs w:val="21"/>
          <w:highlight w:val="none"/>
        </w:rPr>
        <w:tab/>
      </w:r>
      <w:r>
        <w:rPr>
          <w:rFonts w:hint="eastAsia" w:ascii="宋体" w:hAnsi="宋体"/>
          <w:szCs w:val="21"/>
          <w:highlight w:val="none"/>
        </w:rPr>
        <w:t>投标应在规定的开标日后，按照</w:t>
      </w:r>
      <w:r>
        <w:rPr>
          <w:rFonts w:hint="eastAsia" w:ascii="宋体" w:hAnsi="宋体"/>
          <w:szCs w:val="21"/>
          <w:highlight w:val="none"/>
          <w:u w:val="single"/>
        </w:rPr>
        <w:t>投标人须知资料表</w:t>
      </w:r>
      <w:r>
        <w:rPr>
          <w:rFonts w:hint="eastAsia" w:ascii="宋体" w:hAnsi="宋体"/>
          <w:szCs w:val="21"/>
          <w:highlight w:val="none"/>
        </w:rPr>
        <w:t>中规定时间内保持有效，投标有效期不满足要求的投标将被视为无效投标被拒绝。</w:t>
      </w:r>
    </w:p>
    <w:p w14:paraId="26B2762D">
      <w:pPr>
        <w:spacing w:line="360" w:lineRule="auto"/>
        <w:ind w:left="788" w:hanging="787" w:hangingChars="375"/>
        <w:rPr>
          <w:rFonts w:ascii="宋体" w:hAnsi="宋体"/>
          <w:szCs w:val="21"/>
          <w:highlight w:val="none"/>
        </w:rPr>
      </w:pPr>
      <w:r>
        <w:rPr>
          <w:rFonts w:hint="eastAsia" w:ascii="宋体" w:hAnsi="宋体"/>
          <w:szCs w:val="21"/>
          <w:highlight w:val="none"/>
        </w:rPr>
        <w:t>13.2</w:t>
      </w:r>
      <w:r>
        <w:rPr>
          <w:rFonts w:hint="eastAsia" w:ascii="宋体" w:hAnsi="宋体"/>
          <w:szCs w:val="21"/>
          <w:highlight w:val="none"/>
        </w:rPr>
        <w:tab/>
      </w:r>
      <w:r>
        <w:rPr>
          <w:rFonts w:hint="eastAsia" w:ascii="宋体" w:hAnsi="宋体"/>
          <w:szCs w:val="21"/>
          <w:highlight w:val="none"/>
        </w:rPr>
        <w:t>招标采购单位可根据实际情况，在原投标有效期截止之前，要求投标人延长投标文件的有效期。接受该要求的投标人将不会被要求和允许修正其投标，且本须知中有关投标保证金的要求将在延长了的有效期内继续有效。投标人也可以拒绝招标采购单位的这种要求，其投标保证金将不会被没收。上述要求和答复都应以书面形式提交。</w:t>
      </w:r>
    </w:p>
    <w:p w14:paraId="4861461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5" w:name="_Toc520356158"/>
      <w:bookmarkStart w:id="116" w:name="_Toc109736044"/>
      <w:r>
        <w:rPr>
          <w:rFonts w:hint="eastAsia" w:ascii="宋体" w:hAnsi="宋体" w:eastAsia="宋体" w:cs="Times New Roman"/>
          <w:b/>
          <w:bCs/>
          <w:sz w:val="21"/>
          <w:szCs w:val="21"/>
          <w:highlight w:val="none"/>
        </w:rPr>
        <w:t xml:space="preserve">14.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投标文件的签署</w:t>
      </w:r>
      <w:bookmarkEnd w:id="115"/>
      <w:r>
        <w:rPr>
          <w:rFonts w:hint="eastAsia" w:ascii="宋体" w:hAnsi="宋体" w:eastAsia="宋体" w:cs="Times New Roman"/>
          <w:b/>
          <w:bCs/>
          <w:sz w:val="21"/>
          <w:szCs w:val="21"/>
          <w:highlight w:val="none"/>
        </w:rPr>
        <w:t>及规定</w:t>
      </w:r>
      <w:bookmarkEnd w:id="116"/>
    </w:p>
    <w:p w14:paraId="3D6D85DC">
      <w:pPr>
        <w:spacing w:line="360" w:lineRule="auto"/>
        <w:ind w:left="788" w:hanging="787" w:hangingChars="375"/>
        <w:rPr>
          <w:rFonts w:hint="eastAsia" w:ascii="宋体" w:hAnsi="宋体"/>
          <w:szCs w:val="21"/>
          <w:highlight w:val="none"/>
        </w:rPr>
      </w:pPr>
      <w:r>
        <w:rPr>
          <w:rFonts w:hint="eastAsia" w:ascii="宋体" w:hAnsi="宋体"/>
          <w:szCs w:val="21"/>
          <w:highlight w:val="none"/>
        </w:rPr>
        <w:t>14.1</w:t>
      </w:r>
      <w:r>
        <w:rPr>
          <w:rFonts w:hint="eastAsia" w:ascii="宋体" w:hAnsi="宋体"/>
          <w:szCs w:val="21"/>
          <w:highlight w:val="none"/>
        </w:rPr>
        <w:tab/>
      </w:r>
      <w:r>
        <w:rPr>
          <w:rFonts w:hint="eastAsia" w:ascii="宋体" w:hAnsi="宋体"/>
          <w:szCs w:val="21"/>
          <w:highlight w:val="none"/>
        </w:rPr>
        <w:t>投标人应按</w:t>
      </w:r>
      <w:r>
        <w:rPr>
          <w:rFonts w:hint="eastAsia" w:ascii="宋体" w:hAnsi="宋体"/>
          <w:szCs w:val="21"/>
          <w:highlight w:val="none"/>
          <w:u w:val="single"/>
        </w:rPr>
        <w:t>投标人须知资料表</w:t>
      </w:r>
      <w:r>
        <w:rPr>
          <w:rFonts w:hint="eastAsia" w:ascii="宋体" w:hAnsi="宋体"/>
          <w:szCs w:val="21"/>
          <w:highlight w:val="none"/>
        </w:rPr>
        <w:t>中的规定准备和递交投标文件正本、副本和电子文档，每份纸质投标文件须清楚地标明“正本”或“副本”。若正本和副本不符，以正本为准。</w:t>
      </w:r>
    </w:p>
    <w:p w14:paraId="101A0622">
      <w:pPr>
        <w:spacing w:line="360" w:lineRule="auto"/>
        <w:ind w:left="788" w:hanging="787" w:hangingChars="375"/>
        <w:rPr>
          <w:rFonts w:ascii="宋体" w:hAnsi="宋体"/>
          <w:szCs w:val="21"/>
          <w:highlight w:val="none"/>
        </w:rPr>
      </w:pPr>
      <w:r>
        <w:rPr>
          <w:rFonts w:hint="eastAsia" w:ascii="宋体" w:hAnsi="宋体"/>
          <w:szCs w:val="21"/>
          <w:highlight w:val="none"/>
        </w:rPr>
        <w:t>14.2</w:t>
      </w:r>
      <w:r>
        <w:rPr>
          <w:rFonts w:hint="eastAsia" w:ascii="宋体" w:hAnsi="宋体"/>
          <w:szCs w:val="21"/>
          <w:highlight w:val="none"/>
        </w:rPr>
        <w:tab/>
      </w:r>
      <w:r>
        <w:rPr>
          <w:rFonts w:hint="eastAsia" w:ascii="宋体" w:hAnsi="宋体"/>
          <w:szCs w:val="21"/>
          <w:highlight w:val="none"/>
        </w:rPr>
        <w:t>投标文件的正本需打印或用不褪色墨水书写，并由投标人的法定代表人或经其正式授权的代表按招标文件规定在投标文件上签字并加盖单位印章。授权代表须持有书面的“法定代表人授权书”（标准格式附后）。如对投标文件进行了修改，则应由投标人的法定代表人或经其正式授权的代表在每一修改处签字。投标文件正本中印章及签字必须为原件，投标文件的副本可采用正本的复印件或带印章及签字的扫描件。</w:t>
      </w:r>
    </w:p>
    <w:p w14:paraId="4424A892">
      <w:pPr>
        <w:spacing w:line="360" w:lineRule="auto"/>
        <w:ind w:left="788" w:hanging="787" w:hangingChars="375"/>
        <w:rPr>
          <w:rFonts w:hint="eastAsia" w:ascii="宋体" w:hAnsi="宋体"/>
          <w:szCs w:val="21"/>
          <w:highlight w:val="none"/>
        </w:rPr>
      </w:pPr>
      <w:r>
        <w:rPr>
          <w:rFonts w:hint="eastAsia" w:ascii="宋体" w:hAnsi="宋体"/>
          <w:szCs w:val="21"/>
          <w:highlight w:val="none"/>
        </w:rPr>
        <w:t>14.3</w:t>
      </w:r>
      <w:r>
        <w:rPr>
          <w:rFonts w:hint="eastAsia" w:ascii="宋体" w:hAnsi="宋体"/>
          <w:szCs w:val="21"/>
          <w:highlight w:val="none"/>
        </w:rPr>
        <w:tab/>
      </w:r>
      <w:r>
        <w:rPr>
          <w:rFonts w:hint="eastAsia" w:ascii="宋体" w:hAnsi="宋体"/>
          <w:szCs w:val="21"/>
          <w:highlight w:val="none"/>
        </w:rPr>
        <w:t>任何行间插字、涂改和增删，必须由投标文件签字人签字或盖章后才有效。</w:t>
      </w:r>
    </w:p>
    <w:p w14:paraId="0D188F05">
      <w:pPr>
        <w:spacing w:line="360" w:lineRule="auto"/>
        <w:ind w:left="788" w:hanging="787" w:hangingChars="375"/>
        <w:rPr>
          <w:rFonts w:hint="eastAsia" w:ascii="宋体" w:hAnsi="宋体"/>
          <w:szCs w:val="21"/>
          <w:highlight w:val="none"/>
        </w:rPr>
      </w:pPr>
      <w:r>
        <w:rPr>
          <w:rFonts w:hint="eastAsia" w:ascii="宋体" w:hAnsi="宋体"/>
          <w:szCs w:val="21"/>
          <w:highlight w:val="none"/>
        </w:rPr>
        <w:t>14.4</w:t>
      </w:r>
      <w:r>
        <w:rPr>
          <w:rFonts w:hint="eastAsia" w:ascii="宋体" w:hAnsi="宋体"/>
          <w:szCs w:val="21"/>
          <w:highlight w:val="none"/>
        </w:rPr>
        <w:tab/>
      </w:r>
      <w:r>
        <w:rPr>
          <w:rFonts w:hint="eastAsia" w:ascii="宋体" w:hAnsi="宋体"/>
          <w:szCs w:val="21"/>
          <w:highlight w:val="none"/>
        </w:rPr>
        <w:t>投标文件因字迹潦草、表达不清或</w:t>
      </w:r>
      <w:r>
        <w:rPr>
          <w:rFonts w:ascii="宋体" w:hAnsi="宋体"/>
          <w:szCs w:val="21"/>
          <w:highlight w:val="none"/>
        </w:rPr>
        <w:t>装订不当</w:t>
      </w:r>
      <w:r>
        <w:rPr>
          <w:rFonts w:hint="eastAsia" w:ascii="宋体" w:hAnsi="宋体"/>
          <w:szCs w:val="21"/>
          <w:highlight w:val="none"/>
        </w:rPr>
        <w:t>所引起的后果由投标人负责。</w:t>
      </w:r>
    </w:p>
    <w:p w14:paraId="7C3D2C33">
      <w:pPr>
        <w:spacing w:line="360" w:lineRule="auto"/>
        <w:ind w:left="788" w:hanging="787" w:hangingChars="375"/>
        <w:rPr>
          <w:rFonts w:ascii="宋体" w:hAnsi="宋体"/>
          <w:szCs w:val="21"/>
          <w:highlight w:val="none"/>
        </w:rPr>
      </w:pPr>
    </w:p>
    <w:p w14:paraId="76F068EA">
      <w:pPr>
        <w:pStyle w:val="4"/>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117" w:name="_Toc216582808"/>
      <w:bookmarkStart w:id="118" w:name="_Toc23629"/>
      <w:bookmarkStart w:id="119" w:name="_Toc520356159"/>
      <w:bookmarkStart w:id="120" w:name="_Toc109736045"/>
      <w:r>
        <w:rPr>
          <w:rFonts w:hint="eastAsia" w:ascii="宋体" w:hAnsi="宋体" w:eastAsia="宋体"/>
          <w:sz w:val="24"/>
          <w:szCs w:val="24"/>
          <w:highlight w:val="none"/>
        </w:rPr>
        <w:t>四   投标文件的递交</w:t>
      </w:r>
      <w:bookmarkEnd w:id="117"/>
      <w:bookmarkEnd w:id="118"/>
      <w:bookmarkEnd w:id="119"/>
      <w:bookmarkEnd w:id="120"/>
    </w:p>
    <w:p w14:paraId="788F507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1" w:name="_Toc109736046"/>
      <w:bookmarkStart w:id="122" w:name="_Toc520356160"/>
      <w:r>
        <w:rPr>
          <w:rFonts w:hint="eastAsia" w:ascii="宋体" w:hAnsi="宋体" w:eastAsia="宋体" w:cs="Times New Roman"/>
          <w:b/>
          <w:bCs/>
          <w:sz w:val="21"/>
          <w:szCs w:val="21"/>
          <w:highlight w:val="none"/>
        </w:rPr>
        <w:t xml:space="preserve">15.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投标文件的密封和标记</w:t>
      </w:r>
      <w:bookmarkEnd w:id="121"/>
      <w:bookmarkEnd w:id="122"/>
    </w:p>
    <w:p w14:paraId="091ED61B">
      <w:pPr>
        <w:spacing w:line="360" w:lineRule="auto"/>
        <w:ind w:left="788" w:hanging="787" w:hangingChars="375"/>
        <w:rPr>
          <w:rFonts w:hint="eastAsia" w:ascii="宋体" w:hAnsi="宋体"/>
          <w:szCs w:val="21"/>
          <w:highlight w:val="none"/>
        </w:rPr>
      </w:pPr>
      <w:r>
        <w:rPr>
          <w:rFonts w:hint="eastAsia" w:ascii="宋体" w:hAnsi="宋体"/>
          <w:szCs w:val="21"/>
          <w:highlight w:val="none"/>
        </w:rPr>
        <w:t>15.1   投标时，投标人应将投标文件正本和副本分开单独密封，且在封皮正面标明“正本”或“副本”字样。</w:t>
      </w:r>
    </w:p>
    <w:p w14:paraId="552E88E5">
      <w:pPr>
        <w:spacing w:line="360" w:lineRule="auto"/>
        <w:ind w:left="788" w:hanging="787" w:hangingChars="375"/>
        <w:rPr>
          <w:rFonts w:hint="eastAsia" w:ascii="宋体" w:hAnsi="宋体"/>
          <w:szCs w:val="21"/>
          <w:highlight w:val="none"/>
        </w:rPr>
      </w:pPr>
      <w:r>
        <w:rPr>
          <w:rFonts w:hint="eastAsia" w:ascii="宋体" w:hAnsi="宋体"/>
          <w:szCs w:val="21"/>
          <w:highlight w:val="none"/>
        </w:rPr>
        <w:t>15.2   为方便开标唱标，投标人应将 “开标一览表</w:t>
      </w:r>
      <w:r>
        <w:rPr>
          <w:rFonts w:ascii="宋体" w:hAnsi="宋体"/>
          <w:szCs w:val="21"/>
          <w:highlight w:val="none"/>
        </w:rPr>
        <w:t>”</w:t>
      </w:r>
      <w:r>
        <w:rPr>
          <w:rFonts w:hint="eastAsia" w:ascii="宋体" w:hAnsi="宋体"/>
          <w:szCs w:val="21"/>
          <w:highlight w:val="none"/>
        </w:rPr>
        <w:t>单独密封，并在信封上标明“开标一览表”字样，在投标时单独递交。</w:t>
      </w:r>
    </w:p>
    <w:p w14:paraId="15C67D95">
      <w:pPr>
        <w:spacing w:line="360" w:lineRule="auto"/>
        <w:ind w:left="788" w:hanging="787" w:hangingChars="375"/>
        <w:rPr>
          <w:rFonts w:hint="eastAsia" w:ascii="宋体" w:hAnsi="宋体"/>
          <w:szCs w:val="21"/>
          <w:highlight w:val="none"/>
        </w:rPr>
      </w:pPr>
      <w:r>
        <w:rPr>
          <w:rFonts w:hint="eastAsia" w:ascii="宋体" w:hAnsi="宋体"/>
          <w:szCs w:val="21"/>
          <w:highlight w:val="none"/>
        </w:rPr>
        <w:t>15.3   为方便核查投标保证金，投标人应将“投标保证金（支票、汇票、保函正本、电汇底单复印件）</w:t>
      </w:r>
      <w:r>
        <w:rPr>
          <w:rFonts w:ascii="宋体" w:hAnsi="宋体"/>
          <w:szCs w:val="21"/>
          <w:highlight w:val="none"/>
        </w:rPr>
        <w:t>”</w:t>
      </w:r>
      <w:r>
        <w:rPr>
          <w:rFonts w:hint="eastAsia" w:ascii="宋体" w:hAnsi="宋体"/>
          <w:szCs w:val="21"/>
          <w:highlight w:val="none"/>
        </w:rPr>
        <w:t>单独密封于一信封，并在信封上标明 “投标保证金”字样，在投标时单独递交。</w:t>
      </w:r>
    </w:p>
    <w:p w14:paraId="1184486C">
      <w:pPr>
        <w:spacing w:line="360" w:lineRule="auto"/>
        <w:ind w:left="788" w:hanging="787" w:hangingChars="375"/>
        <w:rPr>
          <w:rFonts w:ascii="宋体" w:hAnsi="宋体"/>
          <w:szCs w:val="21"/>
          <w:highlight w:val="none"/>
        </w:rPr>
      </w:pPr>
      <w:r>
        <w:rPr>
          <w:rFonts w:hint="eastAsia" w:ascii="宋体" w:hAnsi="宋体"/>
          <w:szCs w:val="21"/>
          <w:highlight w:val="none"/>
        </w:rPr>
        <w:t>15.4    所有包装封皮和信封上均应：</w:t>
      </w:r>
    </w:p>
    <w:p w14:paraId="7637F17F">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（1）注明</w:t>
      </w:r>
      <w:r>
        <w:rPr>
          <w:rFonts w:hint="eastAsia" w:ascii="宋体" w:hAnsi="宋体"/>
          <w:szCs w:val="21"/>
          <w:highlight w:val="none"/>
          <w:lang w:eastAsia="zh-CN"/>
        </w:rPr>
        <w:t>采购公告</w:t>
      </w:r>
      <w:r>
        <w:rPr>
          <w:rFonts w:hint="eastAsia" w:ascii="宋体" w:hAnsi="宋体"/>
          <w:szCs w:val="21"/>
          <w:highlight w:val="none"/>
        </w:rPr>
        <w:t>或投标邀请书中指明的货物名称、招标编号、投标人名称和“在（</w:t>
      </w:r>
      <w:r>
        <w:rPr>
          <w:rFonts w:hint="eastAsia" w:ascii="宋体" w:hAnsi="宋体"/>
          <w:szCs w:val="21"/>
          <w:highlight w:val="none"/>
          <w:u w:val="single"/>
        </w:rPr>
        <w:t>投标人须知资料表</w:t>
      </w:r>
      <w:r>
        <w:rPr>
          <w:rFonts w:hint="eastAsia" w:ascii="宋体" w:hAnsi="宋体"/>
          <w:szCs w:val="21"/>
          <w:highlight w:val="none"/>
        </w:rPr>
        <w:t>中规定开标时间）之前不得启封”的字样。</w:t>
      </w:r>
    </w:p>
    <w:p w14:paraId="00CD9337">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（2）在封装处加盖投标人公章，或由法定代表人（或其授权代表）签字。</w:t>
      </w:r>
    </w:p>
    <w:p w14:paraId="5E58C709">
      <w:pPr>
        <w:spacing w:line="360" w:lineRule="auto"/>
        <w:ind w:left="788" w:hanging="787" w:hangingChars="375"/>
        <w:rPr>
          <w:rFonts w:ascii="宋体" w:hAnsi="宋体"/>
          <w:szCs w:val="21"/>
          <w:highlight w:val="none"/>
        </w:rPr>
      </w:pPr>
      <w:r>
        <w:rPr>
          <w:rFonts w:hint="eastAsia" w:ascii="宋体" w:hAnsi="宋体"/>
          <w:szCs w:val="21"/>
          <w:highlight w:val="none"/>
        </w:rPr>
        <w:t>15.5</w:t>
      </w:r>
      <w:r>
        <w:rPr>
          <w:rFonts w:hint="eastAsia" w:ascii="宋体" w:hAnsi="宋体"/>
          <w:szCs w:val="21"/>
          <w:highlight w:val="none"/>
        </w:rPr>
        <w:tab/>
      </w:r>
      <w:r>
        <w:rPr>
          <w:rFonts w:hint="eastAsia" w:ascii="宋体" w:hAnsi="宋体"/>
          <w:szCs w:val="21"/>
          <w:highlight w:val="none"/>
        </w:rPr>
        <w:t>如果投标人未按上述要求密封及加写标记，招标采购单位对投标文件过早启封概不负责，并可能导致其投标被拒绝。</w:t>
      </w:r>
    </w:p>
    <w:p w14:paraId="0D29E67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3" w:name="_Toc109736047"/>
      <w:bookmarkStart w:id="124" w:name="_Toc520356161"/>
      <w:r>
        <w:rPr>
          <w:rFonts w:hint="eastAsia" w:ascii="宋体" w:hAnsi="宋体" w:eastAsia="宋体" w:cs="Times New Roman"/>
          <w:b/>
          <w:bCs/>
          <w:sz w:val="21"/>
          <w:szCs w:val="21"/>
          <w:highlight w:val="none"/>
        </w:rPr>
        <w:t>16.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投标截止期</w:t>
      </w:r>
      <w:bookmarkEnd w:id="123"/>
      <w:bookmarkEnd w:id="124"/>
    </w:p>
    <w:p w14:paraId="562B3D42">
      <w:pPr>
        <w:spacing w:line="360" w:lineRule="auto"/>
        <w:ind w:left="788" w:hanging="787" w:hangingChars="375"/>
        <w:rPr>
          <w:rFonts w:hint="eastAsia" w:ascii="宋体" w:hAnsi="宋体"/>
          <w:szCs w:val="21"/>
          <w:highlight w:val="none"/>
        </w:rPr>
      </w:pPr>
      <w:r>
        <w:rPr>
          <w:rFonts w:hint="eastAsia" w:ascii="宋体" w:hAnsi="宋体"/>
          <w:szCs w:val="21"/>
          <w:highlight w:val="none"/>
        </w:rPr>
        <w:t>16.1</w:t>
      </w:r>
      <w:r>
        <w:rPr>
          <w:rFonts w:hint="eastAsia"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eastAsia="zh-CN"/>
        </w:rPr>
        <w:t>采购公告</w:t>
      </w:r>
      <w:r>
        <w:rPr>
          <w:rFonts w:hint="eastAsia" w:ascii="宋体" w:hAnsi="宋体"/>
          <w:szCs w:val="21"/>
          <w:highlight w:val="none"/>
        </w:rPr>
        <w:t>或投标邀请书中规定的截止日期和时间内，派人将投标文件递交招标采购单位，递交地点应是</w:t>
      </w:r>
      <w:r>
        <w:rPr>
          <w:rFonts w:hint="eastAsia" w:ascii="宋体" w:hAnsi="宋体"/>
          <w:szCs w:val="21"/>
          <w:highlight w:val="none"/>
          <w:lang w:eastAsia="zh-CN"/>
        </w:rPr>
        <w:t>采购公告</w:t>
      </w:r>
      <w:r>
        <w:rPr>
          <w:rFonts w:hint="eastAsia" w:ascii="宋体" w:hAnsi="宋体"/>
          <w:szCs w:val="21"/>
          <w:highlight w:val="none"/>
        </w:rPr>
        <w:t>或投标邀请书中规定的地址。</w:t>
      </w:r>
    </w:p>
    <w:p w14:paraId="39EEF24E">
      <w:pPr>
        <w:spacing w:line="360" w:lineRule="auto"/>
        <w:ind w:left="788" w:hanging="787" w:hangingChars="375"/>
        <w:rPr>
          <w:rFonts w:hint="eastAsia" w:ascii="宋体" w:hAnsi="宋体"/>
          <w:szCs w:val="21"/>
          <w:highlight w:val="none"/>
        </w:rPr>
      </w:pPr>
      <w:r>
        <w:rPr>
          <w:rFonts w:hint="eastAsia" w:ascii="宋体" w:hAnsi="宋体"/>
          <w:szCs w:val="21"/>
          <w:highlight w:val="none"/>
        </w:rPr>
        <w:t>16.2</w:t>
      </w:r>
      <w:r>
        <w:rPr>
          <w:rFonts w:hint="eastAsia" w:ascii="宋体" w:hAnsi="宋体"/>
          <w:szCs w:val="21"/>
          <w:highlight w:val="none"/>
        </w:rPr>
        <w:tab/>
      </w:r>
      <w:r>
        <w:rPr>
          <w:rFonts w:hint="eastAsia" w:ascii="宋体" w:hAnsi="宋体"/>
          <w:szCs w:val="21"/>
          <w:highlight w:val="none"/>
        </w:rPr>
        <w:t>招标采购单位有权按本须知的规定，通过修改招标文件，延长投标截止期。在此情况下，招标采购单位和投标人受投标截止期制约的所有权利和义务均应延长至新的截止期。</w:t>
      </w:r>
    </w:p>
    <w:p w14:paraId="15B83471">
      <w:pPr>
        <w:spacing w:line="360" w:lineRule="auto"/>
        <w:ind w:left="788" w:hanging="787" w:hangingChars="375"/>
        <w:rPr>
          <w:rFonts w:ascii="宋体" w:hAnsi="宋体"/>
          <w:szCs w:val="21"/>
          <w:highlight w:val="none"/>
        </w:rPr>
      </w:pPr>
      <w:r>
        <w:rPr>
          <w:rFonts w:hint="eastAsia" w:ascii="宋体" w:hAnsi="宋体"/>
          <w:szCs w:val="21"/>
          <w:highlight w:val="none"/>
        </w:rPr>
        <w:t>16.3</w:t>
      </w:r>
      <w:r>
        <w:rPr>
          <w:rFonts w:hint="eastAsia" w:ascii="宋体" w:hAnsi="宋体"/>
          <w:szCs w:val="21"/>
          <w:highlight w:val="none"/>
        </w:rPr>
        <w:tab/>
      </w:r>
      <w:r>
        <w:rPr>
          <w:rFonts w:hint="eastAsia" w:ascii="宋体" w:hAnsi="宋体"/>
          <w:szCs w:val="21"/>
          <w:highlight w:val="none"/>
        </w:rPr>
        <w:t>招标采购单位将拒绝并原封退回在投标截止期后送达的任何投标文件。</w:t>
      </w:r>
    </w:p>
    <w:p w14:paraId="0943723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5" w:name="_Toc520356162"/>
      <w:bookmarkStart w:id="126" w:name="_Toc109736048"/>
      <w:r>
        <w:rPr>
          <w:rFonts w:hint="eastAsia" w:ascii="宋体" w:hAnsi="宋体" w:eastAsia="宋体" w:cs="Times New Roman"/>
          <w:b/>
          <w:bCs/>
          <w:sz w:val="21"/>
          <w:szCs w:val="21"/>
          <w:highlight w:val="none"/>
        </w:rPr>
        <w:t>17.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投标文件的修改与撤回</w:t>
      </w:r>
      <w:bookmarkEnd w:id="125"/>
      <w:bookmarkEnd w:id="126"/>
    </w:p>
    <w:p w14:paraId="5AF3F9C8">
      <w:pPr>
        <w:spacing w:line="360" w:lineRule="auto"/>
        <w:ind w:left="788" w:hanging="787" w:hangingChars="375"/>
        <w:rPr>
          <w:rFonts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投标以后，如果投标人提出书面修改或撤标要求，在投标截止时间前送达开标地点，招标采购单位将予以接受，并视为投标文件的组成部分。</w:t>
      </w:r>
    </w:p>
    <w:p w14:paraId="6F73F00E">
      <w:pPr>
        <w:spacing w:line="360" w:lineRule="auto"/>
        <w:ind w:left="788" w:hanging="787" w:hangingChars="375"/>
        <w:rPr>
          <w:rFonts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投标人对投标文件的修改或撤回通知应按本须知第15条规定编制、密封、标记和发送。</w:t>
      </w:r>
    </w:p>
    <w:p w14:paraId="338C078B">
      <w:pPr>
        <w:spacing w:line="360" w:lineRule="auto"/>
        <w:ind w:left="788" w:hanging="787" w:hangingChars="375"/>
        <w:rPr>
          <w:rFonts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在投标截止期之后，投标人不得对其投标文件做任何修改，招标采购单位对所接收投标文件概不退回。</w:t>
      </w:r>
    </w:p>
    <w:p w14:paraId="6EE138BC">
      <w:pPr>
        <w:spacing w:line="360" w:lineRule="auto"/>
        <w:ind w:left="788" w:hanging="787" w:hangingChars="375"/>
        <w:rPr>
          <w:rFonts w:hint="eastAsia" w:ascii="宋体" w:hAnsi="宋体"/>
          <w:szCs w:val="21"/>
          <w:highlight w:val="none"/>
        </w:rPr>
      </w:pPr>
      <w:r>
        <w:rPr>
          <w:rFonts w:hint="eastAsia" w:ascii="宋体" w:hAnsi="宋体"/>
          <w:szCs w:val="21"/>
          <w:highlight w:val="none"/>
        </w:rPr>
        <w:t>17.4</w:t>
      </w:r>
      <w:r>
        <w:rPr>
          <w:rFonts w:hint="eastAsia" w:ascii="宋体" w:hAnsi="宋体"/>
          <w:szCs w:val="21"/>
          <w:highlight w:val="none"/>
        </w:rPr>
        <w:tab/>
      </w:r>
      <w:r>
        <w:rPr>
          <w:rFonts w:hint="eastAsia" w:ascii="宋体" w:hAnsi="宋体"/>
          <w:szCs w:val="21"/>
          <w:highlight w:val="none"/>
        </w:rPr>
        <w:t>从投标截止期至投标人在投标书中承诺的投标有效期之间，投标人不得撤回其投标，否则其投标保证金将按照本须知第12条规定予以没收。</w:t>
      </w:r>
    </w:p>
    <w:p w14:paraId="01513EDF">
      <w:pPr>
        <w:spacing w:line="360" w:lineRule="auto"/>
        <w:ind w:left="1080" w:leftChars="257" w:hanging="540"/>
        <w:rPr>
          <w:rFonts w:hint="eastAsia" w:ascii="宋体" w:hAnsi="宋体"/>
          <w:sz w:val="24"/>
          <w:highlight w:val="none"/>
          <w:shd w:val="pct10" w:color="auto" w:fill="FFFFFF"/>
        </w:rPr>
      </w:pPr>
    </w:p>
    <w:p w14:paraId="4428BD12">
      <w:pPr>
        <w:pStyle w:val="4"/>
        <w:spacing w:before="0" w:line="360" w:lineRule="auto"/>
        <w:jc w:val="center"/>
        <w:rPr>
          <w:rFonts w:hint="eastAsia" w:ascii="宋体" w:hAnsi="宋体" w:eastAsia="宋体"/>
          <w:sz w:val="24"/>
          <w:szCs w:val="24"/>
          <w:highlight w:val="none"/>
        </w:rPr>
      </w:pPr>
      <w:bookmarkStart w:id="127" w:name="_Toc216582809"/>
      <w:bookmarkStart w:id="128" w:name="_Toc109736049"/>
      <w:bookmarkStart w:id="129" w:name="_Toc520356163"/>
      <w:bookmarkStart w:id="130" w:name="_Toc23762"/>
      <w:r>
        <w:rPr>
          <w:rFonts w:hint="eastAsia" w:ascii="宋体" w:hAnsi="宋体" w:eastAsia="宋体"/>
          <w:sz w:val="24"/>
          <w:szCs w:val="24"/>
          <w:highlight w:val="none"/>
        </w:rPr>
        <w:t>五   开标及评标</w:t>
      </w:r>
      <w:bookmarkEnd w:id="127"/>
      <w:bookmarkEnd w:id="128"/>
      <w:bookmarkEnd w:id="129"/>
      <w:bookmarkEnd w:id="130"/>
    </w:p>
    <w:p w14:paraId="2CA40C9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1" w:name="_Toc109736050"/>
      <w:bookmarkStart w:id="132" w:name="_Toc520356164"/>
      <w:r>
        <w:rPr>
          <w:rFonts w:hint="eastAsia" w:ascii="宋体" w:hAnsi="宋体" w:eastAsia="宋体" w:cs="Times New Roman"/>
          <w:b/>
          <w:bCs/>
          <w:sz w:val="21"/>
          <w:szCs w:val="21"/>
          <w:highlight w:val="none"/>
        </w:rPr>
        <w:t>18.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开标</w:t>
      </w:r>
      <w:bookmarkEnd w:id="131"/>
      <w:bookmarkEnd w:id="132"/>
    </w:p>
    <w:p w14:paraId="06D10C02">
      <w:pPr>
        <w:spacing w:line="360" w:lineRule="auto"/>
        <w:ind w:left="788" w:hanging="787" w:hangingChars="375"/>
        <w:rPr>
          <w:rFonts w:hint="eastAsia" w:ascii="宋体" w:hAnsi="宋体"/>
          <w:szCs w:val="21"/>
          <w:highlight w:val="none"/>
        </w:rPr>
      </w:pPr>
      <w:r>
        <w:rPr>
          <w:rFonts w:hint="eastAsia" w:ascii="宋体" w:hAnsi="宋体"/>
          <w:szCs w:val="21"/>
          <w:highlight w:val="none"/>
        </w:rPr>
        <w:t>18.1</w:t>
      </w:r>
      <w:r>
        <w:rPr>
          <w:rFonts w:hint="eastAsia" w:ascii="宋体" w:hAnsi="宋体"/>
          <w:szCs w:val="21"/>
          <w:highlight w:val="none"/>
        </w:rPr>
        <w:tab/>
      </w:r>
      <w:r>
        <w:rPr>
          <w:rFonts w:hint="eastAsia" w:ascii="宋体" w:hAnsi="宋体"/>
          <w:szCs w:val="21"/>
          <w:highlight w:val="none"/>
        </w:rPr>
        <w:t>招标采购单位将按规定的开标时间和地点组织公开开标，所有投标人代表均有权参加。</w:t>
      </w:r>
    </w:p>
    <w:p w14:paraId="4A34E8D2">
      <w:pPr>
        <w:spacing w:line="360" w:lineRule="auto"/>
        <w:ind w:left="788" w:hanging="787" w:hangingChars="375"/>
        <w:rPr>
          <w:rFonts w:hint="eastAsia" w:ascii="宋体" w:hAnsi="宋体"/>
          <w:szCs w:val="21"/>
          <w:highlight w:val="none"/>
        </w:rPr>
      </w:pPr>
      <w:r>
        <w:rPr>
          <w:rFonts w:hint="eastAsia" w:ascii="宋体" w:hAnsi="宋体"/>
          <w:szCs w:val="21"/>
          <w:highlight w:val="none"/>
        </w:rPr>
        <w:t>18.2   开标时，由投标人或其推选的代表，以及公证人员（如有）检查投标文件的密封情况，经记录后，由招标采购单位当众拆封、宣读投标人名称、投标价格、价格折扣、是否提交了投标保证金、招标文件允许提供的备选方案等内容。对于投标人在投标截止期前递交的投标声明，在开标时当众宣读，评标时有效。</w:t>
      </w:r>
    </w:p>
    <w:p w14:paraId="152FD2FC">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未宣读的投标价格、价格折扣、备选方案等实质内容，评标时不予承认。</w:t>
      </w:r>
    </w:p>
    <w:p w14:paraId="6A57C4BE">
      <w:pPr>
        <w:spacing w:line="360" w:lineRule="auto"/>
        <w:ind w:left="788" w:hanging="787" w:hangingChars="375"/>
        <w:rPr>
          <w:rFonts w:ascii="宋体" w:hAnsi="宋体"/>
          <w:szCs w:val="21"/>
          <w:highlight w:val="none"/>
        </w:rPr>
      </w:pPr>
      <w:r>
        <w:rPr>
          <w:rFonts w:hint="eastAsia" w:ascii="宋体" w:hAnsi="宋体"/>
          <w:szCs w:val="21"/>
          <w:highlight w:val="none"/>
        </w:rPr>
        <w:t>18.3    除了按照本须知的规定原封退回迟到的投标文件之外，开标时将不得拒绝任何投标。</w:t>
      </w:r>
    </w:p>
    <w:p w14:paraId="4D8BB950">
      <w:pPr>
        <w:spacing w:line="360" w:lineRule="auto"/>
        <w:ind w:left="788" w:hanging="787" w:hangingChars="375"/>
        <w:rPr>
          <w:rFonts w:hint="eastAsia" w:ascii="宋体" w:hAnsi="宋体"/>
          <w:szCs w:val="21"/>
          <w:highlight w:val="none"/>
        </w:rPr>
      </w:pPr>
      <w:r>
        <w:rPr>
          <w:rFonts w:hint="eastAsia" w:ascii="宋体" w:hAnsi="宋体"/>
          <w:szCs w:val="21"/>
          <w:highlight w:val="none"/>
        </w:rPr>
        <w:t>18.4</w:t>
      </w:r>
      <w:r>
        <w:rPr>
          <w:rFonts w:hint="eastAsia" w:ascii="宋体" w:hAnsi="宋体"/>
          <w:szCs w:val="21"/>
          <w:highlight w:val="none"/>
        </w:rPr>
        <w:tab/>
      </w:r>
      <w:r>
        <w:rPr>
          <w:rFonts w:hint="eastAsia" w:ascii="宋体" w:hAnsi="宋体"/>
          <w:szCs w:val="21"/>
          <w:highlight w:val="none"/>
        </w:rPr>
        <w:t>招标采购单位将对开标</w:t>
      </w:r>
      <w:r>
        <w:rPr>
          <w:rFonts w:ascii="宋体" w:hAnsi="宋体"/>
          <w:szCs w:val="21"/>
          <w:highlight w:val="none"/>
        </w:rPr>
        <w:t>过程</w:t>
      </w:r>
      <w:r>
        <w:rPr>
          <w:rFonts w:hint="eastAsia" w:ascii="宋体" w:hAnsi="宋体"/>
          <w:szCs w:val="21"/>
          <w:highlight w:val="none"/>
        </w:rPr>
        <w:t>进行记录</w:t>
      </w:r>
      <w:bookmarkStart w:id="133" w:name="_Toc520356165"/>
      <w:r>
        <w:rPr>
          <w:rFonts w:hint="eastAsia" w:ascii="宋体" w:hAnsi="宋体"/>
          <w:szCs w:val="21"/>
          <w:highlight w:val="none"/>
        </w:rPr>
        <w:t>，并存档备查。</w:t>
      </w:r>
    </w:p>
    <w:p w14:paraId="28EFA8A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4" w:name="_Toc109736051"/>
      <w:r>
        <w:rPr>
          <w:rFonts w:hint="eastAsia" w:ascii="宋体" w:hAnsi="宋体" w:eastAsia="宋体" w:cs="Times New Roman"/>
          <w:b/>
          <w:bCs/>
          <w:sz w:val="21"/>
          <w:szCs w:val="21"/>
          <w:highlight w:val="none"/>
        </w:rPr>
        <w:t>19.</w:t>
      </w:r>
      <w:r>
        <w:rPr>
          <w:rFonts w:hint="eastAsia" w:ascii="宋体" w:hAnsi="宋体" w:eastAsia="宋体" w:cs="Times New Roman"/>
          <w:b/>
          <w:bCs/>
          <w:sz w:val="21"/>
          <w:szCs w:val="21"/>
          <w:highlight w:val="none"/>
        </w:rPr>
        <w:tab/>
      </w:r>
      <w:bookmarkEnd w:id="133"/>
      <w:r>
        <w:rPr>
          <w:rFonts w:hint="eastAsia" w:ascii="宋体" w:hAnsi="宋体" w:eastAsia="宋体" w:cs="Times New Roman"/>
          <w:b/>
          <w:bCs/>
          <w:sz w:val="21"/>
          <w:szCs w:val="21"/>
          <w:highlight w:val="none"/>
        </w:rPr>
        <w:t xml:space="preserve">    组建评标委员会</w:t>
      </w:r>
      <w:bookmarkEnd w:id="134"/>
    </w:p>
    <w:p w14:paraId="10BFCB76">
      <w:pPr>
        <w:spacing w:line="360" w:lineRule="auto"/>
        <w:ind w:left="899" w:leftChars="428"/>
        <w:rPr>
          <w:rFonts w:hint="eastAsia" w:ascii="宋体" w:hAnsi="宋体"/>
          <w:szCs w:val="21"/>
          <w:highlight w:val="none"/>
        </w:rPr>
      </w:pPr>
      <w:r>
        <w:rPr>
          <w:rFonts w:hint="eastAsia" w:ascii="宋体" w:hAnsi="宋体"/>
          <w:szCs w:val="21"/>
          <w:highlight w:val="none"/>
        </w:rPr>
        <w:t>评标委员会根据招标采购货物的特点，按照《</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中华人民共和国招标投标法实施条例》门</w:t>
      </w:r>
      <w:r>
        <w:rPr>
          <w:rFonts w:hint="eastAsia" w:ascii="宋体" w:hAnsi="宋体"/>
          <w:szCs w:val="21"/>
          <w:highlight w:val="none"/>
        </w:rPr>
        <w:t>的有关规定依法组建，并负责评标工作。</w:t>
      </w:r>
      <w:bookmarkStart w:id="135" w:name="_Toc520356166"/>
    </w:p>
    <w:p w14:paraId="3E2CF01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6" w:name="_Toc109736052"/>
      <w:r>
        <w:rPr>
          <w:rFonts w:hint="eastAsia" w:ascii="宋体" w:hAnsi="宋体" w:eastAsia="宋体" w:cs="Times New Roman"/>
          <w:b/>
          <w:bCs/>
          <w:sz w:val="21"/>
          <w:szCs w:val="21"/>
          <w:highlight w:val="none"/>
        </w:rPr>
        <w:t>20.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投标文件的初审</w:t>
      </w:r>
      <w:bookmarkEnd w:id="135"/>
      <w:r>
        <w:rPr>
          <w:rFonts w:hint="eastAsia" w:ascii="宋体" w:hAnsi="宋体" w:eastAsia="宋体" w:cs="Times New Roman"/>
          <w:b/>
          <w:bCs/>
          <w:sz w:val="21"/>
          <w:szCs w:val="21"/>
          <w:highlight w:val="none"/>
        </w:rPr>
        <w:t>与澄清</w:t>
      </w:r>
      <w:bookmarkEnd w:id="136"/>
    </w:p>
    <w:p w14:paraId="015C29F1">
      <w:pPr>
        <w:spacing w:line="360" w:lineRule="auto"/>
        <w:ind w:left="788" w:hanging="787" w:hangingChars="375"/>
        <w:rPr>
          <w:rFonts w:hint="eastAsia" w:ascii="宋体" w:hAnsi="宋体"/>
          <w:szCs w:val="21"/>
          <w:highlight w:val="none"/>
        </w:rPr>
      </w:pPr>
      <w:r>
        <w:rPr>
          <w:rFonts w:hint="eastAsia" w:ascii="宋体" w:hAnsi="宋体"/>
          <w:szCs w:val="21"/>
          <w:highlight w:val="none"/>
        </w:rPr>
        <w:t>20.1    投标文件的初审分为资格性检查和符合性检查。</w:t>
      </w:r>
    </w:p>
    <w:p w14:paraId="4674D7EE">
      <w:pPr>
        <w:spacing w:line="360" w:lineRule="auto"/>
        <w:ind w:left="788" w:hanging="787" w:hangingChars="375"/>
        <w:rPr>
          <w:rFonts w:hint="eastAsia" w:ascii="宋体" w:hAnsi="宋体"/>
          <w:szCs w:val="21"/>
          <w:highlight w:val="none"/>
        </w:rPr>
      </w:pPr>
      <w:r>
        <w:rPr>
          <w:rFonts w:hint="eastAsia" w:ascii="宋体" w:hAnsi="宋体"/>
          <w:szCs w:val="21"/>
          <w:highlight w:val="none"/>
        </w:rPr>
        <w:t>20.1.1  资格性检查  指依据法律法规和招标文件的规定，对投标文件中的资格证明、投标保证金等进行审查，以确定投标人是否具备投标资格。</w:t>
      </w:r>
    </w:p>
    <w:p w14:paraId="5F59558C">
      <w:pPr>
        <w:spacing w:line="360" w:lineRule="auto"/>
        <w:ind w:left="788" w:hanging="787" w:hangingChars="375"/>
        <w:rPr>
          <w:rFonts w:hint="eastAsia" w:ascii="宋体" w:hAnsi="宋体"/>
          <w:szCs w:val="21"/>
          <w:highlight w:val="none"/>
        </w:rPr>
      </w:pPr>
      <w:r>
        <w:rPr>
          <w:rFonts w:hint="eastAsia" w:ascii="宋体" w:hAnsi="宋体"/>
          <w:szCs w:val="21"/>
          <w:highlight w:val="none"/>
        </w:rPr>
        <w:t>20.1.2  符合性检查  依据招标文件的规定，从投标文件的有效性、完整性和对招标文件的响应程度进行审查，以确定是否对招标文件的实质性要求做出响应。</w:t>
      </w:r>
      <w:bookmarkStart w:id="137" w:name="_Hlt522424701"/>
      <w:bookmarkEnd w:id="137"/>
      <w:bookmarkStart w:id="138" w:name="_Toc520356167"/>
    </w:p>
    <w:p w14:paraId="62743A56">
      <w:pPr>
        <w:spacing w:line="360" w:lineRule="auto"/>
        <w:ind w:left="788" w:hanging="787" w:hangingChars="375"/>
        <w:rPr>
          <w:rFonts w:hint="eastAsia" w:ascii="宋体" w:hAnsi="宋体"/>
          <w:szCs w:val="21"/>
          <w:highlight w:val="none"/>
        </w:rPr>
      </w:pPr>
      <w:r>
        <w:rPr>
          <w:rFonts w:hint="eastAsia" w:ascii="宋体" w:hAnsi="宋体"/>
          <w:szCs w:val="21"/>
          <w:highlight w:val="none"/>
        </w:rPr>
        <w:t>20.2</w:t>
      </w:r>
      <w:r>
        <w:rPr>
          <w:rFonts w:hint="eastAsia" w:ascii="宋体" w:hAnsi="宋体"/>
          <w:szCs w:val="21"/>
          <w:highlight w:val="none"/>
        </w:rPr>
        <w:tab/>
      </w:r>
      <w:r>
        <w:rPr>
          <w:rFonts w:hint="eastAsia" w:ascii="宋体" w:hAnsi="宋体"/>
          <w:szCs w:val="21"/>
          <w:highlight w:val="none"/>
        </w:rPr>
        <w:t>投标文件的澄清</w:t>
      </w:r>
    </w:p>
    <w:p w14:paraId="13832578">
      <w:pPr>
        <w:spacing w:line="360" w:lineRule="auto"/>
        <w:ind w:left="788" w:hanging="787" w:hangingChars="375"/>
        <w:rPr>
          <w:rFonts w:hint="eastAsia" w:ascii="宋体" w:hAnsi="宋体"/>
          <w:szCs w:val="21"/>
          <w:highlight w:val="none"/>
        </w:rPr>
      </w:pPr>
      <w:r>
        <w:rPr>
          <w:rFonts w:hint="eastAsia" w:ascii="宋体" w:hAnsi="宋体"/>
          <w:szCs w:val="21"/>
          <w:highlight w:val="none"/>
        </w:rPr>
        <w:t>20.2.1  在评标期间，评标委员会有权以书面方式要求投标人对其投标文件中含义不明确、对同类问题表述不一致或者有明显文字和计算错误的内容作必要的澄清。投标人澄清应在评标委员会规定的时间内以书面方式进行，并不得超出投标文件范围或者改变投标文件的实质性内容。</w:t>
      </w:r>
    </w:p>
    <w:p w14:paraId="6E17A19C">
      <w:pPr>
        <w:spacing w:line="360" w:lineRule="auto"/>
        <w:ind w:left="788" w:hanging="787" w:hangingChars="375"/>
        <w:rPr>
          <w:rFonts w:hint="eastAsia" w:ascii="宋体" w:hAnsi="宋体"/>
          <w:szCs w:val="21"/>
          <w:highlight w:val="none"/>
        </w:rPr>
      </w:pPr>
      <w:r>
        <w:rPr>
          <w:rFonts w:hint="eastAsia" w:ascii="宋体" w:hAnsi="宋体"/>
          <w:szCs w:val="21"/>
          <w:highlight w:val="none"/>
        </w:rPr>
        <w:t>20.2.2  澄清文件将作为投标文件的一部分。</w:t>
      </w:r>
    </w:p>
    <w:p w14:paraId="536958A4">
      <w:pPr>
        <w:spacing w:line="360" w:lineRule="auto"/>
        <w:ind w:left="788" w:hanging="787" w:hangingChars="375"/>
        <w:rPr>
          <w:rFonts w:hint="eastAsia" w:ascii="宋体" w:hAnsi="宋体"/>
          <w:szCs w:val="21"/>
          <w:highlight w:val="none"/>
        </w:rPr>
      </w:pPr>
      <w:r>
        <w:rPr>
          <w:rFonts w:hint="eastAsia" w:ascii="宋体" w:hAnsi="宋体"/>
          <w:szCs w:val="21"/>
          <w:highlight w:val="none"/>
        </w:rPr>
        <w:t>20.2.3  算术错误及文字歧义将按以下方法更正：投标文件中“开标一览表”（报价表）内容与投标文件中明细表内容不一致的，以“开标一览表” （报价表）为准。投标文件同一部分</w:t>
      </w:r>
      <w:r>
        <w:rPr>
          <w:rFonts w:ascii="宋体" w:hAnsi="宋体"/>
          <w:szCs w:val="21"/>
          <w:highlight w:val="none"/>
        </w:rPr>
        <w:t>中，</w:t>
      </w:r>
      <w:r>
        <w:rPr>
          <w:rFonts w:hint="eastAsia" w:ascii="宋体" w:hAnsi="宋体"/>
          <w:szCs w:val="21"/>
          <w:highlight w:val="none"/>
        </w:rPr>
        <w:t>大写金额和小写金额不一致的，以大写金额为准，总价金额与按单价汇总金额不一致，以单价金额计算结果为准，单价金额小数点有明显错位的，应以总价为准，并修改单价。对不同文字文本投标文件的解释发生异议的，以中文文本为准。</w:t>
      </w:r>
    </w:p>
    <w:p w14:paraId="4C6564C4">
      <w:pPr>
        <w:spacing w:line="360" w:lineRule="auto"/>
        <w:ind w:left="788" w:hanging="787" w:hangingChars="375"/>
        <w:rPr>
          <w:rFonts w:hint="eastAsia" w:ascii="宋体" w:hAnsi="宋体"/>
          <w:szCs w:val="21"/>
          <w:highlight w:val="none"/>
        </w:rPr>
      </w:pPr>
      <w:r>
        <w:rPr>
          <w:rFonts w:hint="eastAsia" w:ascii="宋体" w:hAnsi="宋体"/>
          <w:szCs w:val="21"/>
          <w:highlight w:val="none"/>
        </w:rPr>
        <w:t>20.2.4 如果投标人不接受对其错误和歧义的更改，其投标将作为无效投标被拒绝。</w:t>
      </w:r>
    </w:p>
    <w:p w14:paraId="109FE667">
      <w:pPr>
        <w:spacing w:line="360" w:lineRule="auto"/>
        <w:ind w:left="788" w:hanging="787" w:hangingChars="375"/>
        <w:rPr>
          <w:rFonts w:hint="eastAsia" w:ascii="宋体" w:hAnsi="宋体"/>
          <w:szCs w:val="21"/>
          <w:highlight w:val="none"/>
        </w:rPr>
      </w:pPr>
      <w:r>
        <w:rPr>
          <w:rFonts w:hint="eastAsia" w:ascii="宋体" w:hAnsi="宋体"/>
          <w:szCs w:val="21"/>
          <w:highlight w:val="none"/>
        </w:rPr>
        <w:t>20.3   如一个包内只有一种设备，同一品牌同一型号只能由一个投标人参加投标。如果多家投标人以同一品牌同一型号设备（产品）投标，评标时只能选择一个投标厂商有资格继续参加评审。选择方法为资质审查合格且投标报价最低的投标厂商进入评标，代理同一品牌同一型号设备（产品）的其他投标厂商投标将被作为无效投标被拒绝。</w:t>
      </w:r>
    </w:p>
    <w:p w14:paraId="231BD6B2">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9" w:name="_Toc109736053"/>
      <w:r>
        <w:rPr>
          <w:rFonts w:hint="eastAsia" w:ascii="宋体" w:hAnsi="宋体" w:eastAsia="宋体" w:cs="Times New Roman"/>
          <w:b/>
          <w:bCs/>
          <w:sz w:val="21"/>
          <w:szCs w:val="21"/>
          <w:highlight w:val="none"/>
        </w:rPr>
        <w:t>21.     投标偏离与无效投标</w:t>
      </w:r>
      <w:bookmarkEnd w:id="139"/>
    </w:p>
    <w:p w14:paraId="7A6761F8">
      <w:pPr>
        <w:spacing w:line="360" w:lineRule="auto"/>
        <w:ind w:left="788" w:hanging="787" w:hangingChars="375"/>
        <w:rPr>
          <w:rFonts w:hint="eastAsia" w:ascii="宋体" w:hAnsi="宋体"/>
          <w:szCs w:val="21"/>
          <w:highlight w:val="none"/>
        </w:rPr>
      </w:pPr>
      <w:r>
        <w:rPr>
          <w:rFonts w:hint="eastAsia" w:ascii="宋体" w:hAnsi="宋体"/>
          <w:szCs w:val="21"/>
          <w:highlight w:val="none"/>
        </w:rPr>
        <w:t>21.1    对于投标文件中不构成实质性偏差的不正规、不一致或不规则，评标委员会可以接受，但这种接受不能损坏或影响任何投标人的相对排序。</w:t>
      </w:r>
    </w:p>
    <w:p w14:paraId="69B5C836">
      <w:pPr>
        <w:spacing w:line="360" w:lineRule="auto"/>
        <w:ind w:left="788" w:hanging="787" w:hangingChars="375"/>
        <w:rPr>
          <w:rFonts w:hint="eastAsia" w:ascii="宋体" w:hAnsi="宋体"/>
          <w:szCs w:val="21"/>
          <w:highlight w:val="none"/>
        </w:rPr>
      </w:pPr>
      <w:r>
        <w:rPr>
          <w:rFonts w:hint="eastAsia" w:ascii="宋体" w:hAnsi="宋体"/>
          <w:szCs w:val="21"/>
          <w:highlight w:val="none"/>
        </w:rPr>
        <w:t>21.2    在比较与评价之前，根据本须知的规定，评标委员会要审查每份投标文件是否实质上响应了招标文件的要求。实质上响应的投标应该是与招标文件要求的全部条款、条件和规格相符，没有重大偏离的投标。对关键条款的偏离、保留和反对，将被认为是实质上的偏离，属于无效投标被拒绝。评标委员会决定投标的响应性只根据投标文件本身的内容，而不寻求外部的证据。</w:t>
      </w:r>
    </w:p>
    <w:p w14:paraId="43551390">
      <w:pPr>
        <w:spacing w:line="360" w:lineRule="auto"/>
        <w:ind w:left="788" w:hanging="787" w:hangingChars="375"/>
        <w:rPr>
          <w:rFonts w:hint="eastAsia" w:ascii="宋体" w:hAnsi="宋体"/>
          <w:szCs w:val="21"/>
          <w:highlight w:val="none"/>
        </w:rPr>
      </w:pPr>
      <w:r>
        <w:rPr>
          <w:rFonts w:hint="eastAsia" w:ascii="宋体" w:hAnsi="宋体"/>
          <w:szCs w:val="21"/>
          <w:highlight w:val="none"/>
        </w:rPr>
        <w:t>21.3</w:t>
      </w:r>
      <w:r>
        <w:rPr>
          <w:rFonts w:hint="eastAsia" w:ascii="宋体" w:hAnsi="宋体"/>
          <w:szCs w:val="21"/>
          <w:highlight w:val="none"/>
        </w:rPr>
        <w:tab/>
      </w:r>
      <w:r>
        <w:rPr>
          <w:rFonts w:hint="eastAsia" w:ascii="宋体" w:hAnsi="宋体"/>
          <w:szCs w:val="21"/>
          <w:highlight w:val="none"/>
        </w:rPr>
        <w:t>实质上没有响应招标文件要求的投标将被作为无效投标被拒绝。投标人不得通过修正或撤销不符合要求的偏离或保留从而使其投标成为实质上响应的投标。如发现下列情况之一的，其投标将被作为无效投标被拒绝：</w:t>
      </w:r>
    </w:p>
    <w:p w14:paraId="22ECC0EA">
      <w:pPr>
        <w:numPr>
          <w:ilvl w:val="0"/>
          <w:numId w:val="13"/>
        </w:numPr>
        <w:spacing w:line="360" w:lineRule="auto"/>
        <w:rPr>
          <w:rFonts w:hint="eastAsia" w:ascii="宋体" w:hAnsi="宋体"/>
          <w:szCs w:val="21"/>
          <w:highlight w:val="none"/>
        </w:rPr>
      </w:pPr>
      <w:r>
        <w:rPr>
          <w:rFonts w:hint="eastAsia" w:ascii="宋体" w:hAnsi="宋体"/>
          <w:szCs w:val="21"/>
          <w:highlight w:val="none"/>
        </w:rPr>
        <w:t>报价超过项目预算额的；</w:t>
      </w:r>
    </w:p>
    <w:p w14:paraId="61089957">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未按招标文件规定的形式和数量交纳投标保证金的；</w:t>
      </w:r>
    </w:p>
    <w:p w14:paraId="00F60744">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未按照招标文件规定要求密封、签署、盖章的；</w:t>
      </w:r>
    </w:p>
    <w:p w14:paraId="35DBAD0E">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未按照招标文件要求提供资格文件或资格证明文件无效或不符合招标文件要求的；</w:t>
      </w:r>
    </w:p>
    <w:p w14:paraId="5907F4FF">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不具备招标文件中规定投标人资格要求的； </w:t>
      </w:r>
    </w:p>
    <w:p w14:paraId="0F445175">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不满足招标文件中商务部分标注“</w:t>
      </w:r>
      <w:r>
        <w:rPr>
          <w:rFonts w:hint="eastAsia" w:ascii="宋体" w:hAnsi="宋体"/>
          <w:b/>
          <w:szCs w:val="21"/>
          <w:highlight w:val="none"/>
        </w:rPr>
        <w:t>*</w:t>
      </w:r>
      <w:r>
        <w:rPr>
          <w:rFonts w:hint="eastAsia" w:ascii="宋体" w:hAnsi="宋体"/>
          <w:szCs w:val="21"/>
          <w:highlight w:val="none"/>
        </w:rPr>
        <w:t>”号条款的；以及招标文件所列无效投标、必须满足项不满足等情形的；</w:t>
      </w:r>
    </w:p>
    <w:p w14:paraId="6A18B633">
      <w:pPr>
        <w:numPr>
          <w:ilvl w:val="0"/>
          <w:numId w:val="13"/>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不符合法规和招标文件中规定的其他实质性要求的。</w:t>
      </w:r>
    </w:p>
    <w:p w14:paraId="3ADE975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0" w:name="_Toc109736054"/>
      <w:r>
        <w:rPr>
          <w:rFonts w:hint="eastAsia" w:ascii="宋体" w:hAnsi="宋体" w:eastAsia="宋体" w:cs="Times New Roman"/>
          <w:b/>
          <w:bCs/>
          <w:sz w:val="21"/>
          <w:szCs w:val="21"/>
          <w:highlight w:val="none"/>
        </w:rPr>
        <w:t xml:space="preserve">22. </w:t>
      </w:r>
      <w:r>
        <w:rPr>
          <w:rFonts w:hint="eastAsia" w:ascii="宋体" w:hAnsi="宋体" w:eastAsia="宋体" w:cs="Times New Roman"/>
          <w:b/>
          <w:bCs/>
          <w:sz w:val="21"/>
          <w:szCs w:val="21"/>
          <w:highlight w:val="none"/>
        </w:rPr>
        <w:tab/>
      </w:r>
      <w:bookmarkEnd w:id="138"/>
      <w:r>
        <w:rPr>
          <w:rFonts w:hint="eastAsia" w:ascii="宋体" w:hAnsi="宋体" w:eastAsia="宋体" w:cs="Times New Roman"/>
          <w:b/>
          <w:bCs/>
          <w:sz w:val="21"/>
          <w:szCs w:val="21"/>
          <w:highlight w:val="none"/>
        </w:rPr>
        <w:t>比较与评价</w:t>
      </w:r>
      <w:bookmarkEnd w:id="140"/>
    </w:p>
    <w:p w14:paraId="725317BF">
      <w:pPr>
        <w:spacing w:line="360" w:lineRule="auto"/>
        <w:ind w:left="788" w:hanging="787" w:hangingChars="375"/>
        <w:rPr>
          <w:rFonts w:hint="eastAsia" w:ascii="宋体" w:hAnsi="宋体"/>
          <w:szCs w:val="21"/>
          <w:highlight w:val="none"/>
        </w:rPr>
      </w:pPr>
      <w:r>
        <w:rPr>
          <w:rFonts w:hint="eastAsia" w:ascii="宋体" w:hAnsi="宋体"/>
          <w:szCs w:val="21"/>
          <w:highlight w:val="none"/>
        </w:rPr>
        <w:t>22.1</w:t>
      </w:r>
      <w:r>
        <w:rPr>
          <w:rFonts w:hint="eastAsia" w:ascii="宋体" w:hAnsi="宋体"/>
          <w:szCs w:val="21"/>
          <w:highlight w:val="none"/>
        </w:rPr>
        <w:tab/>
      </w:r>
      <w:r>
        <w:rPr>
          <w:rFonts w:hint="eastAsia" w:ascii="宋体" w:hAnsi="宋体"/>
          <w:szCs w:val="21"/>
          <w:highlight w:val="none"/>
        </w:rPr>
        <w:t>经初审合格的投标文件，评标委员会将根据招标文件确定的评标方法和标准，对其技术部分和商务部分作进一步的比较和评价。</w:t>
      </w:r>
    </w:p>
    <w:p w14:paraId="0FD4BD3A">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22.2  </w:t>
      </w:r>
      <w:r>
        <w:rPr>
          <w:rFonts w:hint="eastAsia" w:ascii="宋体" w:hAnsi="宋体"/>
          <w:szCs w:val="21"/>
          <w:highlight w:val="none"/>
        </w:rPr>
        <w:tab/>
      </w:r>
      <w:r>
        <w:rPr>
          <w:rFonts w:hint="eastAsia" w:ascii="宋体" w:hAnsi="宋体"/>
          <w:szCs w:val="21"/>
          <w:highlight w:val="none"/>
        </w:rPr>
        <w:t>评标严格按照招标文件的要求和条件进行。根据实际情况，在</w:t>
      </w:r>
      <w:r>
        <w:rPr>
          <w:rFonts w:hint="eastAsia" w:ascii="宋体" w:hAnsi="宋体"/>
          <w:szCs w:val="21"/>
          <w:highlight w:val="none"/>
          <w:u w:val="single"/>
        </w:rPr>
        <w:t>投标人须知资料表</w:t>
      </w:r>
      <w:r>
        <w:rPr>
          <w:rFonts w:hint="eastAsia" w:ascii="宋体" w:hAnsi="宋体"/>
          <w:szCs w:val="21"/>
          <w:highlight w:val="none"/>
        </w:rPr>
        <w:t>中规定采用下列一种评标方法，详细评标标准见招标文件第九章：</w:t>
      </w:r>
    </w:p>
    <w:p w14:paraId="61FCE59F">
      <w:pPr>
        <w:pStyle w:val="25"/>
        <w:spacing w:line="360" w:lineRule="auto"/>
        <w:ind w:left="899" w:leftChars="342" w:hanging="181"/>
        <w:rPr>
          <w:rFonts w:hint="eastAsia" w:hAnsi="宋体"/>
          <w:szCs w:val="21"/>
          <w:highlight w:val="none"/>
        </w:rPr>
      </w:pPr>
      <w:r>
        <w:rPr>
          <w:rFonts w:hint="eastAsia" w:hAnsi="宋体"/>
          <w:szCs w:val="21"/>
          <w:highlight w:val="none"/>
        </w:rPr>
        <w:t>（1） 最低评标价法。是指</w:t>
      </w:r>
      <w:r>
        <w:rPr>
          <w:rFonts w:hAnsi="宋体"/>
          <w:szCs w:val="21"/>
          <w:highlight w:val="none"/>
        </w:rPr>
        <w:t>投标文件满足招标文件全部实质性要求且投标报价最低的投标人为中标</w:t>
      </w:r>
      <w:r>
        <w:rPr>
          <w:rFonts w:hint="eastAsia" w:hAnsi="宋体"/>
          <w:szCs w:val="21"/>
          <w:highlight w:val="none"/>
        </w:rPr>
        <w:t>候选</w:t>
      </w:r>
      <w:r>
        <w:rPr>
          <w:rFonts w:hAnsi="宋体"/>
          <w:szCs w:val="21"/>
          <w:highlight w:val="none"/>
        </w:rPr>
        <w:t>人的评标方法</w:t>
      </w:r>
      <w:r>
        <w:rPr>
          <w:rFonts w:hint="eastAsia" w:hAnsi="宋体"/>
          <w:szCs w:val="21"/>
          <w:highlight w:val="none"/>
        </w:rPr>
        <w:t>。</w:t>
      </w:r>
    </w:p>
    <w:p w14:paraId="2E66EBF3">
      <w:pPr>
        <w:pStyle w:val="25"/>
        <w:spacing w:line="360" w:lineRule="auto"/>
        <w:ind w:left="898" w:leftChars="342" w:hanging="180"/>
        <w:rPr>
          <w:rFonts w:hint="eastAsia" w:hAnsi="宋体"/>
          <w:szCs w:val="21"/>
          <w:highlight w:val="none"/>
        </w:rPr>
      </w:pPr>
      <w:r>
        <w:rPr>
          <w:rFonts w:hint="eastAsia" w:hAnsi="宋体"/>
          <w:szCs w:val="21"/>
          <w:highlight w:val="none"/>
        </w:rPr>
        <w:t>（2） 综合评分法。是</w:t>
      </w:r>
      <w:r>
        <w:rPr>
          <w:rFonts w:hAnsi="宋体"/>
          <w:szCs w:val="21"/>
          <w:highlight w:val="none"/>
        </w:rPr>
        <w:t>指投标文件满足招标</w:t>
      </w:r>
      <w:r>
        <w:rPr>
          <w:rFonts w:hint="eastAsia" w:hAnsi="宋体"/>
          <w:szCs w:val="21"/>
          <w:highlight w:val="none"/>
        </w:rPr>
        <w:t>文件</w:t>
      </w:r>
      <w:r>
        <w:rPr>
          <w:rFonts w:hAnsi="宋体"/>
          <w:szCs w:val="21"/>
          <w:highlight w:val="none"/>
        </w:rPr>
        <w:t>全部实质性要求且按照评审因素的</w:t>
      </w:r>
      <w:r>
        <w:rPr>
          <w:rFonts w:hint="eastAsia" w:hAnsi="宋体"/>
          <w:szCs w:val="21"/>
          <w:highlight w:val="none"/>
        </w:rPr>
        <w:t>量化</w:t>
      </w:r>
      <w:r>
        <w:rPr>
          <w:rFonts w:hAnsi="宋体"/>
          <w:szCs w:val="21"/>
          <w:highlight w:val="none"/>
        </w:rPr>
        <w:t>指标评审得分最高的投标人为中标候选人的评标方法。</w:t>
      </w:r>
    </w:p>
    <w:p w14:paraId="3126C491">
      <w:pPr>
        <w:pStyle w:val="25"/>
        <w:spacing w:line="360" w:lineRule="auto"/>
        <w:ind w:left="788" w:hanging="787" w:hangingChars="375"/>
        <w:rPr>
          <w:rFonts w:hint="eastAsia" w:hAnsi="宋体"/>
          <w:szCs w:val="21"/>
          <w:highlight w:val="none"/>
        </w:rPr>
      </w:pPr>
      <w:r>
        <w:rPr>
          <w:rFonts w:hint="eastAsia" w:hAnsi="宋体"/>
          <w:szCs w:val="21"/>
          <w:highlight w:val="none"/>
        </w:rPr>
        <w:t>22.3   备选方案的评审。如</w:t>
      </w:r>
      <w:r>
        <w:rPr>
          <w:rFonts w:hint="eastAsia" w:hAnsi="宋体"/>
          <w:szCs w:val="21"/>
          <w:highlight w:val="none"/>
          <w:u w:val="single"/>
        </w:rPr>
        <w:t>投标人须知资料表</w:t>
      </w:r>
      <w:r>
        <w:rPr>
          <w:rFonts w:hint="eastAsia" w:hAnsi="宋体"/>
          <w:szCs w:val="21"/>
          <w:highlight w:val="none"/>
        </w:rPr>
        <w:t>中允许提交备选方案，评审过程中只考虑主方案。只有当主方案的投标人为第一中标候选投标人或中标投标人，且开标时报出的备选方案满足招标文件要求、报价低于主方案时，招标人才可考虑选用备选方案。</w:t>
      </w:r>
    </w:p>
    <w:p w14:paraId="3BA93F1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 xml:space="preserve">  </w:t>
      </w:r>
      <w:bookmarkStart w:id="141" w:name="_Toc520356169"/>
      <w:r>
        <w:rPr>
          <w:rFonts w:hint="eastAsia" w:ascii="宋体" w:hAnsi="宋体" w:eastAsia="宋体" w:cs="Times New Roman"/>
          <w:b/>
          <w:bCs/>
          <w:sz w:val="21"/>
          <w:szCs w:val="21"/>
          <w:highlight w:val="none"/>
        </w:rPr>
        <w:t>23．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保密原则</w:t>
      </w:r>
    </w:p>
    <w:p w14:paraId="12472054">
      <w:pPr>
        <w:spacing w:line="360" w:lineRule="auto"/>
        <w:ind w:left="788" w:hanging="787" w:hangingChars="375"/>
        <w:rPr>
          <w:rFonts w:hint="eastAsia" w:ascii="宋体" w:hAnsi="宋体"/>
          <w:szCs w:val="21"/>
          <w:highlight w:val="none"/>
        </w:rPr>
      </w:pPr>
      <w:r>
        <w:rPr>
          <w:rFonts w:hint="eastAsia" w:ascii="宋体" w:hAnsi="宋体"/>
          <w:szCs w:val="21"/>
          <w:highlight w:val="none"/>
        </w:rPr>
        <w:t>23.1</w:t>
      </w:r>
      <w:r>
        <w:rPr>
          <w:rFonts w:hint="eastAsia" w:ascii="宋体" w:hAnsi="宋体"/>
          <w:szCs w:val="21"/>
          <w:highlight w:val="none"/>
        </w:rPr>
        <w:tab/>
      </w:r>
      <w:r>
        <w:rPr>
          <w:rFonts w:hint="eastAsia" w:ascii="宋体" w:hAnsi="宋体"/>
          <w:szCs w:val="21"/>
          <w:highlight w:val="none"/>
        </w:rPr>
        <w:t>评标将在严格保密的情况下进行。</w:t>
      </w:r>
    </w:p>
    <w:p w14:paraId="347161B9">
      <w:pPr>
        <w:spacing w:line="360" w:lineRule="auto"/>
        <w:ind w:left="788" w:hanging="787" w:hangingChars="375"/>
        <w:rPr>
          <w:rFonts w:hint="eastAsia" w:ascii="宋体" w:hAnsi="宋体"/>
          <w:szCs w:val="21"/>
          <w:highlight w:val="none"/>
        </w:rPr>
      </w:pPr>
      <w:r>
        <w:rPr>
          <w:rFonts w:hint="eastAsia" w:ascii="宋体" w:hAnsi="宋体"/>
          <w:szCs w:val="21"/>
          <w:highlight w:val="none"/>
        </w:rPr>
        <w:t>23.2</w:t>
      </w:r>
      <w:r>
        <w:rPr>
          <w:rFonts w:hint="eastAsia" w:ascii="宋体" w:hAnsi="宋体"/>
          <w:szCs w:val="21"/>
          <w:highlight w:val="none"/>
        </w:rPr>
        <w:tab/>
      </w:r>
      <w:r>
        <w:rPr>
          <w:rFonts w:ascii="宋体" w:hAnsi="宋体"/>
          <w:szCs w:val="21"/>
          <w:highlight w:val="none"/>
        </w:rPr>
        <w:t>评审专家应当</w:t>
      </w:r>
      <w:r>
        <w:rPr>
          <w:rFonts w:hint="eastAsia" w:ascii="宋体" w:hAnsi="宋体"/>
          <w:szCs w:val="21"/>
          <w:highlight w:val="none"/>
        </w:rPr>
        <w:t>遵</w:t>
      </w:r>
      <w:r>
        <w:rPr>
          <w:rFonts w:ascii="宋体" w:hAnsi="宋体"/>
          <w:szCs w:val="21"/>
          <w:highlight w:val="none"/>
        </w:rPr>
        <w:t>守评审工作纪律，不得</w:t>
      </w:r>
      <w:r>
        <w:rPr>
          <w:rFonts w:hint="eastAsia" w:ascii="宋体" w:hAnsi="宋体"/>
          <w:szCs w:val="21"/>
          <w:highlight w:val="none"/>
        </w:rPr>
        <w:t>泄露</w:t>
      </w:r>
      <w:r>
        <w:rPr>
          <w:rFonts w:ascii="宋体" w:hAnsi="宋体"/>
          <w:szCs w:val="21"/>
          <w:highlight w:val="none"/>
        </w:rPr>
        <w:t>评审</w:t>
      </w:r>
      <w:r>
        <w:rPr>
          <w:rFonts w:hint="eastAsia" w:ascii="宋体" w:hAnsi="宋体"/>
          <w:szCs w:val="21"/>
          <w:highlight w:val="none"/>
        </w:rPr>
        <w:t>文件</w:t>
      </w:r>
      <w:r>
        <w:rPr>
          <w:rFonts w:ascii="宋体" w:hAnsi="宋体"/>
          <w:szCs w:val="21"/>
          <w:highlight w:val="none"/>
        </w:rPr>
        <w:t>、评审情况和评审中获悉的商业秘密。</w:t>
      </w:r>
    </w:p>
    <w:p w14:paraId="5E115A75">
      <w:pPr>
        <w:spacing w:line="360" w:lineRule="auto"/>
        <w:ind w:left="788" w:hanging="787" w:hangingChars="375"/>
        <w:rPr>
          <w:rFonts w:hint="eastAsia" w:ascii="宋体" w:hAnsi="宋体"/>
          <w:szCs w:val="21"/>
          <w:highlight w:val="none"/>
        </w:rPr>
      </w:pPr>
      <w:r>
        <w:rPr>
          <w:rFonts w:hint="eastAsia" w:ascii="宋体" w:hAnsi="宋体"/>
          <w:szCs w:val="21"/>
          <w:highlight w:val="none"/>
        </w:rPr>
        <w:t>23.3   投标人试图影响招标采购单位和评标委员会的任何活动，将导致其投标被拒绝，并承担相应的法律责任。</w:t>
      </w:r>
    </w:p>
    <w:p w14:paraId="5400CECC">
      <w:pPr>
        <w:spacing w:line="360" w:lineRule="auto"/>
        <w:ind w:left="1080" w:leftChars="257" w:hanging="540"/>
        <w:rPr>
          <w:rFonts w:hint="eastAsia" w:ascii="宋体" w:hAnsi="宋体"/>
          <w:szCs w:val="21"/>
          <w:highlight w:val="none"/>
        </w:rPr>
      </w:pPr>
    </w:p>
    <w:p w14:paraId="455C03D7">
      <w:pPr>
        <w:pStyle w:val="4"/>
        <w:spacing w:before="0" w:line="360" w:lineRule="auto"/>
        <w:jc w:val="center"/>
        <w:rPr>
          <w:rFonts w:hint="eastAsia" w:ascii="宋体" w:hAnsi="宋体" w:eastAsia="宋体"/>
          <w:sz w:val="24"/>
          <w:szCs w:val="24"/>
          <w:highlight w:val="none"/>
        </w:rPr>
      </w:pPr>
      <w:bookmarkStart w:id="142" w:name="_Toc216582810"/>
      <w:bookmarkStart w:id="143" w:name="_Toc6900"/>
      <w:bookmarkStart w:id="144" w:name="_Toc109736055"/>
      <w:r>
        <w:rPr>
          <w:rFonts w:hint="eastAsia" w:ascii="宋体" w:hAnsi="宋体" w:eastAsia="宋体"/>
          <w:sz w:val="24"/>
          <w:szCs w:val="24"/>
          <w:highlight w:val="none"/>
        </w:rPr>
        <w:t xml:space="preserve">六   </w:t>
      </w:r>
      <w:bookmarkEnd w:id="141"/>
      <w:r>
        <w:rPr>
          <w:rFonts w:hint="eastAsia" w:ascii="宋体" w:hAnsi="宋体" w:eastAsia="宋体"/>
          <w:sz w:val="24"/>
          <w:szCs w:val="24"/>
          <w:highlight w:val="none"/>
        </w:rPr>
        <w:t>确定中标</w:t>
      </w:r>
      <w:bookmarkEnd w:id="142"/>
      <w:bookmarkEnd w:id="143"/>
      <w:bookmarkEnd w:id="144"/>
    </w:p>
    <w:p w14:paraId="3BD71E1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5" w:name="_Toc520356170"/>
      <w:bookmarkStart w:id="146" w:name="_Toc109736056"/>
      <w:bookmarkStart w:id="147" w:name="_Ref467307010"/>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4</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中标候选投标人的确定原则及标准</w:t>
      </w:r>
      <w:bookmarkEnd w:id="145"/>
      <w:bookmarkEnd w:id="146"/>
      <w:bookmarkEnd w:id="147"/>
    </w:p>
    <w:p w14:paraId="630AA74C">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除第27条规定外，确定实质上响应招标文件且满足</w:t>
      </w:r>
      <w:r>
        <w:rPr>
          <w:rFonts w:hint="eastAsia" w:ascii="宋体" w:hAnsi="宋体"/>
          <w:szCs w:val="21"/>
          <w:highlight w:val="none"/>
          <w:u w:val="single"/>
        </w:rPr>
        <w:t>投标人须知资料表</w:t>
      </w:r>
      <w:r>
        <w:rPr>
          <w:rFonts w:hint="eastAsia" w:ascii="宋体" w:hAnsi="宋体"/>
          <w:szCs w:val="21"/>
          <w:highlight w:val="none"/>
        </w:rPr>
        <w:t>中规定的下列条件之一者为中标候选投标人。</w:t>
      </w:r>
    </w:p>
    <w:p w14:paraId="7BDCC2DF">
      <w:pPr>
        <w:spacing w:line="360" w:lineRule="auto"/>
        <w:ind w:left="901"/>
        <w:rPr>
          <w:rFonts w:hint="eastAsia" w:ascii="宋体" w:hAnsi="宋体"/>
          <w:szCs w:val="21"/>
          <w:highlight w:val="none"/>
        </w:rPr>
      </w:pPr>
      <w:r>
        <w:rPr>
          <w:rFonts w:hint="eastAsia" w:ascii="宋体" w:hAnsi="宋体"/>
          <w:szCs w:val="21"/>
          <w:highlight w:val="none"/>
        </w:rPr>
        <w:t>（1）如果采用最低评标价法，</w:t>
      </w:r>
      <w:r>
        <w:rPr>
          <w:rFonts w:hint="eastAsia" w:ascii="宋体" w:hAnsi="宋体"/>
          <w:szCs w:val="21"/>
          <w:highlight w:val="none"/>
          <w:lang w:val="en-US" w:eastAsia="zh-CN"/>
        </w:rPr>
        <w:t>满足技术需求的前提下，</w:t>
      </w:r>
      <w:r>
        <w:rPr>
          <w:rFonts w:hint="eastAsia" w:ascii="宋体" w:hAnsi="宋体"/>
          <w:szCs w:val="21"/>
          <w:highlight w:val="none"/>
        </w:rPr>
        <w:t>按评审后投标报价经</w:t>
      </w:r>
      <w:r>
        <w:rPr>
          <w:rFonts w:ascii="宋体" w:hAnsi="宋体"/>
          <w:szCs w:val="21"/>
          <w:highlight w:val="none"/>
        </w:rPr>
        <w:t>政策功能扣除后</w:t>
      </w:r>
      <w:r>
        <w:rPr>
          <w:rFonts w:hint="eastAsia" w:ascii="宋体" w:hAnsi="宋体"/>
          <w:szCs w:val="21"/>
          <w:highlight w:val="none"/>
        </w:rPr>
        <w:t>由低到高顺序排列。</w:t>
      </w:r>
    </w:p>
    <w:p w14:paraId="01931F42">
      <w:pPr>
        <w:spacing w:line="360" w:lineRule="auto"/>
        <w:ind w:left="901"/>
        <w:rPr>
          <w:rFonts w:hint="eastAsia" w:ascii="宋体" w:hAnsi="宋体"/>
          <w:szCs w:val="21"/>
          <w:highlight w:val="none"/>
        </w:rPr>
      </w:pPr>
      <w:r>
        <w:rPr>
          <w:rFonts w:hint="eastAsia" w:ascii="宋体" w:hAnsi="宋体"/>
          <w:szCs w:val="21"/>
          <w:highlight w:val="none"/>
        </w:rPr>
        <w:t>（2）如果采用综合评分法，按评审后得分由高到低顺序排列。得分相同的，按投标报价由低到高顺序排列，得分与投标报价均相同的，按技术指标优劣排列。</w:t>
      </w:r>
    </w:p>
    <w:p w14:paraId="18443FC5">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8" w:name="_Toc520356171"/>
      <w:bookmarkStart w:id="149" w:name="_Toc109736057"/>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5</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48"/>
      <w:r>
        <w:rPr>
          <w:rFonts w:hint="eastAsia" w:ascii="宋体" w:hAnsi="宋体" w:eastAsia="宋体" w:cs="Times New Roman"/>
          <w:b/>
          <w:bCs/>
          <w:sz w:val="21"/>
          <w:szCs w:val="21"/>
          <w:highlight w:val="none"/>
        </w:rPr>
        <w:t>确定中标候选投标人和中标投标人</w:t>
      </w:r>
      <w:bookmarkEnd w:id="149"/>
    </w:p>
    <w:p w14:paraId="6B06F6D1">
      <w:pPr>
        <w:spacing w:line="360" w:lineRule="auto"/>
        <w:ind w:left="788" w:hanging="787" w:hangingChars="375"/>
        <w:rPr>
          <w:rFonts w:hint="default" w:ascii="宋体" w:hAnsi="宋体" w:eastAsia="宋体"/>
          <w:szCs w:val="21"/>
          <w:highlight w:val="none"/>
          <w:lang w:val="en-US" w:eastAsia="zh-CN"/>
        </w:rPr>
      </w:pPr>
      <w:r>
        <w:rPr>
          <w:rFonts w:hint="eastAsia" w:ascii="宋体" w:hAnsi="宋体"/>
          <w:szCs w:val="21"/>
          <w:highlight w:val="none"/>
        </w:rPr>
        <w:tab/>
      </w:r>
      <w:r>
        <w:rPr>
          <w:rFonts w:hint="eastAsia" w:ascii="宋体" w:hAnsi="宋体"/>
          <w:szCs w:val="21"/>
          <w:highlight w:val="none"/>
        </w:rPr>
        <w:t>评标委员会将根据评标标准，推荐已排序中标候选投标人</w:t>
      </w:r>
      <w:r>
        <w:rPr>
          <w:rFonts w:hint="eastAsia" w:ascii="宋体" w:hAnsi="宋体"/>
          <w:szCs w:val="21"/>
          <w:highlight w:val="none"/>
          <w:lang w:val="en-US" w:eastAsia="zh-CN"/>
        </w:rPr>
        <w:t>.提交扬州威克招议标领导小组及总经理办公会审议后定标。</w:t>
      </w:r>
    </w:p>
    <w:p w14:paraId="3AB0CAF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0" w:name="_Ref467306874"/>
      <w:bookmarkStart w:id="151" w:name="_Toc520356173"/>
      <w:bookmarkStart w:id="152" w:name="_Toc109736058"/>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6</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50"/>
      <w:bookmarkEnd w:id="151"/>
      <w:r>
        <w:rPr>
          <w:rFonts w:hint="eastAsia" w:ascii="宋体" w:hAnsi="宋体" w:eastAsia="宋体" w:cs="Times New Roman"/>
          <w:b/>
          <w:bCs/>
          <w:sz w:val="21"/>
          <w:szCs w:val="21"/>
          <w:highlight w:val="none"/>
        </w:rPr>
        <w:t>采购任务取消</w:t>
      </w:r>
      <w:bookmarkEnd w:id="152"/>
    </w:p>
    <w:p w14:paraId="15AA46DC">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当采购任务取消时，为维护国家和社会公共利益，招标人有权拒绝任何投标人中标，且对受影响的投标人不承担任何责任。</w:t>
      </w:r>
      <w:bookmarkStart w:id="153" w:name="_Toc520356174"/>
    </w:p>
    <w:p w14:paraId="20D39E8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4" w:name="_Toc109736059"/>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7</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中标通知书</w:t>
      </w:r>
      <w:bookmarkEnd w:id="153"/>
      <w:bookmarkEnd w:id="154"/>
    </w:p>
    <w:p w14:paraId="3A1E0143">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在投标有效期内，中标投标人确定后，招标采购单位以书面形式向中标投标人发出中标通知书。</w:t>
      </w:r>
    </w:p>
    <w:p w14:paraId="6C776887">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中标通知书是合同的组成部分。</w:t>
      </w:r>
    </w:p>
    <w:p w14:paraId="2FB9A14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5" w:name="_Ref467307204"/>
      <w:bookmarkStart w:id="156" w:name="_Ref467306377"/>
      <w:bookmarkStart w:id="157" w:name="_Ref467307062"/>
      <w:bookmarkStart w:id="158" w:name="_Toc520356175"/>
      <w:bookmarkStart w:id="159" w:name="_Ref467306978"/>
      <w:bookmarkStart w:id="160" w:name="_Toc109736060"/>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8</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签订合同</w:t>
      </w:r>
      <w:bookmarkEnd w:id="155"/>
      <w:bookmarkEnd w:id="156"/>
      <w:bookmarkEnd w:id="157"/>
      <w:bookmarkEnd w:id="158"/>
      <w:bookmarkEnd w:id="159"/>
      <w:bookmarkEnd w:id="160"/>
    </w:p>
    <w:p w14:paraId="23EC0A00">
      <w:pPr>
        <w:spacing w:line="360" w:lineRule="auto"/>
        <w:ind w:left="788" w:hanging="787" w:hangingChars="375"/>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中标投标人应当自发出中标通知书</w:t>
      </w:r>
      <w:r>
        <w:rPr>
          <w:rFonts w:hint="eastAsia" w:ascii="宋体" w:hAnsi="宋体"/>
          <w:szCs w:val="21"/>
          <w:highlight w:val="none"/>
          <w:lang w:val="en-US" w:eastAsia="zh-CN"/>
        </w:rPr>
        <w:t>后</w:t>
      </w:r>
      <w:r>
        <w:rPr>
          <w:rFonts w:hint="eastAsia" w:ascii="宋体" w:hAnsi="宋体"/>
          <w:szCs w:val="21"/>
          <w:highlight w:val="none"/>
        </w:rPr>
        <w:t>，</w:t>
      </w:r>
      <w:r>
        <w:rPr>
          <w:rFonts w:hint="eastAsia" w:ascii="宋体" w:hAnsi="宋体"/>
          <w:szCs w:val="21"/>
          <w:highlight w:val="none"/>
          <w:lang w:val="en-US" w:eastAsia="zh-CN"/>
        </w:rPr>
        <w:t>及时</w:t>
      </w:r>
      <w:r>
        <w:rPr>
          <w:rFonts w:hint="eastAsia" w:ascii="宋体" w:hAnsi="宋体"/>
          <w:szCs w:val="21"/>
          <w:highlight w:val="none"/>
        </w:rPr>
        <w:t>与招标人签订合同。</w:t>
      </w:r>
    </w:p>
    <w:p w14:paraId="115801DE">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.2</w:t>
      </w:r>
      <w:r>
        <w:rPr>
          <w:rFonts w:hint="eastAsia" w:ascii="宋体" w:hAnsi="宋体"/>
          <w:szCs w:val="21"/>
          <w:highlight w:val="none"/>
        </w:rPr>
        <w:tab/>
      </w:r>
      <w:bookmarkStart w:id="161" w:name="_Ref467307090"/>
      <w:bookmarkStart w:id="162" w:name="_Toc520356176"/>
      <w:bookmarkStart w:id="163" w:name="_Ref467306425"/>
      <w:r>
        <w:rPr>
          <w:rFonts w:hint="eastAsia" w:ascii="宋体" w:hAnsi="宋体"/>
          <w:szCs w:val="21"/>
          <w:highlight w:val="none"/>
        </w:rPr>
        <w:t>招标文件、中标投标人的投标文件及其澄清文件等，均为签订合同的依据。</w:t>
      </w:r>
    </w:p>
    <w:p w14:paraId="4A0E6254">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.3   中</w:t>
      </w:r>
      <w:r>
        <w:rPr>
          <w:rFonts w:ascii="宋体" w:hAnsi="宋体"/>
          <w:szCs w:val="21"/>
          <w:highlight w:val="none"/>
        </w:rPr>
        <w:t>标投标人拒绝与招标人签订合同的，招标人可以按照评审报告推荐的中标候选人</w:t>
      </w:r>
      <w:r>
        <w:rPr>
          <w:rFonts w:hint="eastAsia" w:ascii="宋体" w:hAnsi="宋体"/>
          <w:szCs w:val="21"/>
          <w:highlight w:val="none"/>
        </w:rPr>
        <w:t>名单</w:t>
      </w:r>
      <w:r>
        <w:rPr>
          <w:rFonts w:ascii="宋体" w:hAnsi="宋体"/>
          <w:szCs w:val="21"/>
          <w:highlight w:val="none"/>
        </w:rPr>
        <w:t>排序</w:t>
      </w:r>
      <w:r>
        <w:rPr>
          <w:rFonts w:hint="eastAsia" w:ascii="宋体" w:hAnsi="宋体"/>
          <w:szCs w:val="21"/>
          <w:highlight w:val="none"/>
        </w:rPr>
        <w:t>，</w:t>
      </w:r>
      <w:r>
        <w:rPr>
          <w:rFonts w:ascii="宋体" w:hAnsi="宋体"/>
          <w:szCs w:val="21"/>
          <w:highlight w:val="none"/>
        </w:rPr>
        <w:t>确定下一</w:t>
      </w:r>
      <w:r>
        <w:rPr>
          <w:rFonts w:hint="eastAsia" w:ascii="宋体" w:hAnsi="宋体"/>
          <w:szCs w:val="21"/>
          <w:highlight w:val="none"/>
        </w:rPr>
        <w:t>候选</w:t>
      </w:r>
      <w:r>
        <w:rPr>
          <w:rFonts w:ascii="宋体" w:hAnsi="宋体"/>
          <w:szCs w:val="21"/>
          <w:highlight w:val="none"/>
        </w:rPr>
        <w:t>人为中标投标人，也可以重新开展</w:t>
      </w:r>
      <w:r>
        <w:rPr>
          <w:rFonts w:hint="eastAsia" w:ascii="宋体" w:hAnsi="宋体"/>
          <w:szCs w:val="21"/>
          <w:highlight w:val="none"/>
        </w:rPr>
        <w:t>招标</w:t>
      </w:r>
      <w:r>
        <w:rPr>
          <w:rFonts w:ascii="宋体" w:hAnsi="宋体"/>
          <w:szCs w:val="21"/>
          <w:highlight w:val="none"/>
        </w:rPr>
        <w:t>活动。</w:t>
      </w:r>
    </w:p>
    <w:p w14:paraId="6986EF84">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.4   当出现法规规定的中标无效情形时，招标人可与其他中标投标人或中标候选投标人签订合同，或依法重新招标。</w:t>
      </w:r>
    </w:p>
    <w:p w14:paraId="253A1654">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64" w:name="_Toc109736061"/>
      <w:r>
        <w:rPr>
          <w:rFonts w:hint="eastAsia" w:ascii="宋体" w:hAnsi="宋体" w:eastAsia="宋体" w:cs="Times New Roman"/>
          <w:b/>
          <w:bCs/>
          <w:sz w:val="21"/>
          <w:szCs w:val="21"/>
          <w:highlight w:val="none"/>
          <w:lang w:val="en-US" w:eastAsia="zh-CN"/>
        </w:rPr>
        <w:t>29</w:t>
      </w:r>
      <w:r>
        <w:rPr>
          <w:rFonts w:hint="eastAsia" w:ascii="宋体" w:hAnsi="宋体" w:eastAsia="宋体" w:cs="Times New Roman"/>
          <w:b/>
          <w:bCs/>
          <w:sz w:val="21"/>
          <w:szCs w:val="21"/>
          <w:highlight w:val="none"/>
        </w:rPr>
        <w:t xml:space="preserve">．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履约保证金</w:t>
      </w:r>
      <w:bookmarkEnd w:id="161"/>
      <w:bookmarkEnd w:id="162"/>
      <w:bookmarkEnd w:id="163"/>
      <w:bookmarkEnd w:id="164"/>
    </w:p>
    <w:p w14:paraId="6F13A0D8">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中标投标人应按照</w:t>
      </w:r>
      <w:r>
        <w:rPr>
          <w:rFonts w:hint="eastAsia" w:ascii="宋体" w:hAnsi="宋体"/>
          <w:szCs w:val="21"/>
          <w:highlight w:val="none"/>
          <w:u w:val="single"/>
        </w:rPr>
        <w:t>投标人须知资料表</w:t>
      </w:r>
      <w:r>
        <w:rPr>
          <w:rFonts w:hint="eastAsia" w:ascii="宋体" w:hAnsi="宋体"/>
          <w:szCs w:val="21"/>
          <w:highlight w:val="none"/>
        </w:rPr>
        <w:t>规定的金额、形式和时间向招标人缴纳履约保证金（如采用保函形式，格式见本章附件</w:t>
      </w:r>
      <w:r>
        <w:rPr>
          <w:rFonts w:ascii="宋体" w:hAnsi="宋体"/>
          <w:szCs w:val="21"/>
          <w:highlight w:val="none"/>
        </w:rPr>
        <w:t>1</w:t>
      </w:r>
      <w:r>
        <w:rPr>
          <w:rFonts w:hint="eastAsia" w:ascii="宋体" w:hAnsi="宋体"/>
          <w:szCs w:val="21"/>
          <w:highlight w:val="none"/>
        </w:rPr>
        <w:t>）。</w:t>
      </w:r>
    </w:p>
    <w:p w14:paraId="2C151C94">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如果中标投标人没有按照</w:t>
      </w:r>
      <w:r>
        <w:rPr>
          <w:rFonts w:hint="eastAsia" w:ascii="宋体" w:hAnsi="宋体"/>
          <w:szCs w:val="21"/>
          <w:highlight w:val="none"/>
          <w:lang w:val="en-US" w:eastAsia="zh-CN"/>
        </w:rPr>
        <w:t>招标文件</w:t>
      </w:r>
      <w:r>
        <w:rPr>
          <w:rFonts w:hint="eastAsia" w:ascii="宋体" w:hAnsi="宋体"/>
          <w:szCs w:val="21"/>
          <w:highlight w:val="none"/>
        </w:rPr>
        <w:t>规定执行，将视为放弃中标资格，中标投标人的投标保证金将被没收。在此情况下，招标采购单位可选下一个中标候选投标人。</w:t>
      </w:r>
    </w:p>
    <w:p w14:paraId="54D6104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5" w:name="_Toc109736062"/>
      <w:r>
        <w:rPr>
          <w:rFonts w:hint="eastAsia" w:ascii="宋体" w:hAnsi="宋体" w:eastAsia="宋体" w:cs="Times New Roman"/>
          <w:b/>
          <w:bCs/>
          <w:sz w:val="21"/>
          <w:szCs w:val="21"/>
          <w:highlight w:val="none"/>
          <w:lang w:val="en-US" w:eastAsia="zh-CN"/>
        </w:rPr>
        <w:t>30.    廉洁自律规定</w:t>
      </w:r>
      <w:bookmarkEnd w:id="165"/>
    </w:p>
    <w:p w14:paraId="3F08B2BB">
      <w:pPr>
        <w:spacing w:line="360" w:lineRule="auto"/>
        <w:ind w:left="788" w:hanging="787" w:hangingChars="375"/>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 xml:space="preserve">.1 </w:t>
      </w:r>
      <w:r>
        <w:rPr>
          <w:rFonts w:ascii="宋体" w:hAnsi="宋体"/>
          <w:szCs w:val="21"/>
          <w:highlight w:val="none"/>
        </w:rPr>
        <w:t xml:space="preserve">  </w:t>
      </w:r>
      <w:r>
        <w:rPr>
          <w:rFonts w:hint="eastAsia" w:ascii="宋体" w:hAnsi="宋体"/>
          <w:szCs w:val="21"/>
          <w:highlight w:val="none"/>
        </w:rPr>
        <w:t>招标机构</w:t>
      </w:r>
      <w:r>
        <w:rPr>
          <w:rFonts w:ascii="宋体" w:hAnsi="宋体"/>
          <w:szCs w:val="21"/>
          <w:highlight w:val="none"/>
        </w:rPr>
        <w:t>工作人员</w:t>
      </w:r>
      <w:r>
        <w:rPr>
          <w:rFonts w:hint="eastAsia" w:ascii="宋体" w:hAnsi="宋体"/>
          <w:szCs w:val="21"/>
          <w:highlight w:val="none"/>
        </w:rPr>
        <w:t>不得以不正当手段获取业务，不得与招标人、投标人恶意串通操纵采购活动。</w:t>
      </w:r>
    </w:p>
    <w:p w14:paraId="7E006D95">
      <w:pPr>
        <w:spacing w:line="360" w:lineRule="auto"/>
        <w:ind w:left="788" w:hanging="787" w:hangingChars="375"/>
        <w:rPr>
          <w:rFonts w:hint="eastAsia" w:ascii="宋体" w:hAnsi="宋体"/>
          <w:szCs w:val="21"/>
          <w:highlight w:val="none"/>
        </w:rPr>
      </w:pPr>
      <w:r>
        <w:rPr>
          <w:rFonts w:ascii="宋体" w:hAnsi="宋体"/>
          <w:szCs w:val="21"/>
          <w:highlight w:val="none"/>
        </w:rPr>
        <w:t>3</w:t>
      </w:r>
      <w:r>
        <w:rPr>
          <w:rFonts w:hint="eastAsia" w:ascii="宋体" w:hAnsi="宋体"/>
          <w:szCs w:val="21"/>
          <w:highlight w:val="none"/>
          <w:lang w:val="en-US" w:eastAsia="zh-CN"/>
        </w:rPr>
        <w:t>0</w:t>
      </w:r>
      <w:r>
        <w:rPr>
          <w:rFonts w:ascii="宋体" w:hAnsi="宋体"/>
          <w:szCs w:val="21"/>
          <w:highlight w:val="none"/>
        </w:rPr>
        <w:t xml:space="preserve">.2   </w:t>
      </w:r>
      <w:r>
        <w:rPr>
          <w:rFonts w:hint="eastAsia" w:ascii="宋体" w:hAnsi="宋体"/>
          <w:szCs w:val="21"/>
          <w:highlight w:val="none"/>
        </w:rPr>
        <w:t>招标机构工作人员不得接受招标人或者投标人组织的宴请、旅游、娱乐，不得收受礼品、现金、有价证券等，不得向招标人或者投标人报销应当由个人承担的费用。</w:t>
      </w:r>
    </w:p>
    <w:p w14:paraId="0CE0D8D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6" w:name="_Toc109736063"/>
      <w:r>
        <w:rPr>
          <w:rFonts w:hint="eastAsia" w:ascii="宋体" w:hAnsi="宋体" w:eastAsia="宋体" w:cs="Times New Roman"/>
          <w:b/>
          <w:bCs/>
          <w:sz w:val="21"/>
          <w:szCs w:val="21"/>
          <w:highlight w:val="none"/>
          <w:lang w:val="en-US" w:eastAsia="zh-CN"/>
        </w:rPr>
        <w:t>31.    人员回避</w:t>
      </w:r>
      <w:bookmarkEnd w:id="166"/>
    </w:p>
    <w:p w14:paraId="1F345D94">
      <w:pPr>
        <w:spacing w:line="360" w:lineRule="auto"/>
        <w:ind w:left="788" w:hanging="787" w:hangingChars="375"/>
        <w:jc w:val="left"/>
        <w:rPr>
          <w:rFonts w:ascii="宋体" w:hAnsi="宋体"/>
          <w:szCs w:val="21"/>
          <w:highlight w:val="none"/>
        </w:rPr>
      </w:pPr>
      <w:r>
        <w:rPr>
          <w:rFonts w:ascii="宋体" w:hAnsi="宋体"/>
          <w:szCs w:val="21"/>
          <w:highlight w:val="none"/>
        </w:rPr>
        <w:t xml:space="preserve">       </w:t>
      </w:r>
      <w:r>
        <w:rPr>
          <w:rFonts w:hint="eastAsia" w:ascii="宋体" w:hAnsi="宋体"/>
          <w:szCs w:val="21"/>
          <w:highlight w:val="none"/>
        </w:rPr>
        <w:t>投标人</w:t>
      </w:r>
      <w:r>
        <w:rPr>
          <w:rFonts w:ascii="宋体" w:hAnsi="宋体"/>
          <w:szCs w:val="21"/>
          <w:highlight w:val="none"/>
        </w:rPr>
        <w:t>认为招标人员</w:t>
      </w:r>
      <w:r>
        <w:rPr>
          <w:rFonts w:hint="eastAsia" w:ascii="宋体" w:hAnsi="宋体"/>
          <w:szCs w:val="21"/>
          <w:highlight w:val="none"/>
        </w:rPr>
        <w:t>及其</w:t>
      </w:r>
      <w:r>
        <w:rPr>
          <w:rFonts w:ascii="宋体" w:hAnsi="宋体"/>
          <w:szCs w:val="21"/>
          <w:highlight w:val="none"/>
        </w:rPr>
        <w:t>相关人员有</w:t>
      </w:r>
      <w:r>
        <w:rPr>
          <w:rFonts w:hint="eastAsia" w:ascii="宋体" w:hAnsi="宋体"/>
          <w:szCs w:val="21"/>
          <w:highlight w:val="none"/>
        </w:rPr>
        <w:t>法律</w:t>
      </w:r>
      <w:r>
        <w:rPr>
          <w:rFonts w:ascii="宋体" w:hAnsi="宋体"/>
          <w:szCs w:val="21"/>
          <w:highlight w:val="none"/>
        </w:rPr>
        <w:t>法规所列与其他投标人</w:t>
      </w:r>
      <w:r>
        <w:rPr>
          <w:rFonts w:hint="eastAsia" w:ascii="宋体" w:hAnsi="宋体"/>
          <w:szCs w:val="21"/>
          <w:highlight w:val="none"/>
        </w:rPr>
        <w:t>有</w:t>
      </w:r>
      <w:r>
        <w:rPr>
          <w:rFonts w:ascii="宋体" w:hAnsi="宋体"/>
          <w:szCs w:val="21"/>
          <w:highlight w:val="none"/>
        </w:rPr>
        <w:t>利害关系的，可以向招标</w:t>
      </w:r>
      <w:r>
        <w:rPr>
          <w:rFonts w:hint="eastAsia" w:ascii="宋体" w:hAnsi="宋体"/>
          <w:szCs w:val="21"/>
          <w:highlight w:val="none"/>
        </w:rPr>
        <w:t>采购单位</w:t>
      </w:r>
      <w:r>
        <w:rPr>
          <w:rFonts w:ascii="宋体" w:hAnsi="宋体"/>
          <w:szCs w:val="21"/>
          <w:highlight w:val="none"/>
        </w:rPr>
        <w:t>书面提出回避申请，并说明理由。</w:t>
      </w:r>
      <w:bookmarkEnd w:id="55"/>
      <w:bookmarkEnd w:id="56"/>
      <w:bookmarkEnd w:id="57"/>
      <w:bookmarkEnd w:id="58"/>
      <w:bookmarkEnd w:id="59"/>
      <w:bookmarkStart w:id="167" w:name="_Toc109736064"/>
    </w:p>
    <w:p w14:paraId="58ACAEEA">
      <w:pPr>
        <w:rPr>
          <w:rFonts w:hint="eastAsia" w:ascii="宋体" w:hAnsi="宋体"/>
          <w:bCs/>
          <w:sz w:val="28"/>
          <w:szCs w:val="28"/>
          <w:highlight w:val="none"/>
        </w:rPr>
      </w:pPr>
      <w:r>
        <w:rPr>
          <w:rFonts w:hint="eastAsia" w:ascii="宋体" w:hAnsi="宋体"/>
          <w:bCs/>
          <w:sz w:val="28"/>
          <w:szCs w:val="28"/>
          <w:highlight w:val="none"/>
        </w:rPr>
        <w:br w:type="page"/>
      </w:r>
    </w:p>
    <w:p w14:paraId="2D2E56CB">
      <w:pPr>
        <w:keepNext w:val="0"/>
        <w:keepLines w:val="0"/>
        <w:pageBreakBefore w:val="0"/>
        <w:widowControl w:val="0"/>
        <w:kinsoku/>
        <w:wordWrap/>
        <w:overflowPunct/>
        <w:topLinePunct w:val="0"/>
        <w:autoSpaceDE/>
        <w:autoSpaceDN/>
        <w:bidi w:val="0"/>
        <w:adjustRightInd/>
        <w:snapToGrid/>
        <w:spacing w:line="360" w:lineRule="auto"/>
        <w:ind w:left="0" w:hanging="1054" w:hangingChars="375"/>
        <w:jc w:val="center"/>
        <w:textAlignment w:val="auto"/>
        <w:outlineLvl w:val="0"/>
        <w:rPr>
          <w:rFonts w:hint="eastAsia" w:ascii="宋体" w:hAnsi="宋体"/>
          <w:b/>
          <w:bCs w:val="0"/>
          <w:sz w:val="28"/>
          <w:szCs w:val="28"/>
          <w:highlight w:val="none"/>
        </w:rPr>
      </w:pPr>
      <w:bookmarkStart w:id="168" w:name="_Toc11624"/>
      <w:r>
        <w:rPr>
          <w:rFonts w:hint="eastAsia" w:ascii="宋体" w:hAnsi="宋体"/>
          <w:b/>
          <w:bCs w:val="0"/>
          <w:sz w:val="28"/>
          <w:szCs w:val="28"/>
          <w:highlight w:val="none"/>
        </w:rPr>
        <w:t>第三章 合同条款</w:t>
      </w:r>
      <w:bookmarkEnd w:id="167"/>
      <w:bookmarkEnd w:id="168"/>
    </w:p>
    <w:p w14:paraId="6CA09C78">
      <w:pPr>
        <w:pStyle w:val="4"/>
        <w:rPr>
          <w:rFonts w:hint="eastAsia" w:ascii="宋体" w:hAnsi="宋体" w:eastAsia="宋体"/>
          <w:sz w:val="21"/>
          <w:szCs w:val="21"/>
          <w:highlight w:val="none"/>
        </w:rPr>
      </w:pPr>
      <w:bookmarkStart w:id="169" w:name="_Toc109736065"/>
      <w:bookmarkStart w:id="170" w:name="_Toc11185"/>
      <w:r>
        <w:rPr>
          <w:rFonts w:hint="eastAsia" w:ascii="宋体" w:hAnsi="宋体" w:eastAsia="宋体"/>
          <w:sz w:val="21"/>
          <w:szCs w:val="21"/>
          <w:highlight w:val="none"/>
        </w:rPr>
        <w:t>一、合同通用条款</w:t>
      </w:r>
      <w:bookmarkEnd w:id="169"/>
      <w:bookmarkEnd w:id="170"/>
    </w:p>
    <w:p w14:paraId="28DE3BAD">
      <w:pPr>
        <w:outlineLvl w:val="2"/>
        <w:rPr>
          <w:rFonts w:ascii="宋体" w:hAnsi="宋体"/>
          <w:szCs w:val="21"/>
          <w:highlight w:val="none"/>
        </w:rPr>
      </w:pPr>
      <w:bookmarkStart w:id="171" w:name="_Ref467378463"/>
      <w:bookmarkStart w:id="172" w:name="_Toc415222497"/>
      <w:bookmarkStart w:id="173" w:name="_Ref467379195"/>
      <w:bookmarkStart w:id="174" w:name="_Ref467379101"/>
      <w:bookmarkStart w:id="175" w:name="_Ref467379094"/>
      <w:bookmarkStart w:id="176" w:name="_Ref467378499"/>
      <w:bookmarkStart w:id="177" w:name="_Toc487900349"/>
      <w:bookmarkStart w:id="178" w:name="_Ref467379109"/>
      <w:bookmarkStart w:id="179" w:name="_Ref467379225"/>
      <w:bookmarkStart w:id="180" w:name="_Ref467379205"/>
      <w:bookmarkStart w:id="181" w:name="_Ref467379214"/>
      <w:bookmarkStart w:id="182" w:name="_Ref467378404"/>
      <w:bookmarkStart w:id="183" w:name="_Toc31576"/>
      <w:bookmarkStart w:id="184" w:name="_Toc11182"/>
      <w:r>
        <w:rPr>
          <w:rFonts w:hint="eastAsia" w:ascii="宋体" w:hAnsi="宋体"/>
          <w:szCs w:val="21"/>
          <w:highlight w:val="none"/>
        </w:rPr>
        <w:t>1．   定义</w:t>
      </w:r>
      <w:bookmarkEnd w:id="171"/>
      <w:bookmarkEnd w:id="172"/>
      <w:bookmarkEnd w:id="173"/>
      <w:bookmarkEnd w:id="174"/>
      <w:bookmarkEnd w:id="175"/>
      <w:bookmarkEnd w:id="176"/>
      <w:bookmarkEnd w:id="177"/>
      <w:bookmarkEnd w:id="178"/>
      <w:bookmarkEnd w:id="179"/>
      <w:bookmarkEnd w:id="180"/>
      <w:bookmarkEnd w:id="181"/>
      <w:bookmarkEnd w:id="182"/>
      <w:r>
        <w:rPr>
          <w:rFonts w:hint="eastAsia" w:ascii="宋体" w:hAnsi="宋体"/>
          <w:szCs w:val="21"/>
          <w:highlight w:val="none"/>
          <w:lang w:eastAsia="zh-CN"/>
        </w:rPr>
        <w:t>：</w:t>
      </w:r>
      <w:r>
        <w:rPr>
          <w:rFonts w:hint="eastAsia" w:ascii="宋体" w:hAnsi="宋体"/>
          <w:szCs w:val="21"/>
          <w:highlight w:val="none"/>
        </w:rPr>
        <w:t>本合同中的下列术语应解释为：</w:t>
      </w:r>
      <w:bookmarkEnd w:id="183"/>
      <w:bookmarkEnd w:id="184"/>
    </w:p>
    <w:p w14:paraId="0233FEBF">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1.1   </w:t>
      </w:r>
      <w:r>
        <w:rPr>
          <w:rFonts w:ascii="宋体" w:hAnsi="宋体"/>
          <w:szCs w:val="21"/>
          <w:highlight w:val="none"/>
        </w:rPr>
        <w:t>“</w:t>
      </w:r>
      <w:r>
        <w:rPr>
          <w:rFonts w:hint="eastAsia" w:ascii="宋体" w:hAnsi="宋体"/>
          <w:szCs w:val="21"/>
          <w:highlight w:val="none"/>
        </w:rPr>
        <w:t>合同”系指买卖双方签署的、合同格式中载明的买卖双方所达成的协议，</w:t>
      </w:r>
      <w:r>
        <w:rPr>
          <w:rFonts w:ascii="宋体" w:hAnsi="宋体"/>
          <w:szCs w:val="21"/>
          <w:highlight w:val="none"/>
        </w:rPr>
        <w:t xml:space="preserve"> </w:t>
      </w:r>
      <w:r>
        <w:rPr>
          <w:rFonts w:hint="eastAsia" w:ascii="宋体" w:hAnsi="宋体"/>
          <w:szCs w:val="21"/>
          <w:highlight w:val="none"/>
        </w:rPr>
        <w:t>包括所有的附件、附录和构成合同的其它文件。</w:t>
      </w:r>
    </w:p>
    <w:p w14:paraId="06817B21">
      <w:pPr>
        <w:spacing w:line="360" w:lineRule="auto"/>
        <w:ind w:left="788" w:hanging="787" w:hangingChars="375"/>
        <w:rPr>
          <w:rFonts w:ascii="宋体" w:hAnsi="宋体"/>
          <w:szCs w:val="21"/>
          <w:highlight w:val="none"/>
        </w:rPr>
      </w:pPr>
      <w:r>
        <w:rPr>
          <w:rFonts w:hint="eastAsia" w:ascii="宋体" w:hAnsi="宋体"/>
          <w:szCs w:val="21"/>
          <w:highlight w:val="none"/>
        </w:rPr>
        <w:t xml:space="preserve">1.2   </w:t>
      </w:r>
      <w:r>
        <w:rPr>
          <w:rFonts w:ascii="宋体" w:hAnsi="宋体"/>
          <w:szCs w:val="21"/>
          <w:highlight w:val="none"/>
        </w:rPr>
        <w:t>“</w:t>
      </w:r>
      <w:r>
        <w:rPr>
          <w:rFonts w:hint="eastAsia" w:ascii="宋体" w:hAnsi="宋体"/>
          <w:szCs w:val="21"/>
          <w:highlight w:val="none"/>
        </w:rPr>
        <w:t>合同价”系指根据合同约定，卖方在完全履行合同义务后买方应付给卖方的价格。</w:t>
      </w:r>
    </w:p>
    <w:p w14:paraId="54FDFEB0">
      <w:pPr>
        <w:spacing w:line="360" w:lineRule="auto"/>
        <w:ind w:left="788" w:hanging="787" w:hangingChars="375"/>
        <w:rPr>
          <w:rFonts w:ascii="宋体" w:hAnsi="宋体"/>
          <w:szCs w:val="21"/>
          <w:highlight w:val="none"/>
        </w:rPr>
      </w:pPr>
      <w:r>
        <w:rPr>
          <w:rFonts w:hint="eastAsia" w:ascii="宋体" w:hAnsi="宋体"/>
          <w:szCs w:val="21"/>
          <w:highlight w:val="none"/>
        </w:rPr>
        <w:t>1.3   “货物”系指卖方根据合同约定须向买方提供的一切设备、机械、仪表、备件，包括工具、手册等其它相关资料。</w:t>
      </w:r>
    </w:p>
    <w:p w14:paraId="3718EFE9">
      <w:pPr>
        <w:spacing w:line="360" w:lineRule="auto"/>
        <w:ind w:left="788" w:hanging="787" w:hangingChars="375"/>
        <w:rPr>
          <w:rFonts w:ascii="宋体" w:hAnsi="宋体"/>
          <w:szCs w:val="21"/>
          <w:highlight w:val="none"/>
        </w:rPr>
      </w:pPr>
      <w:r>
        <w:rPr>
          <w:rFonts w:hint="eastAsia" w:ascii="宋体" w:hAnsi="宋体"/>
          <w:szCs w:val="21"/>
          <w:highlight w:val="none"/>
        </w:rPr>
        <w:t xml:space="preserve">1.4   </w:t>
      </w:r>
      <w:r>
        <w:rPr>
          <w:rFonts w:ascii="宋体" w:hAnsi="宋体"/>
          <w:szCs w:val="21"/>
          <w:highlight w:val="none"/>
        </w:rPr>
        <w:t>“</w:t>
      </w:r>
      <w:r>
        <w:rPr>
          <w:rFonts w:hint="eastAsia" w:ascii="宋体" w:hAnsi="宋体"/>
          <w:szCs w:val="21"/>
          <w:highlight w:val="none"/>
        </w:rPr>
        <w:t>服务”系指根据合同约定卖方承担与供货有关的辅助服务，如运输、保险及安装、调试、提供技术援助、培训和其他类似的服务。</w:t>
      </w:r>
    </w:p>
    <w:p w14:paraId="3B55FCC0">
      <w:pPr>
        <w:spacing w:line="360" w:lineRule="auto"/>
        <w:ind w:left="788" w:hanging="787" w:hangingChars="375"/>
        <w:rPr>
          <w:rFonts w:ascii="宋体" w:hAnsi="宋体"/>
          <w:szCs w:val="21"/>
          <w:highlight w:val="none"/>
        </w:rPr>
      </w:pPr>
      <w:bookmarkStart w:id="185" w:name="_Ref467378840"/>
      <w:r>
        <w:rPr>
          <w:rFonts w:hint="eastAsia" w:ascii="宋体" w:hAnsi="宋体"/>
          <w:szCs w:val="21"/>
          <w:highlight w:val="none"/>
        </w:rPr>
        <w:t xml:space="preserve">1.5   </w:t>
      </w:r>
      <w:r>
        <w:rPr>
          <w:rFonts w:ascii="宋体" w:hAnsi="宋体"/>
          <w:szCs w:val="21"/>
          <w:highlight w:val="none"/>
        </w:rPr>
        <w:t>“</w:t>
      </w:r>
      <w:r>
        <w:rPr>
          <w:rFonts w:hint="eastAsia" w:ascii="宋体" w:hAnsi="宋体"/>
          <w:szCs w:val="21"/>
          <w:highlight w:val="none"/>
        </w:rPr>
        <w:t>买方”系指与中标投标人签署供货合同的单位（含最终用户）。</w:t>
      </w:r>
      <w:bookmarkEnd w:id="185"/>
    </w:p>
    <w:p w14:paraId="65E6F2AA">
      <w:pPr>
        <w:spacing w:line="360" w:lineRule="auto"/>
        <w:ind w:left="788" w:hanging="787" w:hangingChars="375"/>
        <w:rPr>
          <w:rFonts w:ascii="宋体" w:hAnsi="宋体"/>
          <w:szCs w:val="21"/>
          <w:highlight w:val="none"/>
        </w:rPr>
      </w:pPr>
      <w:bookmarkStart w:id="186" w:name="_Ref467379400"/>
      <w:r>
        <w:rPr>
          <w:rFonts w:hint="eastAsia" w:ascii="宋体" w:hAnsi="宋体"/>
          <w:szCs w:val="21"/>
          <w:highlight w:val="none"/>
        </w:rPr>
        <w:t xml:space="preserve">1.6   </w:t>
      </w:r>
      <w:r>
        <w:rPr>
          <w:rFonts w:ascii="宋体" w:hAnsi="宋体"/>
          <w:szCs w:val="21"/>
          <w:highlight w:val="none"/>
        </w:rPr>
        <w:t>“</w:t>
      </w:r>
      <w:r>
        <w:rPr>
          <w:rFonts w:hint="eastAsia" w:ascii="宋体" w:hAnsi="宋体"/>
          <w:szCs w:val="21"/>
          <w:highlight w:val="none"/>
        </w:rPr>
        <w:t>卖方”系指根据合同约定提供货物及相关服务的中标投标人。</w:t>
      </w:r>
      <w:bookmarkEnd w:id="186"/>
    </w:p>
    <w:p w14:paraId="09A66FB9">
      <w:pPr>
        <w:spacing w:line="360" w:lineRule="auto"/>
        <w:ind w:left="788" w:hanging="787" w:hangingChars="375"/>
        <w:rPr>
          <w:rFonts w:ascii="宋体" w:hAnsi="宋体"/>
          <w:szCs w:val="21"/>
          <w:highlight w:val="none"/>
        </w:rPr>
      </w:pPr>
      <w:bookmarkStart w:id="187" w:name="_Ref467379436"/>
      <w:r>
        <w:rPr>
          <w:rFonts w:hint="eastAsia" w:ascii="宋体" w:hAnsi="宋体"/>
          <w:szCs w:val="21"/>
          <w:highlight w:val="none"/>
        </w:rPr>
        <w:t xml:space="preserve">1.7   </w:t>
      </w:r>
      <w:r>
        <w:rPr>
          <w:rFonts w:ascii="宋体" w:hAnsi="宋体"/>
          <w:szCs w:val="21"/>
          <w:highlight w:val="none"/>
        </w:rPr>
        <w:t>“</w:t>
      </w:r>
      <w:r>
        <w:rPr>
          <w:rFonts w:hint="eastAsia" w:ascii="宋体" w:hAnsi="宋体"/>
          <w:szCs w:val="21"/>
          <w:highlight w:val="none"/>
        </w:rPr>
        <w:t>现场”系指合同约定货物将要运至和安装的地点。</w:t>
      </w:r>
      <w:bookmarkEnd w:id="187"/>
    </w:p>
    <w:p w14:paraId="09D79BFD">
      <w:pPr>
        <w:spacing w:line="360" w:lineRule="auto"/>
        <w:ind w:left="788" w:hanging="787" w:hangingChars="375"/>
        <w:rPr>
          <w:rFonts w:ascii="宋体" w:hAnsi="宋体"/>
          <w:szCs w:val="21"/>
          <w:highlight w:val="none"/>
        </w:rPr>
      </w:pPr>
      <w:r>
        <w:rPr>
          <w:rFonts w:hint="eastAsia" w:ascii="宋体" w:hAnsi="宋体"/>
          <w:szCs w:val="21"/>
          <w:highlight w:val="none"/>
        </w:rPr>
        <w:t xml:space="preserve">1.8   </w:t>
      </w:r>
      <w:r>
        <w:rPr>
          <w:rFonts w:ascii="宋体" w:hAnsi="宋体"/>
          <w:szCs w:val="21"/>
          <w:highlight w:val="none"/>
        </w:rPr>
        <w:t>“</w:t>
      </w:r>
      <w:r>
        <w:rPr>
          <w:rFonts w:hint="eastAsia" w:ascii="宋体" w:hAnsi="宋体"/>
          <w:szCs w:val="21"/>
          <w:highlight w:val="none"/>
        </w:rPr>
        <w:t>验收”系指合同双方依据强制性的国家技术质量规范和合同约定，确认合同项下的货物符合合同规定的活动。</w:t>
      </w:r>
    </w:p>
    <w:p w14:paraId="16E168CF">
      <w:pPr>
        <w:outlineLvl w:val="2"/>
        <w:rPr>
          <w:rFonts w:ascii="宋体" w:hAnsi="宋体"/>
          <w:szCs w:val="21"/>
          <w:highlight w:val="none"/>
        </w:rPr>
      </w:pPr>
      <w:bookmarkStart w:id="188" w:name="_Toc487900350"/>
      <w:bookmarkStart w:id="189" w:name="_Toc415222498"/>
      <w:bookmarkStart w:id="190" w:name="_Toc31740"/>
      <w:bookmarkStart w:id="191" w:name="_Toc10889"/>
      <w:r>
        <w:rPr>
          <w:rFonts w:hint="eastAsia" w:ascii="宋体" w:hAnsi="宋体"/>
          <w:szCs w:val="21"/>
          <w:highlight w:val="none"/>
        </w:rPr>
        <w:t>2     技术规范</w:t>
      </w:r>
      <w:bookmarkEnd w:id="188"/>
      <w:bookmarkEnd w:id="189"/>
      <w:bookmarkEnd w:id="190"/>
      <w:bookmarkEnd w:id="191"/>
    </w:p>
    <w:p w14:paraId="75A7DBED">
      <w:pPr>
        <w:spacing w:line="360" w:lineRule="auto"/>
        <w:ind w:left="630" w:hanging="630" w:hangingChars="300"/>
        <w:rPr>
          <w:rFonts w:ascii="宋体" w:hAnsi="宋体"/>
          <w:szCs w:val="21"/>
          <w:highlight w:val="none"/>
        </w:rPr>
      </w:pPr>
      <w:r>
        <w:rPr>
          <w:rFonts w:hint="eastAsia" w:ascii="宋体" w:hAnsi="宋体"/>
          <w:szCs w:val="21"/>
          <w:highlight w:val="none"/>
        </w:rPr>
        <w:t>2.1   提交货物的技术规范应与招标文件规定的技术规范和技术规范附件</w:t>
      </w:r>
      <w:r>
        <w:rPr>
          <w:rFonts w:ascii="宋体" w:hAnsi="宋体"/>
          <w:szCs w:val="21"/>
          <w:highlight w:val="none"/>
        </w:rPr>
        <w:t>(</w:t>
      </w:r>
      <w:r>
        <w:rPr>
          <w:rFonts w:hint="eastAsia" w:ascii="宋体" w:hAnsi="宋体"/>
          <w:szCs w:val="21"/>
          <w:highlight w:val="none"/>
        </w:rPr>
        <w:t>如果有的话</w:t>
      </w:r>
      <w:r>
        <w:rPr>
          <w:rFonts w:ascii="宋体" w:hAnsi="宋体"/>
          <w:szCs w:val="21"/>
          <w:highlight w:val="none"/>
        </w:rPr>
        <w:t>)</w:t>
      </w:r>
      <w:r>
        <w:rPr>
          <w:rFonts w:hint="eastAsia" w:ascii="宋体" w:hAnsi="宋体"/>
          <w:szCs w:val="21"/>
          <w:highlight w:val="none"/>
        </w:rPr>
        <w:t>及其投标文件的技术规范偏差表</w:t>
      </w:r>
      <w:r>
        <w:rPr>
          <w:rFonts w:ascii="宋体" w:hAnsi="宋体"/>
          <w:szCs w:val="21"/>
          <w:highlight w:val="none"/>
        </w:rPr>
        <w:t>(</w:t>
      </w:r>
      <w:r>
        <w:rPr>
          <w:rFonts w:hint="eastAsia" w:ascii="宋体" w:hAnsi="宋体"/>
          <w:szCs w:val="21"/>
          <w:highlight w:val="none"/>
        </w:rPr>
        <w:t>如果被买方接受的话</w:t>
      </w:r>
      <w:r>
        <w:rPr>
          <w:rFonts w:ascii="宋体" w:hAnsi="宋体"/>
          <w:szCs w:val="21"/>
          <w:highlight w:val="none"/>
        </w:rPr>
        <w:t>)</w:t>
      </w:r>
      <w:r>
        <w:rPr>
          <w:rFonts w:hint="eastAsia" w:ascii="宋体" w:hAnsi="宋体"/>
          <w:szCs w:val="21"/>
          <w:highlight w:val="none"/>
        </w:rPr>
        <w:t>相一致。若技术规范中无相应说明，则以国家有关部门最新颁布的相应标准及规范为准。</w:t>
      </w:r>
    </w:p>
    <w:p w14:paraId="4B618A92">
      <w:pPr>
        <w:outlineLvl w:val="2"/>
        <w:rPr>
          <w:rFonts w:ascii="宋体" w:hAnsi="宋体"/>
          <w:szCs w:val="21"/>
          <w:highlight w:val="none"/>
        </w:rPr>
      </w:pPr>
      <w:bookmarkStart w:id="192" w:name="_Toc2425"/>
      <w:bookmarkStart w:id="193" w:name="_Toc10492"/>
      <w:bookmarkStart w:id="194" w:name="_Toc415222499"/>
      <w:bookmarkStart w:id="195" w:name="_Toc487900351"/>
      <w:r>
        <w:rPr>
          <w:rFonts w:hint="eastAsia" w:ascii="宋体" w:hAnsi="宋体"/>
          <w:szCs w:val="21"/>
          <w:highlight w:val="none"/>
        </w:rPr>
        <w:t>3．   知识产权</w:t>
      </w:r>
      <w:bookmarkEnd w:id="192"/>
      <w:bookmarkEnd w:id="193"/>
      <w:bookmarkEnd w:id="194"/>
      <w:bookmarkEnd w:id="195"/>
    </w:p>
    <w:p w14:paraId="79DB5373">
      <w:pPr>
        <w:spacing w:line="360" w:lineRule="auto"/>
        <w:ind w:left="630" w:hanging="630" w:hangingChars="300"/>
        <w:rPr>
          <w:rFonts w:ascii="宋体" w:hAnsi="宋体"/>
          <w:szCs w:val="21"/>
          <w:highlight w:val="none"/>
        </w:rPr>
      </w:pPr>
      <w:r>
        <w:rPr>
          <w:rFonts w:hint="eastAsia" w:ascii="宋体" w:hAnsi="宋体"/>
          <w:szCs w:val="21"/>
          <w:highlight w:val="none"/>
        </w:rPr>
        <w:t>3.1   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227CE931">
      <w:pPr>
        <w:outlineLvl w:val="2"/>
        <w:rPr>
          <w:rFonts w:ascii="宋体" w:hAnsi="宋体"/>
          <w:szCs w:val="21"/>
          <w:highlight w:val="none"/>
        </w:rPr>
      </w:pPr>
      <w:bookmarkStart w:id="196" w:name="_Toc415222500"/>
      <w:bookmarkStart w:id="197" w:name="_Toc4693"/>
      <w:bookmarkStart w:id="198" w:name="_Toc18031"/>
      <w:bookmarkStart w:id="199" w:name="_Toc487900352"/>
      <w:r>
        <w:rPr>
          <w:rFonts w:hint="eastAsia" w:ascii="宋体" w:hAnsi="宋体"/>
          <w:szCs w:val="21"/>
          <w:highlight w:val="none"/>
        </w:rPr>
        <w:t>4．   包装要求</w:t>
      </w:r>
      <w:bookmarkEnd w:id="196"/>
      <w:bookmarkEnd w:id="197"/>
      <w:bookmarkEnd w:id="198"/>
      <w:bookmarkEnd w:id="199"/>
    </w:p>
    <w:p w14:paraId="55BBD29C">
      <w:pPr>
        <w:spacing w:line="360" w:lineRule="auto"/>
        <w:ind w:left="630" w:hanging="630" w:hangingChars="300"/>
        <w:rPr>
          <w:rFonts w:ascii="宋体" w:hAnsi="宋体"/>
          <w:szCs w:val="21"/>
          <w:highlight w:val="none"/>
        </w:rPr>
      </w:pPr>
      <w:r>
        <w:rPr>
          <w:rFonts w:hint="eastAsia" w:ascii="宋体" w:hAnsi="宋体"/>
          <w:szCs w:val="21"/>
          <w:highlight w:val="none"/>
        </w:rPr>
        <w:t>4.1   除合同另有约定外</w:t>
      </w:r>
      <w:r>
        <w:rPr>
          <w:rFonts w:ascii="宋体" w:hAnsi="宋体"/>
          <w:szCs w:val="21"/>
          <w:highlight w:val="none"/>
        </w:rPr>
        <w:t>,</w:t>
      </w:r>
      <w:r>
        <w:rPr>
          <w:rFonts w:hint="eastAsia" w:ascii="宋体" w:hAnsi="宋体"/>
          <w:szCs w:val="21"/>
          <w:highlight w:val="none"/>
        </w:rPr>
        <w:t>卖方提供的全部货物</w:t>
      </w:r>
      <w:r>
        <w:rPr>
          <w:rFonts w:ascii="宋体" w:hAnsi="宋体"/>
          <w:szCs w:val="21"/>
          <w:highlight w:val="none"/>
        </w:rPr>
        <w:t>,</w:t>
      </w:r>
      <w:r>
        <w:rPr>
          <w:rFonts w:hint="eastAsia" w:ascii="宋体" w:hAnsi="宋体"/>
          <w:szCs w:val="21"/>
          <w:highlight w:val="none"/>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013C3750">
      <w:pPr>
        <w:spacing w:line="360" w:lineRule="auto"/>
        <w:ind w:left="788" w:hanging="787" w:hangingChars="375"/>
        <w:rPr>
          <w:rFonts w:ascii="宋体" w:hAnsi="宋体"/>
          <w:szCs w:val="21"/>
          <w:highlight w:val="none"/>
        </w:rPr>
      </w:pPr>
      <w:r>
        <w:rPr>
          <w:rFonts w:hint="eastAsia" w:ascii="宋体" w:hAnsi="宋体"/>
          <w:szCs w:val="21"/>
          <w:highlight w:val="none"/>
        </w:rPr>
        <w:t>4.2   每件包装箱内应附一份详细装箱单和质量合格证。</w:t>
      </w:r>
    </w:p>
    <w:p w14:paraId="2583C48E">
      <w:pPr>
        <w:outlineLvl w:val="2"/>
        <w:rPr>
          <w:rFonts w:ascii="宋体" w:hAnsi="宋体"/>
          <w:szCs w:val="21"/>
          <w:highlight w:val="none"/>
        </w:rPr>
      </w:pPr>
      <w:bookmarkStart w:id="200" w:name="_Toc1323"/>
      <w:bookmarkStart w:id="201" w:name="_Toc487900353"/>
      <w:bookmarkStart w:id="202" w:name="_Toc17967"/>
      <w:bookmarkStart w:id="203" w:name="_Toc415222501"/>
      <w:r>
        <w:rPr>
          <w:rFonts w:hint="eastAsia" w:ascii="宋体" w:hAnsi="宋体"/>
          <w:szCs w:val="21"/>
          <w:highlight w:val="none"/>
        </w:rPr>
        <w:t>5．  装运标志</w:t>
      </w:r>
      <w:bookmarkEnd w:id="200"/>
      <w:bookmarkEnd w:id="201"/>
      <w:bookmarkEnd w:id="202"/>
      <w:bookmarkEnd w:id="203"/>
    </w:p>
    <w:p w14:paraId="24B357EC">
      <w:pPr>
        <w:spacing w:line="360" w:lineRule="auto"/>
        <w:ind w:left="788" w:hanging="787" w:hangingChars="375"/>
        <w:rPr>
          <w:rFonts w:ascii="宋体" w:hAnsi="宋体"/>
          <w:szCs w:val="21"/>
          <w:highlight w:val="none"/>
        </w:rPr>
      </w:pPr>
      <w:r>
        <w:rPr>
          <w:rFonts w:hint="eastAsia" w:ascii="宋体" w:hAnsi="宋体"/>
          <w:szCs w:val="21"/>
          <w:highlight w:val="none"/>
        </w:rPr>
        <w:t>5.1  卖方应在每一包装箱的四侧用不褪色的油漆以醒目的中文字样做出下列标记：</w:t>
      </w:r>
    </w:p>
    <w:p w14:paraId="6AF06378">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w:t>
      </w:r>
      <w:r>
        <w:rPr>
          <w:rFonts w:ascii="宋体" w:hAnsi="宋体"/>
          <w:szCs w:val="21"/>
          <w:highlight w:val="none"/>
          <w:u w:val="single"/>
        </w:rPr>
        <w:t xml:space="preserve">                                   </w:t>
      </w:r>
    </w:p>
    <w:p w14:paraId="58920922">
      <w:pPr>
        <w:spacing w:line="360" w:lineRule="auto"/>
        <w:ind w:left="1026" w:leftChars="314" w:hanging="367" w:hangingChars="175"/>
        <w:rPr>
          <w:rFonts w:ascii="宋体" w:hAnsi="宋体"/>
          <w:szCs w:val="21"/>
          <w:highlight w:val="none"/>
        </w:rPr>
      </w:pPr>
      <w:r>
        <w:rPr>
          <w:rFonts w:hint="eastAsia" w:ascii="宋体" w:hAnsi="宋体"/>
          <w:szCs w:val="21"/>
          <w:highlight w:val="none"/>
        </w:rPr>
        <w:t>合同号：</w:t>
      </w:r>
      <w:r>
        <w:rPr>
          <w:rFonts w:ascii="宋体" w:hAnsi="宋体"/>
          <w:szCs w:val="21"/>
          <w:highlight w:val="none"/>
          <w:u w:val="single"/>
        </w:rPr>
        <w:t xml:space="preserve">                                   </w:t>
      </w:r>
    </w:p>
    <w:p w14:paraId="71F10970">
      <w:pPr>
        <w:spacing w:line="360" w:lineRule="auto"/>
        <w:ind w:left="1026" w:leftChars="314" w:hanging="367" w:hangingChars="175"/>
        <w:rPr>
          <w:rFonts w:ascii="宋体" w:hAnsi="宋体"/>
          <w:szCs w:val="21"/>
          <w:highlight w:val="none"/>
        </w:rPr>
      </w:pPr>
      <w:r>
        <w:rPr>
          <w:rFonts w:hint="eastAsia" w:ascii="宋体" w:hAnsi="宋体"/>
          <w:szCs w:val="21"/>
          <w:highlight w:val="none"/>
        </w:rPr>
        <w:t>装运标志：</w:t>
      </w:r>
      <w:r>
        <w:rPr>
          <w:rFonts w:ascii="宋体" w:hAnsi="宋体"/>
          <w:szCs w:val="21"/>
          <w:highlight w:val="none"/>
          <w:u w:val="single"/>
        </w:rPr>
        <w:t xml:space="preserve">                                 </w:t>
      </w:r>
    </w:p>
    <w:p w14:paraId="6BF5D53A">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收货人代号：</w:t>
      </w:r>
      <w:r>
        <w:rPr>
          <w:rFonts w:ascii="宋体" w:hAnsi="宋体"/>
          <w:szCs w:val="21"/>
          <w:highlight w:val="none"/>
          <w:u w:val="single"/>
        </w:rPr>
        <w:t xml:space="preserve">                               </w:t>
      </w:r>
    </w:p>
    <w:p w14:paraId="4EA8AEE9">
      <w:pPr>
        <w:spacing w:line="360" w:lineRule="auto"/>
        <w:ind w:left="1026" w:leftChars="314" w:hanging="367" w:hangingChars="175"/>
        <w:rPr>
          <w:rFonts w:ascii="宋体" w:hAnsi="宋体"/>
          <w:szCs w:val="21"/>
          <w:highlight w:val="none"/>
        </w:rPr>
      </w:pPr>
      <w:r>
        <w:rPr>
          <w:rFonts w:hint="eastAsia" w:ascii="宋体" w:hAnsi="宋体"/>
          <w:szCs w:val="21"/>
          <w:highlight w:val="none"/>
        </w:rPr>
        <w:t>目的地：</w:t>
      </w:r>
      <w:r>
        <w:rPr>
          <w:rFonts w:ascii="宋体" w:hAnsi="宋体"/>
          <w:szCs w:val="21"/>
          <w:highlight w:val="none"/>
          <w:u w:val="single"/>
        </w:rPr>
        <w:t xml:space="preserve">                                   </w:t>
      </w:r>
    </w:p>
    <w:p w14:paraId="421071F0">
      <w:pPr>
        <w:spacing w:line="360" w:lineRule="auto"/>
        <w:ind w:left="1026" w:leftChars="314" w:hanging="367" w:hangingChars="175"/>
        <w:rPr>
          <w:rFonts w:ascii="宋体" w:hAnsi="宋体"/>
          <w:szCs w:val="21"/>
          <w:highlight w:val="none"/>
        </w:rPr>
      </w:pPr>
      <w:r>
        <w:rPr>
          <w:rFonts w:hint="eastAsia" w:ascii="宋体" w:hAnsi="宋体"/>
          <w:szCs w:val="21"/>
          <w:highlight w:val="none"/>
        </w:rPr>
        <w:t>货物名称、品目号和箱号：</w:t>
      </w:r>
      <w:r>
        <w:rPr>
          <w:rFonts w:ascii="宋体" w:hAnsi="宋体"/>
          <w:szCs w:val="21"/>
          <w:highlight w:val="none"/>
          <w:u w:val="single"/>
        </w:rPr>
        <w:t xml:space="preserve">                   </w:t>
      </w:r>
    </w:p>
    <w:p w14:paraId="706C8FDE">
      <w:pPr>
        <w:spacing w:line="360" w:lineRule="auto"/>
        <w:ind w:left="1026" w:leftChars="314" w:hanging="367" w:hangingChars="175"/>
        <w:rPr>
          <w:rFonts w:ascii="宋体" w:hAnsi="宋体"/>
          <w:szCs w:val="21"/>
          <w:highlight w:val="none"/>
        </w:rPr>
      </w:pPr>
      <w:r>
        <w:rPr>
          <w:rFonts w:hint="eastAsia" w:ascii="宋体" w:hAnsi="宋体"/>
          <w:szCs w:val="21"/>
          <w:highlight w:val="none"/>
        </w:rPr>
        <w:t>毛重／净重：</w:t>
      </w:r>
      <w:r>
        <w:rPr>
          <w:rFonts w:ascii="宋体" w:hAnsi="宋体"/>
          <w:szCs w:val="21"/>
          <w:highlight w:val="none"/>
          <w:u w:val="single"/>
        </w:rPr>
        <w:t xml:space="preserve">                               </w:t>
      </w:r>
    </w:p>
    <w:p w14:paraId="181AFF47">
      <w:pPr>
        <w:spacing w:line="360" w:lineRule="auto"/>
        <w:ind w:left="1026" w:leftChars="314" w:hanging="367" w:hangingChars="175"/>
        <w:rPr>
          <w:rFonts w:ascii="宋体" w:hAnsi="宋体"/>
          <w:szCs w:val="21"/>
          <w:highlight w:val="none"/>
        </w:rPr>
      </w:pPr>
      <w:r>
        <w:rPr>
          <w:rFonts w:hint="eastAsia" w:ascii="宋体" w:hAnsi="宋体"/>
          <w:szCs w:val="21"/>
          <w:highlight w:val="none"/>
        </w:rPr>
        <w:t>尺寸</w:t>
      </w:r>
      <w:r>
        <w:rPr>
          <w:rFonts w:ascii="宋体" w:hAnsi="宋体"/>
          <w:szCs w:val="21"/>
          <w:highlight w:val="none"/>
        </w:rPr>
        <w:t>(</w:t>
      </w:r>
      <w:r>
        <w:rPr>
          <w:rFonts w:hint="eastAsia" w:ascii="宋体" w:hAnsi="宋体"/>
          <w:szCs w:val="21"/>
          <w:highlight w:val="none"/>
        </w:rPr>
        <w:t>长×宽×高以厘米计</w:t>
      </w:r>
      <w:r>
        <w:rPr>
          <w:rFonts w:ascii="宋体" w:hAnsi="宋体"/>
          <w:szCs w:val="21"/>
          <w:highlight w:val="none"/>
        </w:rPr>
        <w:t>)</w:t>
      </w:r>
      <w:r>
        <w:rPr>
          <w:rFonts w:hint="eastAsia" w:ascii="宋体" w:hAnsi="宋体"/>
          <w:szCs w:val="21"/>
          <w:highlight w:val="none"/>
        </w:rPr>
        <w:t>：</w:t>
      </w:r>
      <w:r>
        <w:rPr>
          <w:rFonts w:ascii="宋体" w:hAnsi="宋体"/>
          <w:szCs w:val="21"/>
          <w:highlight w:val="none"/>
          <w:u w:val="single"/>
        </w:rPr>
        <w:t xml:space="preserve">                 </w:t>
      </w:r>
    </w:p>
    <w:p w14:paraId="49492FBE">
      <w:pPr>
        <w:spacing w:line="360" w:lineRule="auto"/>
        <w:ind w:left="473" w:hanging="472" w:hangingChars="225"/>
        <w:rPr>
          <w:rFonts w:ascii="宋体" w:hAnsi="宋体"/>
          <w:szCs w:val="21"/>
          <w:highlight w:val="none"/>
        </w:rPr>
      </w:pPr>
      <w:r>
        <w:rPr>
          <w:rFonts w:hint="eastAsia" w:ascii="宋体" w:hAnsi="宋体"/>
          <w:szCs w:val="21"/>
          <w:highlight w:val="none"/>
        </w:rPr>
        <w:t>5.2  如果货物单件重量在</w:t>
      </w:r>
      <w:r>
        <w:rPr>
          <w:rFonts w:ascii="宋体" w:hAnsi="宋体"/>
          <w:szCs w:val="21"/>
          <w:highlight w:val="none"/>
        </w:rPr>
        <w:t>2</w:t>
      </w:r>
      <w:r>
        <w:rPr>
          <w:rFonts w:hint="eastAsia" w:ascii="宋体" w:hAnsi="宋体"/>
          <w:szCs w:val="21"/>
          <w:highlight w:val="none"/>
        </w:rPr>
        <w:t>吨或</w:t>
      </w:r>
      <w:r>
        <w:rPr>
          <w:rFonts w:ascii="宋体" w:hAnsi="宋体"/>
          <w:szCs w:val="21"/>
          <w:highlight w:val="none"/>
        </w:rPr>
        <w:t>2</w:t>
      </w:r>
      <w:r>
        <w:rPr>
          <w:rFonts w:hint="eastAsia" w:ascii="宋体" w:hAnsi="宋体"/>
          <w:szCs w:val="21"/>
          <w:highlight w:val="none"/>
        </w:rPr>
        <w:t>吨以上，卖方应在每件包装箱的两侧用中文和适当的运输标记，标明“重心”和“吊装点”，以便装卸和搬运。根据货物的特点和运输的不同要求，</w:t>
      </w:r>
      <w:r>
        <w:rPr>
          <w:rFonts w:ascii="宋体" w:hAnsi="宋体"/>
          <w:szCs w:val="21"/>
          <w:highlight w:val="none"/>
        </w:rPr>
        <w:t xml:space="preserve"> </w:t>
      </w:r>
      <w:r>
        <w:rPr>
          <w:rFonts w:hint="eastAsia" w:ascii="宋体" w:hAnsi="宋体"/>
          <w:szCs w:val="21"/>
          <w:highlight w:val="none"/>
        </w:rPr>
        <w:t>卖方应在包装箱上清楚地标有“小心轻放”、“防潮”、</w:t>
      </w:r>
      <w:r>
        <w:rPr>
          <w:rFonts w:ascii="宋体" w:hAnsi="宋体"/>
          <w:szCs w:val="21"/>
          <w:highlight w:val="none"/>
        </w:rPr>
        <w:t xml:space="preserve"> “</w:t>
      </w:r>
      <w:r>
        <w:rPr>
          <w:rFonts w:hint="eastAsia" w:ascii="宋体" w:hAnsi="宋体"/>
          <w:szCs w:val="21"/>
          <w:highlight w:val="none"/>
        </w:rPr>
        <w:t>勿倒置”等字样和其他适当的标志。</w:t>
      </w:r>
    </w:p>
    <w:p w14:paraId="034C58AC">
      <w:pPr>
        <w:outlineLvl w:val="2"/>
        <w:rPr>
          <w:rFonts w:ascii="宋体" w:hAnsi="宋体"/>
          <w:szCs w:val="21"/>
          <w:highlight w:val="none"/>
        </w:rPr>
      </w:pPr>
      <w:bookmarkStart w:id="204" w:name="_Toc415222502"/>
      <w:bookmarkStart w:id="205" w:name="_Toc18715"/>
      <w:bookmarkStart w:id="206" w:name="_Ref467378591"/>
      <w:bookmarkStart w:id="207" w:name="_Toc487900354"/>
      <w:bookmarkStart w:id="208" w:name="_Ref467378541"/>
      <w:bookmarkStart w:id="209" w:name="_Ref467379536"/>
      <w:bookmarkStart w:id="210" w:name="_Ref467379542"/>
      <w:bookmarkStart w:id="211" w:name="_Ref467379527"/>
      <w:bookmarkStart w:id="212" w:name="_Toc11864"/>
      <w:r>
        <w:rPr>
          <w:rFonts w:hint="eastAsia" w:ascii="宋体" w:hAnsi="宋体"/>
          <w:szCs w:val="21"/>
          <w:highlight w:val="none"/>
        </w:rPr>
        <w:t>6．   交货方式</w:t>
      </w:r>
      <w:bookmarkEnd w:id="204"/>
      <w:bookmarkEnd w:id="205"/>
      <w:bookmarkEnd w:id="206"/>
      <w:bookmarkEnd w:id="207"/>
      <w:bookmarkEnd w:id="208"/>
      <w:bookmarkEnd w:id="209"/>
      <w:bookmarkEnd w:id="210"/>
      <w:bookmarkEnd w:id="211"/>
      <w:bookmarkEnd w:id="212"/>
    </w:p>
    <w:p w14:paraId="6DAF7781">
      <w:pPr>
        <w:spacing w:line="360" w:lineRule="auto"/>
        <w:ind w:left="788" w:hanging="787" w:hangingChars="375"/>
        <w:rPr>
          <w:rFonts w:ascii="宋体" w:hAnsi="宋体"/>
          <w:szCs w:val="21"/>
          <w:highlight w:val="none"/>
        </w:rPr>
      </w:pPr>
      <w:bookmarkStart w:id="213" w:name="_Ref467379657"/>
      <w:r>
        <w:rPr>
          <w:rFonts w:hint="eastAsia" w:ascii="宋体" w:hAnsi="宋体"/>
          <w:szCs w:val="21"/>
          <w:highlight w:val="none"/>
        </w:rPr>
        <w:t>6.1   交货方式一般为下列其中一种，具体在合同专用条款中规定。</w:t>
      </w:r>
      <w:bookmarkEnd w:id="213"/>
    </w:p>
    <w:p w14:paraId="26A960B0">
      <w:pPr>
        <w:spacing w:line="360" w:lineRule="auto"/>
        <w:ind w:left="630" w:hanging="630" w:hangingChars="300"/>
        <w:rPr>
          <w:rFonts w:ascii="宋体" w:hAnsi="宋体"/>
          <w:szCs w:val="21"/>
          <w:highlight w:val="none"/>
        </w:rPr>
      </w:pPr>
      <w:r>
        <w:rPr>
          <w:rFonts w:hint="eastAsia" w:ascii="宋体" w:hAnsi="宋体"/>
          <w:szCs w:val="21"/>
          <w:highlight w:val="none"/>
        </w:rPr>
        <w:t>6.1.1 现场交货：卖方负责办理运输和保险，将货物运抵现场。有关运输和保险的一切费用由卖方承担。所有货物运抵现场的日期为交货日期。</w:t>
      </w:r>
    </w:p>
    <w:p w14:paraId="3AEA9558">
      <w:pPr>
        <w:spacing w:line="360" w:lineRule="auto"/>
        <w:ind w:left="630" w:hanging="630" w:hangingChars="300"/>
        <w:rPr>
          <w:rFonts w:ascii="宋体" w:hAnsi="宋体"/>
          <w:szCs w:val="21"/>
          <w:highlight w:val="none"/>
        </w:rPr>
      </w:pPr>
      <w:r>
        <w:rPr>
          <w:rFonts w:hint="eastAsia" w:ascii="宋体" w:hAnsi="宋体"/>
          <w:szCs w:val="21"/>
          <w:highlight w:val="none"/>
        </w:rPr>
        <w:t>6.1.2 工厂交货：由卖方负责代办运输和保险事宜。运输费和保险费由买方承担。运输部门出具收据的日期为交货日期。</w:t>
      </w:r>
    </w:p>
    <w:p w14:paraId="46F704EB">
      <w:pPr>
        <w:spacing w:line="360" w:lineRule="auto"/>
        <w:ind w:left="788" w:hanging="787" w:hangingChars="375"/>
        <w:rPr>
          <w:rFonts w:ascii="宋体" w:hAnsi="宋体"/>
          <w:szCs w:val="21"/>
          <w:highlight w:val="none"/>
        </w:rPr>
      </w:pPr>
      <w:r>
        <w:rPr>
          <w:rFonts w:hint="eastAsia" w:ascii="宋体" w:hAnsi="宋体"/>
          <w:szCs w:val="21"/>
          <w:highlight w:val="none"/>
        </w:rPr>
        <w:t>6.1.3 买方自提货物：由买方在合同规定地点自行办理提货。提单日期为交货日期。</w:t>
      </w:r>
    </w:p>
    <w:p w14:paraId="1934C841">
      <w:pPr>
        <w:spacing w:line="360" w:lineRule="auto"/>
        <w:ind w:left="630" w:hanging="630" w:hangingChars="300"/>
        <w:rPr>
          <w:rFonts w:ascii="宋体" w:hAnsi="宋体"/>
          <w:szCs w:val="21"/>
          <w:highlight w:val="none"/>
        </w:rPr>
      </w:pPr>
      <w:r>
        <w:rPr>
          <w:rFonts w:hint="eastAsia" w:ascii="宋体" w:hAnsi="宋体"/>
          <w:szCs w:val="21"/>
          <w:highlight w:val="none"/>
        </w:rPr>
        <w:t>6.2   卖方应在合同专用条款规定时间以电报或传真形式将合同号、货物名称、数量、包装箱件数、总毛重、总体积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和备妥交货日期通知买方。同时卖方应用挂号信将详细交货清单一式</w:t>
      </w:r>
      <w:r>
        <w:rPr>
          <w:rFonts w:ascii="宋体" w:hAnsi="宋体"/>
          <w:szCs w:val="21"/>
          <w:highlight w:val="none"/>
        </w:rPr>
        <w:t>6</w:t>
      </w:r>
      <w:r>
        <w:rPr>
          <w:rFonts w:hint="eastAsia" w:ascii="宋体" w:hAnsi="宋体"/>
          <w:szCs w:val="21"/>
          <w:highlight w:val="none"/>
        </w:rPr>
        <w:t>份包括合同号、货物名称、规格、数量、总毛重、总体积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、包装箱件数和每个包装箱的尺寸</w:t>
      </w:r>
      <w:r>
        <w:rPr>
          <w:rFonts w:ascii="宋体" w:hAnsi="宋体"/>
          <w:szCs w:val="21"/>
          <w:highlight w:val="none"/>
        </w:rPr>
        <w:t>(</w:t>
      </w:r>
      <w:r>
        <w:rPr>
          <w:rFonts w:hint="eastAsia" w:ascii="宋体" w:hAnsi="宋体"/>
          <w:szCs w:val="21"/>
          <w:highlight w:val="none"/>
        </w:rPr>
        <w:t>长×宽×高</w:t>
      </w:r>
      <w:r>
        <w:rPr>
          <w:rFonts w:ascii="宋体" w:hAnsi="宋体"/>
          <w:szCs w:val="21"/>
          <w:highlight w:val="none"/>
        </w:rPr>
        <w:t>)</w:t>
      </w:r>
      <w:r>
        <w:rPr>
          <w:rFonts w:hint="eastAsia" w:ascii="宋体" w:hAnsi="宋体"/>
          <w:szCs w:val="21"/>
          <w:highlight w:val="none"/>
        </w:rPr>
        <w:t>、货物总价和备妥待交日期以及对货物在运输和仓储的特殊要求和注意事项通知买方。</w:t>
      </w:r>
    </w:p>
    <w:p w14:paraId="70C2FB94">
      <w:pPr>
        <w:spacing w:line="360" w:lineRule="auto"/>
        <w:ind w:left="630" w:hanging="630" w:hangingChars="300"/>
        <w:rPr>
          <w:rFonts w:ascii="宋体" w:hAnsi="宋体"/>
          <w:szCs w:val="21"/>
          <w:highlight w:val="none"/>
        </w:rPr>
      </w:pPr>
      <w:r>
        <w:rPr>
          <w:rFonts w:hint="eastAsia" w:ascii="宋体" w:hAnsi="宋体"/>
          <w:szCs w:val="21"/>
          <w:highlight w:val="none"/>
        </w:rPr>
        <w:t>6.3   在现场交货和工厂交货条件下，卖方装运的货物不应超过合同规定的数量或重量。否则，卖方应对超运部分引起的一切后果负责。</w:t>
      </w:r>
    </w:p>
    <w:p w14:paraId="5B736EDA">
      <w:pPr>
        <w:outlineLvl w:val="2"/>
        <w:rPr>
          <w:rFonts w:ascii="宋体" w:hAnsi="宋体"/>
          <w:szCs w:val="21"/>
          <w:highlight w:val="none"/>
        </w:rPr>
      </w:pPr>
      <w:bookmarkStart w:id="214" w:name="_Toc487900355"/>
      <w:bookmarkStart w:id="215" w:name="_Toc6625"/>
      <w:bookmarkStart w:id="216" w:name="_Toc415222503"/>
      <w:bookmarkStart w:id="217" w:name="_Toc12437"/>
      <w:r>
        <w:rPr>
          <w:rFonts w:hint="eastAsia" w:ascii="宋体" w:hAnsi="宋体"/>
          <w:szCs w:val="21"/>
          <w:highlight w:val="none"/>
        </w:rPr>
        <w:t>7．   装运通知</w:t>
      </w:r>
      <w:bookmarkEnd w:id="214"/>
      <w:bookmarkEnd w:id="215"/>
      <w:bookmarkEnd w:id="216"/>
      <w:bookmarkEnd w:id="217"/>
    </w:p>
    <w:p w14:paraId="3D34E3FA">
      <w:pPr>
        <w:spacing w:line="360" w:lineRule="auto"/>
        <w:ind w:left="630" w:hanging="630" w:hangingChars="300"/>
        <w:rPr>
          <w:rFonts w:ascii="宋体" w:hAnsi="宋体"/>
          <w:szCs w:val="21"/>
          <w:highlight w:val="none"/>
        </w:rPr>
      </w:pPr>
      <w:r>
        <w:rPr>
          <w:rFonts w:hint="eastAsia" w:ascii="宋体" w:hAnsi="宋体"/>
          <w:szCs w:val="21"/>
          <w:highlight w:val="none"/>
        </w:rPr>
        <w:t>7.1   在现场交货和工厂交货条件下的货物，卖方通知买方货物已备妥待运输后</w:t>
      </w:r>
      <w:r>
        <w:rPr>
          <w:rFonts w:ascii="宋体" w:hAnsi="宋体"/>
          <w:szCs w:val="21"/>
          <w:highlight w:val="none"/>
        </w:rPr>
        <w:t>24</w:t>
      </w:r>
      <w:r>
        <w:rPr>
          <w:rFonts w:hint="eastAsia" w:ascii="宋体" w:hAnsi="宋体"/>
          <w:szCs w:val="21"/>
          <w:highlight w:val="none"/>
        </w:rPr>
        <w:t>小时之内，应将合同号、货名、数量、毛重、总体积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、发票金额、运输工具名称及装运日期，以电报或传真通知买方。</w:t>
      </w:r>
    </w:p>
    <w:p w14:paraId="279FA025">
      <w:pPr>
        <w:spacing w:line="360" w:lineRule="auto"/>
        <w:ind w:left="630" w:hanging="630" w:hangingChars="300"/>
        <w:rPr>
          <w:rFonts w:ascii="宋体" w:hAnsi="宋体"/>
          <w:szCs w:val="21"/>
          <w:highlight w:val="none"/>
        </w:rPr>
      </w:pPr>
      <w:r>
        <w:rPr>
          <w:rFonts w:hint="eastAsia" w:ascii="宋体" w:hAnsi="宋体"/>
          <w:szCs w:val="21"/>
          <w:highlight w:val="none"/>
        </w:rPr>
        <w:t>7.2   如因卖方延误将上述内容用电报或传真通知买方，由此引起的一切后果损失应由卖方负责。</w:t>
      </w:r>
    </w:p>
    <w:p w14:paraId="62F7366B">
      <w:pPr>
        <w:outlineLvl w:val="2"/>
        <w:rPr>
          <w:rFonts w:ascii="宋体" w:hAnsi="宋体"/>
          <w:szCs w:val="21"/>
          <w:highlight w:val="none"/>
        </w:rPr>
      </w:pPr>
      <w:bookmarkStart w:id="218" w:name="_Ref467379793"/>
      <w:bookmarkStart w:id="219" w:name="_Toc415222504"/>
      <w:bookmarkStart w:id="220" w:name="_Toc26337"/>
      <w:bookmarkStart w:id="221" w:name="_Ref467379807"/>
      <w:bookmarkStart w:id="222" w:name="_Toc487900357"/>
      <w:bookmarkStart w:id="223" w:name="_Toc15361"/>
      <w:r>
        <w:rPr>
          <w:rFonts w:hint="eastAsia" w:ascii="宋体" w:hAnsi="宋体"/>
          <w:szCs w:val="21"/>
          <w:highlight w:val="none"/>
        </w:rPr>
        <w:t>8．   付款条件</w:t>
      </w:r>
      <w:bookmarkEnd w:id="218"/>
      <w:bookmarkEnd w:id="219"/>
      <w:bookmarkEnd w:id="220"/>
      <w:bookmarkEnd w:id="221"/>
      <w:bookmarkEnd w:id="222"/>
      <w:bookmarkEnd w:id="223"/>
    </w:p>
    <w:p w14:paraId="68919E52">
      <w:pPr>
        <w:spacing w:line="360" w:lineRule="auto"/>
        <w:ind w:left="788" w:hanging="787" w:hangingChars="375"/>
        <w:rPr>
          <w:rFonts w:ascii="宋体" w:hAnsi="宋体"/>
          <w:szCs w:val="21"/>
          <w:highlight w:val="none"/>
        </w:rPr>
      </w:pPr>
      <w:r>
        <w:rPr>
          <w:rFonts w:hint="eastAsia" w:ascii="宋体" w:hAnsi="宋体"/>
          <w:szCs w:val="21"/>
          <w:highlight w:val="none"/>
        </w:rPr>
        <w:t xml:space="preserve">      付款条件见第二册第八章“</w:t>
      </w:r>
      <w:r>
        <w:rPr>
          <w:rFonts w:hint="eastAsia" w:ascii="宋体" w:hAnsi="宋体"/>
          <w:szCs w:val="21"/>
          <w:highlight w:val="none"/>
          <w:u w:val="single"/>
        </w:rPr>
        <w:t>合同专用条款</w:t>
      </w:r>
      <w:r>
        <w:rPr>
          <w:rFonts w:hint="eastAsia" w:ascii="宋体" w:hAnsi="宋体"/>
          <w:szCs w:val="21"/>
          <w:highlight w:val="none"/>
        </w:rPr>
        <w:t>”。</w:t>
      </w:r>
    </w:p>
    <w:p w14:paraId="243C59E7">
      <w:pPr>
        <w:outlineLvl w:val="2"/>
        <w:rPr>
          <w:rFonts w:ascii="宋体" w:hAnsi="宋体"/>
          <w:szCs w:val="21"/>
          <w:highlight w:val="none"/>
        </w:rPr>
      </w:pPr>
      <w:bookmarkStart w:id="224" w:name="_Toc1380"/>
      <w:bookmarkStart w:id="225" w:name="_Toc487900358"/>
      <w:bookmarkStart w:id="226" w:name="_Toc6588"/>
      <w:bookmarkStart w:id="227" w:name="_Ref467379863"/>
      <w:bookmarkStart w:id="228" w:name="_Ref467379852"/>
      <w:bookmarkStart w:id="229" w:name="_Toc415222505"/>
      <w:bookmarkStart w:id="230" w:name="_Ref467379923"/>
      <w:r>
        <w:rPr>
          <w:rFonts w:hint="eastAsia" w:ascii="宋体" w:hAnsi="宋体"/>
          <w:szCs w:val="21"/>
          <w:highlight w:val="none"/>
        </w:rPr>
        <w:t>9．   技术资料</w:t>
      </w:r>
      <w:bookmarkEnd w:id="224"/>
      <w:bookmarkEnd w:id="225"/>
      <w:bookmarkEnd w:id="226"/>
      <w:bookmarkEnd w:id="227"/>
      <w:bookmarkEnd w:id="228"/>
      <w:bookmarkEnd w:id="229"/>
      <w:bookmarkEnd w:id="230"/>
    </w:p>
    <w:p w14:paraId="23B88A5C">
      <w:pPr>
        <w:spacing w:line="360" w:lineRule="auto"/>
        <w:ind w:left="788" w:hanging="787" w:hangingChars="375"/>
        <w:rPr>
          <w:rFonts w:ascii="宋体" w:hAnsi="宋体"/>
          <w:szCs w:val="21"/>
          <w:highlight w:val="none"/>
        </w:rPr>
      </w:pPr>
      <w:r>
        <w:rPr>
          <w:rFonts w:hint="eastAsia" w:ascii="宋体" w:hAnsi="宋体"/>
          <w:szCs w:val="21"/>
          <w:highlight w:val="none"/>
        </w:rPr>
        <w:t>9.1   合同项下技术资料</w:t>
      </w:r>
      <w:r>
        <w:rPr>
          <w:rFonts w:ascii="宋体" w:hAnsi="宋体"/>
          <w:szCs w:val="21"/>
          <w:highlight w:val="none"/>
        </w:rPr>
        <w:t>(</w:t>
      </w:r>
      <w:r>
        <w:rPr>
          <w:rFonts w:hint="eastAsia" w:ascii="宋体" w:hAnsi="宋体"/>
          <w:szCs w:val="21"/>
          <w:highlight w:val="none"/>
        </w:rPr>
        <w:t>除合同特殊条款规定外</w:t>
      </w:r>
      <w:r>
        <w:rPr>
          <w:rFonts w:ascii="宋体" w:hAnsi="宋体"/>
          <w:szCs w:val="21"/>
          <w:highlight w:val="none"/>
        </w:rPr>
        <w:t>)</w:t>
      </w:r>
      <w:r>
        <w:rPr>
          <w:rFonts w:hint="eastAsia" w:ascii="宋体" w:hAnsi="宋体"/>
          <w:szCs w:val="21"/>
          <w:highlight w:val="none"/>
        </w:rPr>
        <w:t>将以下列方式交付：</w:t>
      </w:r>
    </w:p>
    <w:p w14:paraId="7EAE658B">
      <w:pPr>
        <w:spacing w:line="360" w:lineRule="auto"/>
        <w:ind w:left="718" w:leftChars="340" w:hanging="4" w:hangingChars="2"/>
        <w:rPr>
          <w:rFonts w:ascii="宋体" w:hAnsi="宋体"/>
          <w:szCs w:val="21"/>
          <w:highlight w:val="none"/>
        </w:rPr>
      </w:pPr>
      <w:r>
        <w:rPr>
          <w:rFonts w:hint="eastAsia" w:ascii="宋体" w:hAnsi="宋体"/>
          <w:szCs w:val="21"/>
          <w:highlight w:val="none"/>
        </w:rPr>
        <w:t>在合同专用条款规定时间内，卖方应将每台设备和仪器的中文技术资料一套，如目录索引、图纸、操作手册、使用指南、维修指南和／或服务手册和示意图寄给买方。</w:t>
      </w:r>
    </w:p>
    <w:p w14:paraId="60A1370C">
      <w:pPr>
        <w:spacing w:line="360" w:lineRule="auto"/>
        <w:ind w:left="788" w:hanging="787" w:hangingChars="375"/>
        <w:rPr>
          <w:rFonts w:ascii="宋体" w:hAnsi="宋体"/>
          <w:szCs w:val="21"/>
          <w:highlight w:val="none"/>
        </w:rPr>
      </w:pPr>
      <w:r>
        <w:rPr>
          <w:rFonts w:hint="eastAsia" w:ascii="宋体" w:hAnsi="宋体"/>
          <w:szCs w:val="21"/>
          <w:highlight w:val="none"/>
        </w:rPr>
        <w:t>9.2   另外一套完整的上述资料应包装好随同每批货物一起发运。</w:t>
      </w:r>
    </w:p>
    <w:p w14:paraId="60DC1CA6">
      <w:pPr>
        <w:spacing w:line="360" w:lineRule="auto"/>
        <w:ind w:left="630" w:hanging="630" w:hangingChars="300"/>
        <w:rPr>
          <w:rFonts w:ascii="宋体" w:hAnsi="宋体"/>
          <w:szCs w:val="21"/>
          <w:highlight w:val="none"/>
        </w:rPr>
      </w:pPr>
      <w:r>
        <w:rPr>
          <w:rFonts w:hint="eastAsia" w:ascii="宋体" w:hAnsi="宋体"/>
          <w:szCs w:val="21"/>
          <w:highlight w:val="none"/>
        </w:rPr>
        <w:t>9.3   如果买方确认卖方提供的技术资料不完整或在运输过程中丢失，卖方将在合同专用条款规定时间内将这些资料免费寄给买方。</w:t>
      </w:r>
    </w:p>
    <w:p w14:paraId="38BBAD09">
      <w:pPr>
        <w:outlineLvl w:val="2"/>
        <w:rPr>
          <w:rFonts w:ascii="宋体" w:hAnsi="宋体"/>
          <w:szCs w:val="21"/>
          <w:highlight w:val="none"/>
        </w:rPr>
      </w:pPr>
      <w:bookmarkStart w:id="231" w:name="_Toc28649"/>
      <w:bookmarkStart w:id="232" w:name="_Toc415222506"/>
      <w:bookmarkStart w:id="233" w:name="_Ref467379937"/>
      <w:bookmarkStart w:id="234" w:name="_Ref467377962"/>
      <w:bookmarkStart w:id="235" w:name="_Ref467377798"/>
      <w:bookmarkStart w:id="236" w:name="_Toc487900359"/>
      <w:bookmarkStart w:id="237" w:name="_Ref467379946"/>
      <w:bookmarkStart w:id="238" w:name="_Toc15447"/>
      <w:r>
        <w:rPr>
          <w:rFonts w:hint="eastAsia" w:ascii="宋体" w:hAnsi="宋体"/>
          <w:szCs w:val="21"/>
          <w:highlight w:val="none"/>
        </w:rPr>
        <w:t>10．  质量保证</w:t>
      </w:r>
      <w:bookmarkEnd w:id="231"/>
      <w:bookmarkEnd w:id="232"/>
      <w:bookmarkEnd w:id="233"/>
      <w:bookmarkEnd w:id="234"/>
      <w:bookmarkEnd w:id="235"/>
      <w:bookmarkEnd w:id="236"/>
      <w:bookmarkEnd w:id="237"/>
      <w:bookmarkEnd w:id="238"/>
    </w:p>
    <w:p w14:paraId="4716AE3F">
      <w:pPr>
        <w:spacing w:line="360" w:lineRule="auto"/>
        <w:ind w:left="630" w:hanging="630" w:hangingChars="300"/>
        <w:rPr>
          <w:rFonts w:hint="eastAsia" w:ascii="宋体" w:hAnsi="宋体"/>
          <w:szCs w:val="21"/>
          <w:highlight w:val="none"/>
        </w:rPr>
      </w:pPr>
      <w:r>
        <w:rPr>
          <w:rFonts w:hint="eastAsia" w:ascii="宋体" w:hAnsi="宋体"/>
          <w:szCs w:val="21"/>
          <w:highlight w:val="none"/>
        </w:rPr>
        <w:t>10.1  卖方须保证货物是全新、未使用过的，并完全符合强制性的国家技术质量规范和合同规定的质量、规格、性能和技术规范等的要求。</w:t>
      </w:r>
    </w:p>
    <w:p w14:paraId="0D46AFA5">
      <w:pPr>
        <w:spacing w:line="360" w:lineRule="auto"/>
        <w:ind w:left="630" w:hanging="630" w:hangingChars="300"/>
        <w:rPr>
          <w:rFonts w:ascii="宋体" w:hAnsi="宋体"/>
          <w:szCs w:val="21"/>
          <w:highlight w:val="none"/>
        </w:rPr>
      </w:pPr>
      <w:r>
        <w:rPr>
          <w:rFonts w:hint="eastAsia" w:ascii="宋体" w:hAnsi="宋体"/>
          <w:szCs w:val="21"/>
          <w:highlight w:val="none"/>
        </w:rPr>
        <w:t>10.2  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77D9F305">
      <w:pPr>
        <w:spacing w:line="360" w:lineRule="auto"/>
        <w:ind w:left="630" w:hanging="630" w:hangingChars="300"/>
        <w:rPr>
          <w:rFonts w:ascii="宋体" w:hAnsi="宋体"/>
          <w:szCs w:val="21"/>
          <w:highlight w:val="none"/>
        </w:rPr>
      </w:pPr>
      <w:r>
        <w:rPr>
          <w:rFonts w:hint="eastAsia" w:ascii="宋体" w:hAnsi="宋体"/>
          <w:szCs w:val="21"/>
          <w:highlight w:val="none"/>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合同专用条款规定时间内免费维修或更换有缺陷的货物或部件。</w:t>
      </w:r>
    </w:p>
    <w:p w14:paraId="7686C0EA">
      <w:pPr>
        <w:spacing w:line="360" w:lineRule="auto"/>
        <w:ind w:left="630" w:hanging="630" w:hangingChars="300"/>
        <w:rPr>
          <w:rFonts w:ascii="宋体" w:hAnsi="宋体"/>
          <w:szCs w:val="21"/>
          <w:highlight w:val="none"/>
        </w:rPr>
      </w:pPr>
      <w:r>
        <w:rPr>
          <w:rFonts w:hint="eastAsia" w:ascii="宋体" w:hAnsi="宋体"/>
          <w:szCs w:val="21"/>
          <w:highlight w:val="none"/>
        </w:rPr>
        <w:t>10.4  如果卖方在合同专用条款规定时间内没有弥补缺陷，买方可采取必要的补救措施，但由此引发的风险和费用将由卖方承担。</w:t>
      </w:r>
    </w:p>
    <w:p w14:paraId="6FB224D0">
      <w:pPr>
        <w:spacing w:line="360" w:lineRule="auto"/>
        <w:ind w:left="788" w:hanging="787" w:hangingChars="375"/>
        <w:rPr>
          <w:rFonts w:ascii="宋体" w:hAnsi="宋体"/>
          <w:szCs w:val="21"/>
          <w:highlight w:val="none"/>
        </w:rPr>
      </w:pPr>
      <w:r>
        <w:rPr>
          <w:rFonts w:hint="eastAsia" w:ascii="宋体" w:hAnsi="宋体"/>
          <w:szCs w:val="21"/>
          <w:highlight w:val="none"/>
        </w:rPr>
        <w:t>10.5  除“合同专用条款”规定外，合同项下货物的质量保证期为自货物通过最终验收起</w:t>
      </w:r>
      <w:r>
        <w:rPr>
          <w:rFonts w:ascii="宋体" w:hAnsi="宋体"/>
          <w:szCs w:val="21"/>
          <w:highlight w:val="none"/>
        </w:rPr>
        <w:t>12</w:t>
      </w:r>
      <w:r>
        <w:rPr>
          <w:rFonts w:hint="eastAsia" w:ascii="宋体" w:hAnsi="宋体"/>
          <w:szCs w:val="21"/>
          <w:highlight w:val="none"/>
        </w:rPr>
        <w:t>个月。</w:t>
      </w:r>
    </w:p>
    <w:p w14:paraId="3F4B9951">
      <w:pPr>
        <w:outlineLvl w:val="2"/>
        <w:rPr>
          <w:rFonts w:ascii="宋体" w:hAnsi="宋体"/>
          <w:szCs w:val="21"/>
          <w:highlight w:val="none"/>
        </w:rPr>
      </w:pPr>
      <w:bookmarkStart w:id="239" w:name="_Ref467378018"/>
      <w:bookmarkStart w:id="240" w:name="_Toc487900360"/>
      <w:bookmarkStart w:id="241" w:name="_Toc415222507"/>
      <w:bookmarkStart w:id="242" w:name="_Toc7155"/>
      <w:bookmarkStart w:id="243" w:name="_Toc11317"/>
      <w:r>
        <w:rPr>
          <w:rFonts w:hint="eastAsia" w:ascii="宋体" w:hAnsi="宋体"/>
          <w:szCs w:val="21"/>
          <w:highlight w:val="none"/>
        </w:rPr>
        <w:t>11．   检验</w:t>
      </w:r>
      <w:bookmarkEnd w:id="239"/>
      <w:bookmarkEnd w:id="240"/>
      <w:r>
        <w:rPr>
          <w:rFonts w:hint="eastAsia" w:ascii="宋体" w:hAnsi="宋体"/>
          <w:szCs w:val="21"/>
          <w:highlight w:val="none"/>
        </w:rPr>
        <w:t>和验收</w:t>
      </w:r>
      <w:bookmarkEnd w:id="241"/>
      <w:bookmarkEnd w:id="242"/>
      <w:bookmarkEnd w:id="243"/>
    </w:p>
    <w:p w14:paraId="08081882">
      <w:pPr>
        <w:spacing w:line="360" w:lineRule="auto"/>
        <w:ind w:left="788" w:hanging="787" w:hangingChars="375"/>
        <w:rPr>
          <w:rFonts w:hint="eastAsia" w:ascii="宋体" w:hAnsi="宋体"/>
          <w:szCs w:val="21"/>
          <w:highlight w:val="none"/>
        </w:rPr>
      </w:pPr>
      <w:r>
        <w:rPr>
          <w:rFonts w:hint="eastAsia" w:ascii="宋体" w:hAnsi="宋体"/>
          <w:szCs w:val="21"/>
          <w:highlight w:val="none"/>
        </w:rPr>
        <w:t>11.1   在交货前，卖方应对货物的质量、规格、性能、数量和重量等进行详细而全面的检验，并出具证明货物符合合同规定的文件。该文件将作为申请付款单据的一部分，但有关质量、规格、性能、数量或重量的检验不应视为最终检验。</w:t>
      </w:r>
    </w:p>
    <w:p w14:paraId="176A51C1">
      <w:pPr>
        <w:spacing w:line="360" w:lineRule="auto"/>
        <w:ind w:left="788" w:hanging="787" w:hangingChars="375"/>
        <w:rPr>
          <w:rFonts w:ascii="宋体" w:hAnsi="宋体"/>
          <w:szCs w:val="21"/>
          <w:highlight w:val="none"/>
        </w:rPr>
      </w:pPr>
      <w:r>
        <w:rPr>
          <w:rFonts w:hint="eastAsia" w:ascii="宋体" w:hAnsi="宋体"/>
          <w:szCs w:val="21"/>
          <w:highlight w:val="none"/>
        </w:rPr>
        <w:t>11.2   货物运抵现场后，买方在合同专用条款规定时间内组织验收，依法</w:t>
      </w:r>
      <w:r>
        <w:rPr>
          <w:rFonts w:ascii="宋体" w:hAnsi="宋体"/>
          <w:szCs w:val="21"/>
          <w:highlight w:val="none"/>
        </w:rPr>
        <w:t>邀请相关方参加</w:t>
      </w:r>
      <w:r>
        <w:rPr>
          <w:rFonts w:hint="eastAsia" w:ascii="宋体" w:hAnsi="宋体"/>
          <w:szCs w:val="21"/>
          <w:highlight w:val="none"/>
        </w:rPr>
        <w:t>。</w:t>
      </w:r>
      <w:r>
        <w:rPr>
          <w:rFonts w:ascii="宋体" w:hAnsi="宋体"/>
          <w:szCs w:val="21"/>
          <w:highlight w:val="none"/>
        </w:rPr>
        <w:t>验收</w:t>
      </w:r>
      <w:r>
        <w:rPr>
          <w:rFonts w:hint="eastAsia" w:ascii="宋体" w:hAnsi="宋体"/>
          <w:szCs w:val="21"/>
          <w:highlight w:val="none"/>
        </w:rPr>
        <w:t>将制作验收备忘录，签署验收书。</w:t>
      </w:r>
    </w:p>
    <w:p w14:paraId="6D984BB6">
      <w:pPr>
        <w:spacing w:line="360" w:lineRule="auto"/>
        <w:ind w:left="788" w:hanging="787" w:hangingChars="375"/>
        <w:rPr>
          <w:rFonts w:ascii="宋体" w:hAnsi="宋体"/>
          <w:szCs w:val="21"/>
          <w:highlight w:val="none"/>
        </w:rPr>
      </w:pPr>
      <w:r>
        <w:rPr>
          <w:rFonts w:hint="eastAsia" w:ascii="宋体" w:hAnsi="宋体"/>
          <w:szCs w:val="21"/>
          <w:highlight w:val="none"/>
        </w:rPr>
        <w:t>11.3   买方有在货物制造过程中派员监造的权利</w:t>
      </w:r>
      <w:r>
        <w:rPr>
          <w:rFonts w:ascii="宋体" w:hAnsi="宋体"/>
          <w:szCs w:val="21"/>
          <w:highlight w:val="none"/>
        </w:rPr>
        <w:t xml:space="preserve">, </w:t>
      </w:r>
      <w:r>
        <w:rPr>
          <w:rFonts w:hint="eastAsia" w:ascii="宋体" w:hAnsi="宋体"/>
          <w:szCs w:val="21"/>
          <w:highlight w:val="none"/>
        </w:rPr>
        <w:t>卖方有义务为买方监造人员行使该权利提供方便。</w:t>
      </w:r>
    </w:p>
    <w:p w14:paraId="560923D1">
      <w:pPr>
        <w:spacing w:line="360" w:lineRule="auto"/>
        <w:ind w:left="788" w:hanging="787" w:hangingChars="375"/>
        <w:rPr>
          <w:rFonts w:hint="eastAsia" w:ascii="宋体" w:hAnsi="宋体"/>
          <w:szCs w:val="21"/>
          <w:highlight w:val="none"/>
        </w:rPr>
      </w:pPr>
      <w:r>
        <w:rPr>
          <w:rFonts w:hint="eastAsia" w:ascii="宋体" w:hAnsi="宋体"/>
          <w:szCs w:val="21"/>
          <w:highlight w:val="none"/>
        </w:rPr>
        <w:t>11.4   制造厂对所供货物进行机械运转试验和性能试验时，卖方必须提前通知买方。</w:t>
      </w:r>
    </w:p>
    <w:p w14:paraId="003DDD08">
      <w:pPr>
        <w:outlineLvl w:val="2"/>
        <w:rPr>
          <w:rFonts w:ascii="宋体" w:hAnsi="宋体"/>
          <w:szCs w:val="21"/>
          <w:highlight w:val="none"/>
        </w:rPr>
      </w:pPr>
      <w:bookmarkStart w:id="244" w:name="_Toc487900361"/>
      <w:bookmarkStart w:id="245" w:name="_Toc415222508"/>
      <w:bookmarkStart w:id="246" w:name="_Toc21509"/>
      <w:bookmarkStart w:id="247" w:name="_Toc31728"/>
      <w:r>
        <w:rPr>
          <w:rFonts w:hint="eastAsia" w:ascii="宋体" w:hAnsi="宋体"/>
          <w:szCs w:val="21"/>
          <w:highlight w:val="none"/>
        </w:rPr>
        <w:t>12．   索赔</w:t>
      </w:r>
      <w:bookmarkEnd w:id="244"/>
      <w:bookmarkEnd w:id="245"/>
      <w:bookmarkEnd w:id="246"/>
      <w:bookmarkEnd w:id="247"/>
    </w:p>
    <w:p w14:paraId="395BFC38">
      <w:pPr>
        <w:spacing w:line="360" w:lineRule="auto"/>
        <w:ind w:left="788" w:hanging="787" w:hangingChars="375"/>
        <w:rPr>
          <w:rFonts w:ascii="宋体" w:hAnsi="宋体"/>
          <w:szCs w:val="21"/>
          <w:highlight w:val="none"/>
        </w:rPr>
      </w:pPr>
      <w:r>
        <w:rPr>
          <w:rFonts w:hint="eastAsia" w:ascii="宋体" w:hAnsi="宋体"/>
          <w:szCs w:val="21"/>
          <w:highlight w:val="none"/>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1A2AA923">
      <w:pPr>
        <w:spacing w:line="360" w:lineRule="auto"/>
        <w:ind w:left="788" w:hanging="787" w:hangingChars="375"/>
        <w:rPr>
          <w:rFonts w:ascii="宋体" w:hAnsi="宋体"/>
          <w:szCs w:val="21"/>
          <w:highlight w:val="none"/>
        </w:rPr>
      </w:pPr>
      <w:bookmarkStart w:id="248" w:name="_Ref467378076"/>
      <w:r>
        <w:rPr>
          <w:rFonts w:hint="eastAsia" w:ascii="宋体" w:hAnsi="宋体"/>
          <w:szCs w:val="21"/>
          <w:highlight w:val="none"/>
        </w:rPr>
        <w:t>12.2   在根据合同第10条和第11条规定的检验期和质量保证期内，如果卖方对买方提出的索赔负有责任，卖方应按照买方同意的下列一种或多种方式解决索赔事宜：</w:t>
      </w:r>
      <w:bookmarkEnd w:id="248"/>
    </w:p>
    <w:p w14:paraId="0EEFDDBA">
      <w:pPr>
        <w:spacing w:line="360" w:lineRule="auto"/>
        <w:ind w:left="788" w:hanging="787" w:hangingChars="375"/>
        <w:rPr>
          <w:rFonts w:hint="eastAsia" w:ascii="宋体" w:hAnsi="宋体"/>
          <w:szCs w:val="21"/>
          <w:highlight w:val="none"/>
        </w:rPr>
      </w:pPr>
      <w:r>
        <w:rPr>
          <w:rFonts w:hint="eastAsia" w:ascii="宋体" w:hAnsi="宋体"/>
          <w:szCs w:val="21"/>
          <w:highlight w:val="none"/>
        </w:rPr>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7A182275">
      <w:pPr>
        <w:spacing w:line="360" w:lineRule="auto"/>
        <w:ind w:left="788" w:hanging="787" w:hangingChars="375"/>
        <w:rPr>
          <w:rFonts w:hint="eastAsia" w:ascii="宋体" w:hAnsi="宋体"/>
          <w:szCs w:val="21"/>
          <w:highlight w:val="none"/>
        </w:rPr>
      </w:pPr>
      <w:r>
        <w:rPr>
          <w:rFonts w:hint="eastAsia" w:ascii="宋体" w:hAnsi="宋体"/>
          <w:szCs w:val="21"/>
          <w:highlight w:val="none"/>
        </w:rPr>
        <w:t>12.2.2  根据货物低劣程度、损坏程度以及买方所遭受损失的数额，经买卖双方商定降低货物的价格，或由有权的部门评估，以降低后的价格或评估价格为准。</w:t>
      </w:r>
    </w:p>
    <w:p w14:paraId="0103F650">
      <w:pPr>
        <w:spacing w:line="360" w:lineRule="auto"/>
        <w:ind w:left="788" w:hanging="787" w:hangingChars="375"/>
        <w:rPr>
          <w:rFonts w:ascii="宋体" w:hAnsi="宋体"/>
          <w:szCs w:val="21"/>
          <w:highlight w:val="none"/>
        </w:rPr>
      </w:pPr>
      <w:r>
        <w:rPr>
          <w:rFonts w:hint="eastAsia" w:ascii="宋体" w:hAnsi="宋体"/>
          <w:szCs w:val="21"/>
          <w:highlight w:val="none"/>
        </w:rPr>
        <w:t>12.2.3  用符合规格、质量和性能要求的新零件、部件或货物来更换有缺陷的部分或／和修补缺陷部分，卖方应承担一切费用和风险并负担买方所发生的一切直接费用。同时，卖方应按合同第</w:t>
      </w:r>
      <w:r>
        <w:rPr>
          <w:rFonts w:ascii="宋体" w:hAnsi="宋体"/>
          <w:szCs w:val="21"/>
          <w:highlight w:val="none"/>
        </w:rPr>
        <w:t>10</w:t>
      </w:r>
      <w:r>
        <w:rPr>
          <w:rFonts w:hint="eastAsia" w:ascii="宋体" w:hAnsi="宋体"/>
          <w:szCs w:val="21"/>
          <w:highlight w:val="none"/>
        </w:rPr>
        <w:t>条规定，相应延长修补或更换件的质量保证期。</w:t>
      </w:r>
    </w:p>
    <w:p w14:paraId="28DCEF1D">
      <w:pPr>
        <w:spacing w:line="360" w:lineRule="auto"/>
        <w:ind w:left="788" w:hanging="787" w:hangingChars="375"/>
        <w:rPr>
          <w:rFonts w:ascii="宋体" w:hAnsi="宋体"/>
          <w:szCs w:val="21"/>
          <w:highlight w:val="none"/>
        </w:rPr>
      </w:pPr>
      <w:r>
        <w:rPr>
          <w:rFonts w:hint="eastAsia" w:ascii="宋体" w:hAnsi="宋体"/>
          <w:szCs w:val="21"/>
          <w:highlight w:val="none"/>
        </w:rPr>
        <w:t>12.3    如果在买方发出索赔通知后，卖方在合同专用条款规定时间内未作答复，上述索赔应视为已被卖方接受。买方将按照本合同第12.2条规定解决索赔事宜，买方将从合同款或从卖方开具的履约保证金保函中扣回索赔金额。如果这些金额不足以补偿索赔金额，买方有权向卖方提出不足部分的补偿。</w:t>
      </w:r>
    </w:p>
    <w:p w14:paraId="298ADB31">
      <w:pPr>
        <w:outlineLvl w:val="2"/>
        <w:rPr>
          <w:rFonts w:ascii="宋体" w:hAnsi="宋体"/>
          <w:szCs w:val="21"/>
          <w:highlight w:val="none"/>
        </w:rPr>
      </w:pPr>
      <w:bookmarkStart w:id="249" w:name="_Toc415222509"/>
      <w:bookmarkStart w:id="250" w:name="_Toc31482"/>
      <w:bookmarkStart w:id="251" w:name="_Toc15086"/>
      <w:bookmarkStart w:id="252" w:name="_Toc487900362"/>
      <w:r>
        <w:rPr>
          <w:rFonts w:hint="eastAsia" w:ascii="宋体" w:hAnsi="宋体"/>
          <w:szCs w:val="21"/>
          <w:highlight w:val="none"/>
        </w:rPr>
        <w:t>13．    延迟交货</w:t>
      </w:r>
      <w:bookmarkEnd w:id="249"/>
      <w:bookmarkEnd w:id="250"/>
      <w:bookmarkEnd w:id="251"/>
      <w:bookmarkEnd w:id="252"/>
    </w:p>
    <w:p w14:paraId="5A6DE71A">
      <w:pPr>
        <w:spacing w:line="360" w:lineRule="auto"/>
        <w:ind w:left="840" w:hanging="840" w:hangingChars="400"/>
        <w:rPr>
          <w:rFonts w:ascii="宋体" w:hAnsi="宋体"/>
          <w:szCs w:val="21"/>
          <w:highlight w:val="none"/>
        </w:rPr>
      </w:pPr>
      <w:r>
        <w:rPr>
          <w:rFonts w:hint="eastAsia" w:ascii="宋体" w:hAnsi="宋体"/>
          <w:szCs w:val="21"/>
          <w:highlight w:val="none"/>
        </w:rPr>
        <w:t>13.1    卖方应按照“货物需求一览表及技术规格”中买方规定的时间表交货和提供服务。</w:t>
      </w:r>
    </w:p>
    <w:p w14:paraId="6B2ED793">
      <w:pPr>
        <w:spacing w:line="360" w:lineRule="auto"/>
        <w:ind w:left="788" w:hanging="787" w:hangingChars="375"/>
        <w:rPr>
          <w:rFonts w:ascii="宋体" w:hAnsi="宋体"/>
          <w:szCs w:val="21"/>
          <w:highlight w:val="none"/>
        </w:rPr>
      </w:pPr>
      <w:r>
        <w:rPr>
          <w:rFonts w:hint="eastAsia" w:ascii="宋体" w:hAnsi="宋体"/>
          <w:szCs w:val="21"/>
          <w:highlight w:val="none"/>
        </w:rPr>
        <w:t>13.2    如果卖方无正当理由迟延交货，买方有权提出违约损失赔偿或解除合同。</w:t>
      </w:r>
    </w:p>
    <w:p w14:paraId="680DFD7A">
      <w:pPr>
        <w:spacing w:line="360" w:lineRule="auto"/>
        <w:ind w:left="840" w:hanging="840" w:hangingChars="400"/>
        <w:rPr>
          <w:rFonts w:ascii="宋体" w:hAnsi="宋体"/>
          <w:szCs w:val="21"/>
          <w:highlight w:val="none"/>
        </w:rPr>
      </w:pPr>
      <w:r>
        <w:rPr>
          <w:rFonts w:hint="eastAsia" w:ascii="宋体" w:hAnsi="宋体"/>
          <w:szCs w:val="21"/>
          <w:highlight w:val="none"/>
        </w:rPr>
        <w:t>13.3    在履行合同过程中，如果卖方遇到不能按时交货和提供服务的情况，应及时以书面形式将不能按时交货的理由、预期延误时间通知买方。买方收到卖方通知后，认为其理由正当的，可酌情延长交货时间。</w:t>
      </w:r>
    </w:p>
    <w:p w14:paraId="70DE9FD4">
      <w:pPr>
        <w:outlineLvl w:val="2"/>
        <w:rPr>
          <w:rFonts w:ascii="宋体" w:hAnsi="宋体"/>
          <w:szCs w:val="21"/>
          <w:highlight w:val="none"/>
        </w:rPr>
      </w:pPr>
      <w:bookmarkStart w:id="253" w:name="_Toc415222510"/>
      <w:bookmarkStart w:id="254" w:name="_Toc487900363"/>
      <w:bookmarkStart w:id="255" w:name="_Toc19929"/>
      <w:bookmarkStart w:id="256" w:name="_Toc3725"/>
      <w:r>
        <w:rPr>
          <w:rFonts w:hint="eastAsia" w:ascii="宋体" w:hAnsi="宋体"/>
          <w:szCs w:val="21"/>
          <w:highlight w:val="none"/>
        </w:rPr>
        <w:t>14．   违约赔偿</w:t>
      </w:r>
      <w:bookmarkEnd w:id="253"/>
      <w:bookmarkEnd w:id="254"/>
      <w:bookmarkEnd w:id="255"/>
      <w:bookmarkEnd w:id="256"/>
    </w:p>
    <w:p w14:paraId="6543A610">
      <w:pPr>
        <w:spacing w:line="360" w:lineRule="auto"/>
        <w:ind w:left="628" w:leftChars="-1" w:hanging="630" w:hangingChars="300"/>
        <w:rPr>
          <w:rFonts w:ascii="宋体" w:hAnsi="宋体"/>
          <w:szCs w:val="21"/>
          <w:highlight w:val="none"/>
        </w:rPr>
      </w:pPr>
      <w:r>
        <w:rPr>
          <w:rFonts w:hint="eastAsia" w:ascii="宋体" w:hAnsi="宋体"/>
          <w:szCs w:val="21"/>
          <w:highlight w:val="none"/>
        </w:rPr>
        <w:t>14.1   除合同第15条规定外，如果卖方没有按照合同规定的时间交货和提供服务，买方可要求卖方支付违约金。违约金按每周迟交货物或未提供服务交货价的</w:t>
      </w:r>
      <w:r>
        <w:rPr>
          <w:rFonts w:ascii="宋体" w:hAnsi="宋体"/>
          <w:szCs w:val="21"/>
          <w:highlight w:val="none"/>
        </w:rPr>
        <w:t>0.5%</w:t>
      </w:r>
      <w:r>
        <w:rPr>
          <w:rFonts w:hint="eastAsia" w:ascii="宋体" w:hAnsi="宋体"/>
          <w:szCs w:val="21"/>
          <w:highlight w:val="none"/>
        </w:rPr>
        <w:t>计收。一周按７天计算，不足７天按一周计算。如果达到最高限额，买方有权解除合同。违约金的最高限额为迟交货物或没有提供服务的合同价的</w:t>
      </w:r>
      <w:r>
        <w:rPr>
          <w:rFonts w:ascii="宋体" w:hAnsi="宋体"/>
          <w:szCs w:val="21"/>
          <w:highlight w:val="none"/>
        </w:rPr>
        <w:t>5%</w:t>
      </w:r>
      <w:r>
        <w:rPr>
          <w:rFonts w:hint="eastAsia" w:ascii="宋体" w:hAnsi="宋体"/>
          <w:szCs w:val="21"/>
          <w:highlight w:val="none"/>
        </w:rPr>
        <w:t>。</w:t>
      </w:r>
    </w:p>
    <w:p w14:paraId="55AB95F0">
      <w:pPr>
        <w:outlineLvl w:val="2"/>
        <w:rPr>
          <w:rFonts w:ascii="宋体" w:hAnsi="宋体"/>
          <w:szCs w:val="21"/>
          <w:highlight w:val="none"/>
        </w:rPr>
      </w:pPr>
      <w:bookmarkStart w:id="257" w:name="_Toc487900364"/>
      <w:bookmarkStart w:id="258" w:name="_Toc22040"/>
      <w:bookmarkStart w:id="259" w:name="_Toc415222511"/>
      <w:bookmarkStart w:id="260" w:name="_Ref467378121"/>
      <w:bookmarkStart w:id="261" w:name="_Toc6322"/>
      <w:r>
        <w:rPr>
          <w:rFonts w:hint="eastAsia" w:ascii="宋体" w:hAnsi="宋体"/>
          <w:szCs w:val="21"/>
          <w:highlight w:val="none"/>
        </w:rPr>
        <w:t>15．   不可抗力</w:t>
      </w:r>
      <w:bookmarkEnd w:id="257"/>
      <w:bookmarkEnd w:id="258"/>
      <w:bookmarkEnd w:id="259"/>
      <w:bookmarkEnd w:id="260"/>
      <w:bookmarkEnd w:id="261"/>
    </w:p>
    <w:p w14:paraId="24727825">
      <w:pPr>
        <w:spacing w:line="360" w:lineRule="auto"/>
        <w:ind w:left="735" w:hanging="735" w:hangingChars="350"/>
        <w:rPr>
          <w:rFonts w:ascii="宋体" w:hAnsi="宋体"/>
          <w:szCs w:val="21"/>
          <w:highlight w:val="none"/>
        </w:rPr>
      </w:pPr>
      <w:r>
        <w:rPr>
          <w:rFonts w:hint="eastAsia" w:ascii="宋体" w:hAnsi="宋体"/>
          <w:szCs w:val="21"/>
          <w:highlight w:val="none"/>
        </w:rPr>
        <w:t>15.1   如果双方中任何一方遭遇法律规定的不可抗力，致使合同履行受阻时，履行合同的期限应予延长，延长的期限应相当于不可抗力所影响的时间。</w:t>
      </w:r>
    </w:p>
    <w:p w14:paraId="411F75F1">
      <w:pPr>
        <w:spacing w:line="360" w:lineRule="auto"/>
        <w:ind w:left="735" w:hanging="735" w:hangingChars="350"/>
        <w:rPr>
          <w:rFonts w:hint="eastAsia" w:ascii="宋体" w:hAnsi="宋体"/>
          <w:szCs w:val="21"/>
          <w:highlight w:val="none"/>
        </w:rPr>
      </w:pPr>
      <w:r>
        <w:rPr>
          <w:rFonts w:hint="eastAsia" w:ascii="宋体" w:hAnsi="宋体"/>
          <w:szCs w:val="21"/>
          <w:highlight w:val="none"/>
        </w:rPr>
        <w:t>15.2   受事故影响的一方应在不可抗力的事故发生后尽快书面形式通知另一方，并在合同专用条款规定时间内，将有关部门出具的证明文件送达另一方。</w:t>
      </w:r>
    </w:p>
    <w:p w14:paraId="5FADD3CF">
      <w:pPr>
        <w:spacing w:line="360" w:lineRule="auto"/>
        <w:ind w:left="735" w:hanging="735" w:hangingChars="350"/>
        <w:rPr>
          <w:rFonts w:ascii="宋体" w:hAnsi="宋体"/>
          <w:szCs w:val="21"/>
          <w:highlight w:val="none"/>
        </w:rPr>
      </w:pPr>
      <w:r>
        <w:rPr>
          <w:rFonts w:hint="eastAsia" w:ascii="宋体" w:hAnsi="宋体"/>
          <w:szCs w:val="21"/>
          <w:highlight w:val="none"/>
        </w:rPr>
        <w:t>15.3   不可抗力使合同的某些内容有变更必要的，</w:t>
      </w:r>
      <w:r>
        <w:rPr>
          <w:rFonts w:ascii="宋体" w:hAnsi="宋体"/>
          <w:szCs w:val="21"/>
          <w:highlight w:val="none"/>
        </w:rPr>
        <w:t xml:space="preserve"> </w:t>
      </w:r>
      <w:r>
        <w:rPr>
          <w:rFonts w:hint="eastAsia" w:ascii="宋体" w:hAnsi="宋体"/>
          <w:szCs w:val="21"/>
          <w:highlight w:val="none"/>
        </w:rPr>
        <w:t>双方应在合同专用条款规定时间内达成进一步履行合同的协议。因不可抗力致使合同不能履行的，合同终止。</w:t>
      </w:r>
    </w:p>
    <w:p w14:paraId="1B4322B5">
      <w:pPr>
        <w:outlineLvl w:val="2"/>
        <w:rPr>
          <w:rFonts w:ascii="宋体" w:hAnsi="宋体"/>
          <w:szCs w:val="21"/>
          <w:highlight w:val="none"/>
        </w:rPr>
      </w:pPr>
      <w:bookmarkStart w:id="262" w:name="_Toc29320"/>
      <w:bookmarkStart w:id="263" w:name="_Toc487900365"/>
      <w:bookmarkStart w:id="264" w:name="_Toc415222512"/>
      <w:bookmarkStart w:id="265" w:name="_Toc1755"/>
      <w:r>
        <w:rPr>
          <w:rFonts w:hint="eastAsia" w:ascii="宋体" w:hAnsi="宋体"/>
          <w:szCs w:val="21"/>
          <w:highlight w:val="none"/>
        </w:rPr>
        <w:t>16．   税费</w:t>
      </w:r>
      <w:bookmarkEnd w:id="262"/>
      <w:bookmarkEnd w:id="263"/>
      <w:bookmarkEnd w:id="264"/>
      <w:bookmarkEnd w:id="265"/>
    </w:p>
    <w:p w14:paraId="472DD24B">
      <w:pPr>
        <w:spacing w:line="360" w:lineRule="auto"/>
        <w:ind w:left="788" w:hanging="787" w:hangingChars="375"/>
        <w:rPr>
          <w:rFonts w:ascii="宋体" w:hAnsi="宋体"/>
          <w:szCs w:val="21"/>
          <w:highlight w:val="none"/>
        </w:rPr>
      </w:pPr>
      <w:r>
        <w:rPr>
          <w:rFonts w:hint="eastAsia" w:ascii="宋体" w:hAnsi="宋体"/>
          <w:szCs w:val="21"/>
          <w:highlight w:val="none"/>
        </w:rPr>
        <w:t>16.1   与本合同有关的一切税费均适用中华人民共和国法律的相关规定。</w:t>
      </w:r>
    </w:p>
    <w:p w14:paraId="238D61A0">
      <w:pPr>
        <w:outlineLvl w:val="2"/>
        <w:rPr>
          <w:rFonts w:ascii="宋体" w:hAnsi="宋体"/>
          <w:szCs w:val="21"/>
          <w:highlight w:val="none"/>
        </w:rPr>
      </w:pPr>
      <w:bookmarkStart w:id="266" w:name="_Hlt487900425"/>
      <w:bookmarkEnd w:id="266"/>
      <w:bookmarkStart w:id="267" w:name="_Toc487900366"/>
      <w:bookmarkStart w:id="268" w:name="_Toc17669"/>
      <w:bookmarkStart w:id="269" w:name="_Toc21788"/>
      <w:bookmarkStart w:id="270" w:name="_Toc415222513"/>
      <w:r>
        <w:rPr>
          <w:rFonts w:hint="eastAsia" w:ascii="宋体" w:hAnsi="宋体"/>
          <w:szCs w:val="21"/>
          <w:highlight w:val="none"/>
        </w:rPr>
        <w:t xml:space="preserve">17．   </w:t>
      </w:r>
      <w:bookmarkEnd w:id="267"/>
      <w:r>
        <w:rPr>
          <w:rFonts w:hint="eastAsia" w:ascii="宋体" w:hAnsi="宋体"/>
          <w:szCs w:val="21"/>
          <w:highlight w:val="none"/>
        </w:rPr>
        <w:t>合同争议的解决</w:t>
      </w:r>
      <w:bookmarkEnd w:id="268"/>
      <w:bookmarkEnd w:id="269"/>
      <w:bookmarkEnd w:id="270"/>
    </w:p>
    <w:p w14:paraId="254E6719">
      <w:pPr>
        <w:spacing w:line="360" w:lineRule="auto"/>
        <w:ind w:left="735" w:hanging="735" w:hangingChars="350"/>
        <w:rPr>
          <w:rFonts w:ascii="宋体" w:hAnsi="宋体"/>
          <w:szCs w:val="21"/>
          <w:highlight w:val="none"/>
        </w:rPr>
      </w:pPr>
      <w:r>
        <w:rPr>
          <w:rFonts w:hint="eastAsia" w:ascii="宋体" w:hAnsi="宋体"/>
          <w:szCs w:val="21"/>
          <w:highlight w:val="none"/>
        </w:rPr>
        <w:t>17.1   因合同履行中发生的争议，合同当事人双方可通过协商解决。协商不成的，可提请扬州仲裁委员会仲裁或向人民法院提起诉讼。</w:t>
      </w:r>
    </w:p>
    <w:p w14:paraId="142CCD65">
      <w:pPr>
        <w:spacing w:line="360" w:lineRule="auto"/>
        <w:ind w:left="735" w:hanging="735" w:hangingChars="350"/>
        <w:rPr>
          <w:rFonts w:ascii="宋体" w:hAnsi="宋体"/>
          <w:szCs w:val="21"/>
          <w:highlight w:val="none"/>
        </w:rPr>
      </w:pPr>
      <w:r>
        <w:rPr>
          <w:rFonts w:hint="eastAsia" w:ascii="宋体" w:hAnsi="宋体"/>
          <w:szCs w:val="21"/>
          <w:highlight w:val="none"/>
        </w:rPr>
        <w:t>17.2   仲裁裁决应为最终裁决，当事人一方在规定时间内不履行仲裁机构裁决的，另一方可以申请人民法院强制执行。</w:t>
      </w:r>
    </w:p>
    <w:p w14:paraId="5068EEEA">
      <w:pPr>
        <w:spacing w:line="360" w:lineRule="auto"/>
        <w:ind w:left="788" w:hanging="787" w:hangingChars="375"/>
        <w:rPr>
          <w:rFonts w:hint="eastAsia" w:ascii="宋体" w:hAnsi="宋体"/>
          <w:szCs w:val="21"/>
          <w:highlight w:val="none"/>
        </w:rPr>
      </w:pPr>
      <w:r>
        <w:rPr>
          <w:rFonts w:hint="eastAsia" w:ascii="宋体" w:hAnsi="宋体"/>
          <w:szCs w:val="21"/>
          <w:highlight w:val="none"/>
        </w:rPr>
        <w:t>17.3   仲裁费用和诉讼费用除仲裁机构另有裁决外，应由败诉方负担。</w:t>
      </w:r>
    </w:p>
    <w:p w14:paraId="5079F3C1">
      <w:pPr>
        <w:outlineLvl w:val="2"/>
        <w:rPr>
          <w:rFonts w:ascii="宋体" w:hAnsi="宋体"/>
          <w:szCs w:val="21"/>
          <w:highlight w:val="none"/>
        </w:rPr>
      </w:pPr>
      <w:bookmarkStart w:id="271" w:name="_Toc16231"/>
      <w:bookmarkStart w:id="272" w:name="_Toc9543"/>
      <w:bookmarkStart w:id="273" w:name="_Toc415222514"/>
      <w:bookmarkStart w:id="274" w:name="_Toc487900367"/>
      <w:r>
        <w:rPr>
          <w:rFonts w:hint="eastAsia" w:ascii="宋体" w:hAnsi="宋体"/>
          <w:szCs w:val="21"/>
          <w:highlight w:val="none"/>
        </w:rPr>
        <w:t>18．   违约解除合同</w:t>
      </w:r>
      <w:bookmarkEnd w:id="271"/>
      <w:bookmarkEnd w:id="272"/>
      <w:bookmarkEnd w:id="273"/>
      <w:bookmarkEnd w:id="274"/>
    </w:p>
    <w:p w14:paraId="29967EC7">
      <w:pPr>
        <w:spacing w:line="360" w:lineRule="auto"/>
        <w:ind w:left="735" w:hanging="735" w:hangingChars="350"/>
        <w:rPr>
          <w:rFonts w:ascii="宋体" w:hAnsi="宋体"/>
          <w:szCs w:val="21"/>
          <w:highlight w:val="none"/>
        </w:rPr>
      </w:pPr>
      <w:bookmarkStart w:id="275" w:name="_Ref467378234"/>
      <w:r>
        <w:rPr>
          <w:rFonts w:hint="eastAsia" w:ascii="宋体" w:hAnsi="宋体"/>
          <w:szCs w:val="21"/>
          <w:highlight w:val="none"/>
        </w:rPr>
        <w:t>18.1   在卖方违约或出现下列情形的情况下，买方可向卖方发出书面通知，部分或全部终止合同，同时保留向卖方追诉的权利。</w:t>
      </w:r>
      <w:bookmarkEnd w:id="275"/>
    </w:p>
    <w:p w14:paraId="3D20A8AF">
      <w:pPr>
        <w:spacing w:line="360" w:lineRule="auto"/>
        <w:ind w:left="788" w:hanging="787" w:hangingChars="375"/>
        <w:rPr>
          <w:rFonts w:ascii="宋体" w:hAnsi="宋体"/>
          <w:szCs w:val="21"/>
          <w:highlight w:val="none"/>
        </w:rPr>
      </w:pPr>
      <w:r>
        <w:rPr>
          <w:rFonts w:hint="eastAsia" w:ascii="宋体" w:hAnsi="宋体"/>
          <w:szCs w:val="21"/>
          <w:highlight w:val="none"/>
        </w:rPr>
        <w:t>18.1.1  卖方未能在合同规定的限期或买方同意延长的限期内，提供全部或部分货物,按合同第18.1的规定可以解除合同的；</w:t>
      </w:r>
      <w:r>
        <w:rPr>
          <w:rFonts w:ascii="宋体" w:hAnsi="宋体"/>
          <w:szCs w:val="21"/>
          <w:highlight w:val="none"/>
        </w:rPr>
        <w:t xml:space="preserve"> </w:t>
      </w:r>
    </w:p>
    <w:p w14:paraId="2BDE32B2">
      <w:pPr>
        <w:spacing w:line="360" w:lineRule="auto"/>
        <w:ind w:left="788" w:hanging="787" w:hangingChars="375"/>
        <w:rPr>
          <w:rFonts w:ascii="宋体" w:hAnsi="宋体"/>
          <w:szCs w:val="21"/>
          <w:highlight w:val="none"/>
        </w:rPr>
      </w:pPr>
      <w:r>
        <w:rPr>
          <w:rFonts w:hint="eastAsia" w:ascii="宋体" w:hAnsi="宋体"/>
          <w:szCs w:val="21"/>
          <w:highlight w:val="none"/>
        </w:rPr>
        <w:t>18.1.2  卖方未能履行合同规定的其它主要义务的；</w:t>
      </w:r>
    </w:p>
    <w:p w14:paraId="1ECE366A">
      <w:pPr>
        <w:spacing w:line="360" w:lineRule="auto"/>
        <w:ind w:left="788" w:hanging="787" w:hangingChars="375"/>
        <w:rPr>
          <w:rFonts w:ascii="宋体" w:hAnsi="宋体"/>
          <w:szCs w:val="21"/>
          <w:highlight w:val="none"/>
        </w:rPr>
      </w:pPr>
      <w:r>
        <w:rPr>
          <w:rFonts w:hint="eastAsia" w:ascii="宋体" w:hAnsi="宋体"/>
          <w:szCs w:val="21"/>
          <w:highlight w:val="none"/>
        </w:rPr>
        <w:t>18.1.3  在本合同履行过程中有腐败和欺诈行为的。</w:t>
      </w:r>
    </w:p>
    <w:p w14:paraId="7B8A61E0">
      <w:pPr>
        <w:spacing w:line="360" w:lineRule="auto"/>
        <w:ind w:left="788" w:hanging="787" w:hangingChars="375"/>
        <w:rPr>
          <w:rFonts w:ascii="宋体" w:hAnsi="宋体"/>
          <w:szCs w:val="21"/>
          <w:highlight w:val="none"/>
        </w:rPr>
      </w:pPr>
      <w:r>
        <w:rPr>
          <w:rFonts w:hint="eastAsia" w:ascii="宋体" w:hAnsi="宋体"/>
          <w:szCs w:val="21"/>
          <w:highlight w:val="none"/>
        </w:rPr>
        <w:t xml:space="preserve">18.1.3.1 </w:t>
      </w:r>
      <w:r>
        <w:rPr>
          <w:rFonts w:ascii="宋体" w:hAnsi="宋体"/>
          <w:szCs w:val="21"/>
          <w:highlight w:val="none"/>
        </w:rPr>
        <w:t>“</w:t>
      </w:r>
      <w:r>
        <w:rPr>
          <w:rFonts w:hint="eastAsia" w:ascii="宋体" w:hAnsi="宋体"/>
          <w:szCs w:val="21"/>
          <w:highlight w:val="none"/>
        </w:rPr>
        <w:t>腐败行为”和“欺诈行为”定义如下</w:t>
      </w:r>
      <w:r>
        <w:rPr>
          <w:rFonts w:ascii="宋体" w:hAnsi="宋体"/>
          <w:szCs w:val="21"/>
          <w:highlight w:val="none"/>
        </w:rPr>
        <w:t>:</w:t>
      </w:r>
    </w:p>
    <w:p w14:paraId="2A02DE99">
      <w:pPr>
        <w:spacing w:line="360" w:lineRule="auto"/>
        <w:ind w:left="1208" w:hanging="1207" w:hangingChars="575"/>
        <w:rPr>
          <w:rFonts w:ascii="宋体" w:hAnsi="宋体"/>
          <w:szCs w:val="21"/>
          <w:highlight w:val="none"/>
        </w:rPr>
      </w:pPr>
      <w:r>
        <w:rPr>
          <w:rFonts w:hint="eastAsia" w:ascii="宋体" w:hAnsi="宋体"/>
          <w:szCs w:val="21"/>
          <w:highlight w:val="none"/>
        </w:rPr>
        <w:t>18.1.3.1.1</w:t>
      </w:r>
      <w:r>
        <w:rPr>
          <w:rFonts w:ascii="宋体" w:hAnsi="宋体"/>
          <w:szCs w:val="21"/>
          <w:highlight w:val="none"/>
        </w:rPr>
        <w:t>“</w:t>
      </w:r>
      <w:r>
        <w:rPr>
          <w:rFonts w:hint="eastAsia" w:ascii="宋体" w:hAnsi="宋体"/>
          <w:szCs w:val="21"/>
          <w:highlight w:val="none"/>
        </w:rPr>
        <w:t>腐败行为”是指提供</w:t>
      </w:r>
      <w:r>
        <w:rPr>
          <w:rFonts w:ascii="宋体" w:hAnsi="宋体"/>
          <w:szCs w:val="21"/>
          <w:highlight w:val="none"/>
        </w:rPr>
        <w:t>/</w:t>
      </w:r>
      <w:r>
        <w:rPr>
          <w:rFonts w:hint="eastAsia" w:ascii="宋体" w:hAnsi="宋体"/>
          <w:szCs w:val="21"/>
          <w:highlight w:val="none"/>
        </w:rPr>
        <w:t>给予</w:t>
      </w:r>
      <w:r>
        <w:rPr>
          <w:rFonts w:ascii="宋体" w:hAnsi="宋体"/>
          <w:szCs w:val="21"/>
          <w:highlight w:val="none"/>
        </w:rPr>
        <w:t>/</w:t>
      </w:r>
      <w:r>
        <w:rPr>
          <w:rFonts w:hint="eastAsia" w:ascii="宋体" w:hAnsi="宋体"/>
          <w:szCs w:val="21"/>
          <w:highlight w:val="none"/>
        </w:rPr>
        <w:t>接受或索取任何有价值的东西来影响买方在合同签订、履行过程中的行为。</w:t>
      </w:r>
    </w:p>
    <w:p w14:paraId="1449F1EF">
      <w:pPr>
        <w:spacing w:line="360" w:lineRule="auto"/>
        <w:ind w:left="1208" w:hanging="1207" w:hangingChars="575"/>
        <w:rPr>
          <w:rFonts w:ascii="宋体" w:hAnsi="宋体"/>
          <w:szCs w:val="21"/>
          <w:highlight w:val="none"/>
        </w:rPr>
      </w:pPr>
      <w:r>
        <w:rPr>
          <w:rFonts w:hint="eastAsia" w:ascii="宋体" w:hAnsi="宋体"/>
          <w:szCs w:val="21"/>
          <w:highlight w:val="none"/>
        </w:rPr>
        <w:t>18.1.3.1.2</w:t>
      </w:r>
      <w:r>
        <w:rPr>
          <w:rFonts w:ascii="宋体" w:hAnsi="宋体"/>
          <w:szCs w:val="21"/>
          <w:highlight w:val="none"/>
        </w:rPr>
        <w:t>“</w:t>
      </w:r>
      <w:r>
        <w:rPr>
          <w:rFonts w:hint="eastAsia" w:ascii="宋体" w:hAnsi="宋体"/>
          <w:szCs w:val="21"/>
          <w:highlight w:val="none"/>
        </w:rPr>
        <w:t>欺诈行为”是指为了影响合同签订、履行过程，以谎报事实的方法，损害买方的利益的行为。</w:t>
      </w:r>
    </w:p>
    <w:p w14:paraId="1384D349">
      <w:pPr>
        <w:spacing w:line="360" w:lineRule="auto"/>
        <w:ind w:left="788" w:hanging="787" w:hangingChars="375"/>
        <w:rPr>
          <w:rFonts w:ascii="宋体" w:hAnsi="宋体"/>
          <w:szCs w:val="21"/>
          <w:highlight w:val="none"/>
        </w:rPr>
      </w:pPr>
      <w:r>
        <w:rPr>
          <w:rFonts w:hint="eastAsia" w:ascii="宋体" w:hAnsi="宋体"/>
          <w:szCs w:val="21"/>
          <w:highlight w:val="none"/>
        </w:rPr>
        <w:t>18.2    在买方根据上述第18.1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00BFABA6">
      <w:pPr>
        <w:outlineLvl w:val="2"/>
        <w:rPr>
          <w:rFonts w:ascii="宋体" w:hAnsi="宋体"/>
          <w:szCs w:val="21"/>
          <w:highlight w:val="none"/>
        </w:rPr>
      </w:pPr>
      <w:bookmarkStart w:id="276" w:name="_Toc23904"/>
      <w:bookmarkStart w:id="277" w:name="_Toc22065"/>
      <w:bookmarkStart w:id="278" w:name="_Toc415222515"/>
      <w:bookmarkStart w:id="279" w:name="_Toc487900368"/>
      <w:r>
        <w:rPr>
          <w:rFonts w:hint="eastAsia" w:ascii="宋体" w:hAnsi="宋体"/>
          <w:szCs w:val="21"/>
          <w:highlight w:val="none"/>
        </w:rPr>
        <w:t>19．   破产终止合同</w:t>
      </w:r>
      <w:bookmarkEnd w:id="276"/>
      <w:bookmarkEnd w:id="277"/>
      <w:bookmarkEnd w:id="278"/>
      <w:bookmarkEnd w:id="279"/>
    </w:p>
    <w:p w14:paraId="0B7AA02D">
      <w:pPr>
        <w:spacing w:line="360" w:lineRule="auto"/>
        <w:ind w:left="788" w:hanging="787" w:hangingChars="375"/>
        <w:rPr>
          <w:rFonts w:ascii="宋体" w:hAnsi="宋体"/>
          <w:szCs w:val="21"/>
          <w:highlight w:val="none"/>
        </w:rPr>
      </w:pPr>
      <w:r>
        <w:rPr>
          <w:rFonts w:hint="eastAsia" w:ascii="宋体" w:hAnsi="宋体"/>
          <w:szCs w:val="21"/>
          <w:highlight w:val="none"/>
        </w:rPr>
        <w:t>19.1   如果卖方破产导致合同无法履行时，买方可以书面形式通知卖方，单方终止合同而不给卖方补偿。但买方必须以书面形式告知同级采购监督管理部门。该合同的终止将不损害或不影响买方已经采取或将要采取的任何行动或补救措施的权利。</w:t>
      </w:r>
    </w:p>
    <w:p w14:paraId="6B2E4086">
      <w:pPr>
        <w:outlineLvl w:val="2"/>
        <w:rPr>
          <w:rFonts w:ascii="宋体" w:hAnsi="宋体"/>
          <w:bCs/>
          <w:szCs w:val="21"/>
          <w:highlight w:val="none"/>
        </w:rPr>
      </w:pPr>
      <w:bookmarkStart w:id="280" w:name="_Toc415222516"/>
      <w:bookmarkStart w:id="281" w:name="_Toc10385"/>
      <w:bookmarkStart w:id="282" w:name="_Toc487900369"/>
      <w:bookmarkStart w:id="283" w:name="_Toc29725"/>
      <w:r>
        <w:rPr>
          <w:rFonts w:hint="eastAsia" w:ascii="宋体" w:hAnsi="宋体"/>
          <w:bCs/>
          <w:szCs w:val="21"/>
          <w:highlight w:val="none"/>
        </w:rPr>
        <w:t>20</w:t>
      </w:r>
      <w:r>
        <w:rPr>
          <w:rFonts w:hint="eastAsia" w:ascii="宋体" w:hAnsi="宋体"/>
          <w:szCs w:val="21"/>
          <w:highlight w:val="none"/>
        </w:rPr>
        <w:t>．</w:t>
      </w:r>
      <w:r>
        <w:rPr>
          <w:rFonts w:hint="eastAsia" w:ascii="宋体" w:hAnsi="宋体"/>
          <w:bCs/>
          <w:szCs w:val="21"/>
          <w:highlight w:val="none"/>
        </w:rPr>
        <w:t xml:space="preserve">   转让和分包</w:t>
      </w:r>
      <w:bookmarkEnd w:id="280"/>
      <w:bookmarkEnd w:id="281"/>
      <w:bookmarkEnd w:id="282"/>
      <w:bookmarkEnd w:id="283"/>
    </w:p>
    <w:p w14:paraId="5B3FFFF3">
      <w:pPr>
        <w:spacing w:line="360" w:lineRule="auto"/>
        <w:ind w:left="788" w:hanging="787" w:hangingChars="375"/>
        <w:rPr>
          <w:rFonts w:hint="eastAsia" w:ascii="宋体" w:hAnsi="宋体"/>
          <w:szCs w:val="21"/>
          <w:highlight w:val="none"/>
        </w:rPr>
      </w:pPr>
      <w:r>
        <w:rPr>
          <w:rFonts w:hint="eastAsia" w:ascii="宋体" w:hAnsi="宋体"/>
          <w:szCs w:val="21"/>
          <w:highlight w:val="none"/>
        </w:rPr>
        <w:t>20.1   采购合同不能整体转让。</w:t>
      </w:r>
    </w:p>
    <w:p w14:paraId="4C3458C1">
      <w:pPr>
        <w:spacing w:line="360" w:lineRule="auto"/>
        <w:ind w:left="735" w:hanging="735" w:hangingChars="350"/>
        <w:rPr>
          <w:rFonts w:ascii="宋体" w:hAnsi="宋体"/>
          <w:szCs w:val="21"/>
          <w:highlight w:val="none"/>
        </w:rPr>
      </w:pPr>
      <w:r>
        <w:rPr>
          <w:rFonts w:hint="eastAsia" w:ascii="宋体" w:hAnsi="宋体"/>
          <w:szCs w:val="21"/>
          <w:highlight w:val="none"/>
        </w:rPr>
        <w:t>20.2   经买方同意，卖方可以将合同项下非主体、非关键性工作分包给他人完成。但必须在投标文件中载明。接受分包的人应当具备相应的资格条件，并不得再次分包。分包后不能解除卖方履行本合同的责任和义务，接受分包的人与卖方共同对买方连带承担合同的责任和义务。</w:t>
      </w:r>
    </w:p>
    <w:p w14:paraId="6DA9EBF9">
      <w:pPr>
        <w:outlineLvl w:val="2"/>
        <w:rPr>
          <w:rFonts w:ascii="宋体" w:hAnsi="宋体"/>
          <w:szCs w:val="21"/>
          <w:highlight w:val="none"/>
        </w:rPr>
      </w:pPr>
      <w:bookmarkStart w:id="284" w:name="_Toc2142"/>
      <w:bookmarkStart w:id="285" w:name="_Toc415222517"/>
      <w:bookmarkStart w:id="286" w:name="_Toc13194"/>
      <w:bookmarkStart w:id="287" w:name="_Toc487900370"/>
      <w:r>
        <w:rPr>
          <w:rFonts w:hint="eastAsia" w:ascii="宋体" w:hAnsi="宋体"/>
          <w:szCs w:val="21"/>
          <w:highlight w:val="none"/>
        </w:rPr>
        <w:t>21．   合同修改</w:t>
      </w:r>
      <w:bookmarkEnd w:id="284"/>
      <w:bookmarkEnd w:id="285"/>
      <w:bookmarkEnd w:id="286"/>
      <w:bookmarkEnd w:id="287"/>
    </w:p>
    <w:p w14:paraId="6BDA7172">
      <w:pPr>
        <w:spacing w:line="360" w:lineRule="auto"/>
        <w:ind w:left="788" w:hanging="787" w:hangingChars="375"/>
        <w:rPr>
          <w:rFonts w:hint="eastAsia" w:ascii="宋体" w:hAnsi="宋体"/>
          <w:szCs w:val="21"/>
          <w:highlight w:val="none"/>
        </w:rPr>
      </w:pPr>
      <w:r>
        <w:rPr>
          <w:rFonts w:hint="eastAsia" w:ascii="宋体" w:hAnsi="宋体"/>
          <w:szCs w:val="21"/>
          <w:highlight w:val="none"/>
        </w:rPr>
        <w:t>21.1   买方和卖方都不得擅自变更本合同，但合同继续履行将损害国家和社会公共利益的除外。如必须对合同条款进行改动时，当事人双方须共同签署书面文件，作为合同的补充，并报同级采购监督管理部门备案。</w:t>
      </w:r>
    </w:p>
    <w:p w14:paraId="0A00515C">
      <w:pPr>
        <w:outlineLvl w:val="2"/>
        <w:rPr>
          <w:rFonts w:ascii="宋体" w:hAnsi="宋体"/>
          <w:szCs w:val="21"/>
          <w:highlight w:val="none"/>
        </w:rPr>
      </w:pPr>
      <w:bookmarkStart w:id="288" w:name="_Toc14345"/>
      <w:bookmarkStart w:id="289" w:name="_Toc737"/>
      <w:bookmarkStart w:id="290" w:name="_Toc415222518"/>
      <w:bookmarkStart w:id="291" w:name="_Toc487900371"/>
      <w:r>
        <w:rPr>
          <w:rFonts w:hint="eastAsia" w:ascii="宋体" w:hAnsi="宋体"/>
          <w:szCs w:val="21"/>
          <w:highlight w:val="none"/>
        </w:rPr>
        <w:t>22．   通知</w:t>
      </w:r>
      <w:bookmarkEnd w:id="288"/>
      <w:bookmarkEnd w:id="289"/>
      <w:bookmarkEnd w:id="290"/>
      <w:bookmarkEnd w:id="291"/>
    </w:p>
    <w:p w14:paraId="24751691">
      <w:pPr>
        <w:spacing w:line="360" w:lineRule="auto"/>
        <w:ind w:left="788" w:hanging="787" w:hangingChars="375"/>
        <w:rPr>
          <w:rFonts w:ascii="宋体" w:hAnsi="宋体"/>
          <w:szCs w:val="21"/>
          <w:highlight w:val="none"/>
        </w:rPr>
      </w:pPr>
      <w:r>
        <w:rPr>
          <w:rFonts w:hint="eastAsia" w:ascii="宋体" w:hAnsi="宋体"/>
          <w:szCs w:val="21"/>
          <w:highlight w:val="none"/>
        </w:rPr>
        <w:t>22.1   本合同任何一方给另一方的通知，都应以书面形式发送，而另一方也应以书面形式确认并发送到对方明确的地址。</w:t>
      </w:r>
    </w:p>
    <w:p w14:paraId="72F33331">
      <w:pPr>
        <w:outlineLvl w:val="2"/>
        <w:rPr>
          <w:rFonts w:ascii="宋体" w:hAnsi="宋体"/>
          <w:szCs w:val="21"/>
          <w:highlight w:val="none"/>
        </w:rPr>
      </w:pPr>
      <w:bookmarkStart w:id="292" w:name="_Toc487900372"/>
      <w:bookmarkStart w:id="293" w:name="_Toc27508"/>
      <w:bookmarkStart w:id="294" w:name="_Toc415222519"/>
      <w:bookmarkStart w:id="295" w:name="_Toc30523"/>
      <w:r>
        <w:rPr>
          <w:rFonts w:hint="eastAsia" w:ascii="宋体" w:hAnsi="宋体"/>
          <w:szCs w:val="21"/>
          <w:highlight w:val="none"/>
        </w:rPr>
        <w:t>23．   计量单位</w:t>
      </w:r>
      <w:bookmarkEnd w:id="292"/>
      <w:bookmarkEnd w:id="293"/>
      <w:bookmarkEnd w:id="294"/>
      <w:bookmarkEnd w:id="295"/>
    </w:p>
    <w:p w14:paraId="25191A14">
      <w:pPr>
        <w:spacing w:line="360" w:lineRule="auto"/>
        <w:ind w:left="788" w:hanging="787" w:hangingChars="375"/>
        <w:rPr>
          <w:rFonts w:ascii="宋体" w:hAnsi="宋体"/>
          <w:szCs w:val="21"/>
          <w:highlight w:val="none"/>
        </w:rPr>
      </w:pPr>
      <w:r>
        <w:rPr>
          <w:rFonts w:hint="eastAsia" w:ascii="宋体" w:hAnsi="宋体"/>
          <w:szCs w:val="21"/>
          <w:highlight w:val="none"/>
        </w:rPr>
        <w:t>23.1   除技术规范中另有规定外</w:t>
      </w:r>
      <w:r>
        <w:rPr>
          <w:rFonts w:ascii="宋体" w:hAnsi="宋体"/>
          <w:szCs w:val="21"/>
          <w:highlight w:val="none"/>
        </w:rPr>
        <w:t>,</w:t>
      </w:r>
      <w:r>
        <w:rPr>
          <w:rFonts w:hint="eastAsia" w:ascii="宋体" w:hAnsi="宋体"/>
          <w:szCs w:val="21"/>
          <w:highlight w:val="none"/>
        </w:rPr>
        <w:t>计量单位均使用国家法定计量单位。</w:t>
      </w:r>
    </w:p>
    <w:p w14:paraId="355BD525">
      <w:pPr>
        <w:outlineLvl w:val="2"/>
        <w:rPr>
          <w:rFonts w:ascii="宋体" w:hAnsi="宋体"/>
          <w:szCs w:val="21"/>
          <w:highlight w:val="none"/>
        </w:rPr>
      </w:pPr>
      <w:bookmarkStart w:id="296" w:name="_Toc28567"/>
      <w:bookmarkStart w:id="297" w:name="_Toc487900373"/>
      <w:bookmarkStart w:id="298" w:name="_Toc415222520"/>
      <w:bookmarkStart w:id="299" w:name="_Toc23747"/>
      <w:r>
        <w:rPr>
          <w:rFonts w:hint="eastAsia" w:ascii="宋体" w:hAnsi="宋体"/>
          <w:szCs w:val="21"/>
          <w:highlight w:val="none"/>
        </w:rPr>
        <w:t>24．   适用法律</w:t>
      </w:r>
      <w:bookmarkEnd w:id="296"/>
      <w:bookmarkEnd w:id="297"/>
      <w:bookmarkEnd w:id="298"/>
      <w:bookmarkEnd w:id="299"/>
    </w:p>
    <w:p w14:paraId="3A092D0D">
      <w:pPr>
        <w:spacing w:line="360" w:lineRule="auto"/>
        <w:ind w:left="788" w:hanging="787" w:hangingChars="375"/>
        <w:rPr>
          <w:rFonts w:ascii="宋体" w:hAnsi="宋体"/>
          <w:szCs w:val="21"/>
          <w:highlight w:val="none"/>
        </w:rPr>
      </w:pPr>
      <w:r>
        <w:rPr>
          <w:rFonts w:hint="eastAsia" w:ascii="宋体" w:hAnsi="宋体"/>
          <w:szCs w:val="21"/>
          <w:highlight w:val="none"/>
        </w:rPr>
        <w:t>24.1   本合同应按照中华人民共和国的法律进行解释。</w:t>
      </w:r>
    </w:p>
    <w:p w14:paraId="6067C93E">
      <w:pPr>
        <w:outlineLvl w:val="2"/>
        <w:rPr>
          <w:rFonts w:ascii="宋体" w:hAnsi="宋体"/>
          <w:szCs w:val="21"/>
          <w:highlight w:val="none"/>
        </w:rPr>
      </w:pPr>
      <w:bookmarkStart w:id="300" w:name="_Toc415222521"/>
      <w:bookmarkStart w:id="301" w:name="_Toc5896"/>
      <w:bookmarkStart w:id="302" w:name="_Toc26432"/>
      <w:bookmarkStart w:id="303" w:name="_Toc487900374"/>
      <w:r>
        <w:rPr>
          <w:rFonts w:ascii="宋体" w:hAnsi="宋体"/>
          <w:szCs w:val="21"/>
          <w:highlight w:val="none"/>
        </w:rPr>
        <w:t>2</w:t>
      </w:r>
      <w:r>
        <w:rPr>
          <w:rFonts w:hint="eastAsia" w:ascii="宋体" w:hAnsi="宋体"/>
          <w:szCs w:val="21"/>
          <w:highlight w:val="none"/>
        </w:rPr>
        <w:t>5．   履约保证金</w:t>
      </w:r>
      <w:bookmarkEnd w:id="300"/>
      <w:bookmarkEnd w:id="301"/>
      <w:bookmarkEnd w:id="302"/>
    </w:p>
    <w:p w14:paraId="553307FB">
      <w:pPr>
        <w:spacing w:line="360" w:lineRule="auto"/>
        <w:ind w:left="788" w:hanging="787" w:hangingChars="375"/>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5</w:t>
      </w:r>
      <w:r>
        <w:rPr>
          <w:rFonts w:ascii="宋体" w:hAnsi="宋体"/>
          <w:szCs w:val="21"/>
          <w:highlight w:val="none"/>
        </w:rPr>
        <w:t xml:space="preserve">.1 </w:t>
      </w:r>
      <w:r>
        <w:rPr>
          <w:rFonts w:hint="eastAsia" w:ascii="宋体" w:hAnsi="宋体"/>
          <w:szCs w:val="21"/>
          <w:highlight w:val="none"/>
        </w:rPr>
        <w:t xml:space="preserve">  卖方应按合同专用条款规定缴纳履约保证金。</w:t>
      </w:r>
    </w:p>
    <w:p w14:paraId="585FF44E">
      <w:pPr>
        <w:spacing w:line="360" w:lineRule="auto"/>
        <w:ind w:left="788" w:hanging="787" w:hangingChars="375"/>
        <w:rPr>
          <w:rFonts w:hint="eastAsia" w:ascii="宋体" w:hAnsi="宋体"/>
          <w:szCs w:val="21"/>
          <w:highlight w:val="none"/>
        </w:rPr>
      </w:pPr>
      <w:r>
        <w:rPr>
          <w:rFonts w:hint="eastAsia" w:ascii="宋体" w:hAnsi="宋体"/>
          <w:szCs w:val="21"/>
          <w:highlight w:val="none"/>
        </w:rPr>
        <w:t>25.2   履约保证金用于补偿买方因卖方不能履行其合同义务而蒙受的损失。</w:t>
      </w:r>
    </w:p>
    <w:p w14:paraId="6A471B56">
      <w:pPr>
        <w:spacing w:line="360" w:lineRule="auto"/>
        <w:ind w:left="788" w:hanging="787" w:hangingChars="375"/>
        <w:rPr>
          <w:rFonts w:hint="eastAsia" w:ascii="宋体" w:hAnsi="宋体"/>
          <w:szCs w:val="21"/>
          <w:highlight w:val="none"/>
        </w:rPr>
      </w:pPr>
      <w:r>
        <w:rPr>
          <w:rFonts w:hint="eastAsia" w:ascii="宋体" w:hAnsi="宋体"/>
          <w:szCs w:val="21"/>
          <w:highlight w:val="none"/>
        </w:rPr>
        <w:t>25.3   履约保证金应使用本合同货币，按下述方式之一提交：</w:t>
      </w:r>
    </w:p>
    <w:p w14:paraId="4B794904">
      <w:pPr>
        <w:spacing w:line="360" w:lineRule="auto"/>
        <w:ind w:left="899" w:leftChars="428"/>
        <w:rPr>
          <w:rFonts w:ascii="宋体" w:hAnsi="宋体"/>
          <w:szCs w:val="21"/>
          <w:highlight w:val="none"/>
        </w:rPr>
      </w:pPr>
      <w:r>
        <w:rPr>
          <w:rFonts w:hint="eastAsia" w:ascii="宋体" w:hAnsi="宋体"/>
          <w:szCs w:val="21"/>
          <w:highlight w:val="none"/>
        </w:rPr>
        <w:t>A.买方可接受的在中华人民共和国注册和营业的银行，按招标文件提供的格式（附件8），或其他买方可接受的格式。</w:t>
      </w:r>
    </w:p>
    <w:p w14:paraId="07FDA3C6">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B. 支票、汇票。</w:t>
      </w:r>
    </w:p>
    <w:p w14:paraId="354BF264">
      <w:pPr>
        <w:spacing w:line="360" w:lineRule="auto"/>
        <w:ind w:left="890" w:leftChars="399" w:hanging="52" w:hangingChars="25"/>
        <w:rPr>
          <w:rFonts w:ascii="宋体" w:hAnsi="宋体"/>
          <w:szCs w:val="21"/>
          <w:highlight w:val="none"/>
        </w:rPr>
      </w:pPr>
      <w:r>
        <w:rPr>
          <w:rFonts w:hint="eastAsia" w:ascii="宋体" w:hAnsi="宋体"/>
          <w:szCs w:val="21"/>
          <w:highlight w:val="none"/>
        </w:rPr>
        <w:t>C. 利用担保试点范围内的项目，中标投标人可以按照规定，向招标人提供合格的履约担保函。</w:t>
      </w:r>
    </w:p>
    <w:p w14:paraId="5FABC623">
      <w:pPr>
        <w:spacing w:line="360" w:lineRule="auto"/>
        <w:ind w:left="788" w:hanging="787" w:hangingChars="375"/>
        <w:rPr>
          <w:rFonts w:hint="eastAsia" w:ascii="宋体" w:hAnsi="宋体"/>
          <w:szCs w:val="21"/>
          <w:highlight w:val="none"/>
        </w:rPr>
      </w:pPr>
      <w:r>
        <w:rPr>
          <w:rFonts w:hint="eastAsia" w:ascii="宋体" w:hAnsi="宋体"/>
          <w:szCs w:val="21"/>
          <w:highlight w:val="none"/>
        </w:rPr>
        <w:t>25.4</w:t>
      </w:r>
      <w:r>
        <w:rPr>
          <w:rFonts w:hint="eastAsia" w:ascii="宋体" w:hAnsi="宋体"/>
          <w:szCs w:val="21"/>
          <w:highlight w:val="none"/>
        </w:rPr>
        <w:tab/>
      </w:r>
      <w:r>
        <w:rPr>
          <w:rFonts w:hint="eastAsia" w:ascii="宋体" w:hAnsi="宋体"/>
          <w:szCs w:val="21"/>
          <w:highlight w:val="none"/>
        </w:rPr>
        <w:t>履约保证金在法定的货物质量保证期期满前应完全有效。</w:t>
      </w:r>
    </w:p>
    <w:p w14:paraId="226D828D">
      <w:pPr>
        <w:spacing w:line="360" w:lineRule="auto"/>
        <w:ind w:left="788" w:hanging="787" w:hangingChars="375"/>
        <w:rPr>
          <w:rFonts w:hint="eastAsia" w:ascii="宋体" w:hAnsi="宋体"/>
          <w:szCs w:val="21"/>
          <w:highlight w:val="none"/>
        </w:rPr>
      </w:pPr>
      <w:r>
        <w:rPr>
          <w:rFonts w:hint="eastAsia" w:ascii="宋体" w:hAnsi="宋体"/>
          <w:szCs w:val="21"/>
          <w:highlight w:val="none"/>
        </w:rPr>
        <w:t>25.5   如果卖方未能按合同规定履行其义务，买方有权从履约保证金中取得补偿。质量保证期结束后三十(30)天内，买方将把履约保证金退还卖方。履约担保函不予退还。</w:t>
      </w:r>
    </w:p>
    <w:p w14:paraId="1FC03A50">
      <w:pPr>
        <w:outlineLvl w:val="2"/>
        <w:rPr>
          <w:rFonts w:hint="eastAsia" w:ascii="宋体" w:hAnsi="宋体"/>
          <w:szCs w:val="21"/>
          <w:highlight w:val="none"/>
        </w:rPr>
      </w:pPr>
      <w:bookmarkStart w:id="304" w:name="_Toc31958"/>
      <w:bookmarkStart w:id="305" w:name="_Toc415222522"/>
      <w:bookmarkStart w:id="306" w:name="_Toc26939"/>
      <w:r>
        <w:rPr>
          <w:rFonts w:hint="eastAsia" w:ascii="宋体" w:hAnsi="宋体"/>
          <w:szCs w:val="21"/>
          <w:highlight w:val="none"/>
        </w:rPr>
        <w:t>26．   合同生效</w:t>
      </w:r>
      <w:bookmarkEnd w:id="303"/>
      <w:r>
        <w:rPr>
          <w:rFonts w:hint="eastAsia" w:ascii="宋体" w:hAnsi="宋体"/>
          <w:szCs w:val="21"/>
          <w:highlight w:val="none"/>
        </w:rPr>
        <w:t>和其它</w:t>
      </w:r>
      <w:bookmarkEnd w:id="304"/>
      <w:bookmarkEnd w:id="305"/>
      <w:bookmarkEnd w:id="306"/>
    </w:p>
    <w:p w14:paraId="4C621376">
      <w:pPr>
        <w:spacing w:line="360" w:lineRule="auto"/>
        <w:ind w:left="735" w:hanging="735" w:hangingChars="350"/>
        <w:rPr>
          <w:rFonts w:hint="eastAsia" w:ascii="宋体" w:hAnsi="宋体"/>
          <w:szCs w:val="21"/>
          <w:highlight w:val="none"/>
        </w:rPr>
      </w:pPr>
      <w:bookmarkStart w:id="307" w:name="_Toc216513786"/>
      <w:bookmarkStart w:id="308" w:name="_Toc219175623"/>
      <w:bookmarkStart w:id="309" w:name="_Toc218935339"/>
      <w:r>
        <w:rPr>
          <w:rFonts w:hint="eastAsia" w:ascii="宋体" w:hAnsi="宋体"/>
          <w:szCs w:val="21"/>
          <w:highlight w:val="none"/>
        </w:rPr>
        <w:t>26.1   采购项目的采购合同内容的确定应以招标文件和投标文件为基础，不得违背其实质性内容。合同将在双方签字盖章并由卖方递交履约保证金后开始生效。</w:t>
      </w:r>
      <w:bookmarkEnd w:id="307"/>
      <w:bookmarkEnd w:id="308"/>
      <w:bookmarkEnd w:id="309"/>
    </w:p>
    <w:p w14:paraId="635B1B89">
      <w:pPr>
        <w:spacing w:line="360" w:lineRule="auto"/>
        <w:ind w:left="735" w:hanging="735" w:hangingChars="350"/>
        <w:rPr>
          <w:rFonts w:hint="eastAsia" w:ascii="宋体" w:hAnsi="宋体"/>
          <w:szCs w:val="21"/>
          <w:highlight w:val="none"/>
        </w:rPr>
      </w:pPr>
      <w:r>
        <w:rPr>
          <w:rFonts w:hint="eastAsia" w:ascii="宋体" w:hAnsi="宋体"/>
          <w:szCs w:val="21"/>
          <w:highlight w:val="none"/>
        </w:rPr>
        <w:t>26.2   本合同份数按合同专用条款规定。</w:t>
      </w:r>
    </w:p>
    <w:p w14:paraId="6237B632">
      <w:pPr>
        <w:pStyle w:val="4"/>
        <w:rPr>
          <w:rFonts w:hint="eastAsia" w:ascii="宋体" w:hAnsi="宋体" w:eastAsia="宋体"/>
          <w:sz w:val="21"/>
          <w:szCs w:val="21"/>
          <w:highlight w:val="none"/>
        </w:rPr>
      </w:pPr>
      <w:r>
        <w:rPr>
          <w:rFonts w:ascii="宋体" w:hAnsi="宋体" w:eastAsia="宋体"/>
          <w:sz w:val="21"/>
          <w:szCs w:val="21"/>
          <w:highlight w:val="none"/>
        </w:rPr>
        <w:br w:type="page"/>
      </w:r>
      <w:bookmarkStart w:id="310" w:name="_Toc109736066"/>
      <w:bookmarkStart w:id="311" w:name="_Toc4088"/>
      <w:r>
        <w:rPr>
          <w:rFonts w:hint="eastAsia" w:ascii="宋体" w:hAnsi="宋体" w:eastAsia="宋体"/>
          <w:sz w:val="21"/>
          <w:szCs w:val="21"/>
          <w:highlight w:val="none"/>
        </w:rPr>
        <w:t>二、</w:t>
      </w:r>
      <w:r>
        <w:rPr>
          <w:rFonts w:hint="eastAsia" w:ascii="宋体" w:hAnsi="宋体" w:eastAsia="宋体" w:cs="宋体"/>
          <w:sz w:val="21"/>
          <w:szCs w:val="21"/>
          <w:highlight w:val="none"/>
        </w:rPr>
        <w:t>合同格式</w:t>
      </w:r>
      <w:r>
        <w:rPr>
          <w:rFonts w:hint="eastAsia" w:ascii="宋体" w:hAnsi="宋体" w:eastAsia="宋体" w:cs="宋体"/>
          <w:kern w:val="44"/>
          <w:sz w:val="21"/>
          <w:szCs w:val="21"/>
          <w:highlight w:val="none"/>
        </w:rPr>
        <w:t>（货物类）</w:t>
      </w:r>
      <w:bookmarkEnd w:id="310"/>
      <w:bookmarkEnd w:id="311"/>
    </w:p>
    <w:p w14:paraId="08110F56">
      <w:pPr>
        <w:pStyle w:val="2"/>
        <w:spacing w:line="360" w:lineRule="auto"/>
        <w:ind w:left="540" w:leftChars="257"/>
        <w:rPr>
          <w:rFonts w:hint="eastAsia" w:ascii="宋体" w:hAnsi="宋体" w:cs="宋体"/>
          <w:szCs w:val="21"/>
          <w:highlight w:val="none"/>
        </w:rPr>
      </w:pPr>
    </w:p>
    <w:p w14:paraId="30A7A2E8">
      <w:pPr>
        <w:pStyle w:val="2"/>
        <w:spacing w:line="360" w:lineRule="auto"/>
        <w:ind w:left="540" w:leftChars="257"/>
        <w:rPr>
          <w:rFonts w:hint="eastAsia" w:ascii="宋体" w:hAnsi="宋体" w:cs="宋体"/>
          <w:szCs w:val="21"/>
          <w:highlight w:val="none"/>
        </w:rPr>
      </w:pPr>
    </w:p>
    <w:p w14:paraId="004EE2AA">
      <w:pPr>
        <w:spacing w:line="360" w:lineRule="auto"/>
        <w:ind w:right="420"/>
        <w:rPr>
          <w:rFonts w:hint="eastAsia" w:ascii="宋体" w:hAnsi="宋体" w:cs="宋体"/>
          <w:szCs w:val="21"/>
          <w:highlight w:val="none"/>
        </w:rPr>
      </w:pPr>
      <w:bookmarkStart w:id="312" w:name="_Toc216513789"/>
    </w:p>
    <w:p w14:paraId="66366D95">
      <w:pPr>
        <w:spacing w:line="360" w:lineRule="auto"/>
        <w:ind w:right="420" w:firstLine="525" w:firstLineChars="250"/>
        <w:rPr>
          <w:rFonts w:hint="eastAsia" w:ascii="宋体" w:hAnsi="宋体" w:cs="宋体"/>
          <w:szCs w:val="21"/>
          <w:highlight w:val="none"/>
        </w:rPr>
      </w:pPr>
      <w:r>
        <w:rPr>
          <w:rFonts w:hint="eastAsia" w:ascii="宋体" w:hAnsi="宋体" w:cs="宋体"/>
          <w:szCs w:val="21"/>
          <w:highlight w:val="none"/>
        </w:rPr>
        <w:t>合同编号：</w:t>
      </w:r>
      <w:bookmarkEnd w:id="312"/>
      <w:r>
        <w:rPr>
          <w:rFonts w:hint="eastAsia" w:ascii="宋体" w:hAnsi="宋体" w:cs="宋体"/>
          <w:szCs w:val="21"/>
          <w:highlight w:val="none"/>
          <w:u w:val="single"/>
        </w:rPr>
        <w:t xml:space="preserve">                                   </w:t>
      </w:r>
    </w:p>
    <w:p w14:paraId="1AC7740F">
      <w:pPr>
        <w:spacing w:line="360" w:lineRule="auto"/>
        <w:ind w:left="1080" w:leftChars="257" w:hanging="540"/>
        <w:rPr>
          <w:rFonts w:hint="eastAsia" w:ascii="宋体" w:hAnsi="宋体" w:cs="宋体"/>
          <w:szCs w:val="21"/>
          <w:highlight w:val="none"/>
        </w:rPr>
      </w:pPr>
    </w:p>
    <w:p w14:paraId="426EE6D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项目名称：</w:t>
      </w:r>
      <w:r>
        <w:rPr>
          <w:rFonts w:hint="eastAsia" w:ascii="宋体" w:hAnsi="宋体" w:cs="宋体"/>
          <w:szCs w:val="21"/>
          <w:highlight w:val="none"/>
          <w:u w:val="single"/>
        </w:rPr>
        <w:t xml:space="preserve">                                    </w:t>
      </w:r>
    </w:p>
    <w:p w14:paraId="59AFD0C3">
      <w:pPr>
        <w:spacing w:line="360" w:lineRule="auto"/>
        <w:ind w:left="1080" w:leftChars="257" w:hanging="540"/>
        <w:rPr>
          <w:rFonts w:hint="eastAsia" w:ascii="宋体" w:hAnsi="宋体" w:cs="宋体"/>
          <w:szCs w:val="21"/>
          <w:highlight w:val="none"/>
        </w:rPr>
      </w:pPr>
    </w:p>
    <w:p w14:paraId="2A1929F2">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货物名称：</w:t>
      </w:r>
      <w:r>
        <w:rPr>
          <w:rFonts w:hint="eastAsia" w:ascii="宋体" w:hAnsi="宋体" w:cs="宋体"/>
          <w:szCs w:val="21"/>
          <w:highlight w:val="none"/>
          <w:u w:val="single"/>
        </w:rPr>
        <w:t xml:space="preserve">                                    </w:t>
      </w:r>
    </w:p>
    <w:p w14:paraId="4BA5DBF2">
      <w:pPr>
        <w:spacing w:line="360" w:lineRule="auto"/>
        <w:ind w:left="1080" w:leftChars="257" w:hanging="540"/>
        <w:rPr>
          <w:rFonts w:hint="eastAsia" w:ascii="宋体" w:hAnsi="宋体" w:cs="宋体"/>
          <w:szCs w:val="21"/>
          <w:highlight w:val="none"/>
        </w:rPr>
      </w:pPr>
    </w:p>
    <w:p w14:paraId="02A5CC52">
      <w:pPr>
        <w:spacing w:line="360" w:lineRule="auto"/>
        <w:ind w:left="1080" w:leftChars="257" w:hanging="540"/>
        <w:rPr>
          <w:rFonts w:hint="eastAsia" w:ascii="宋体" w:hAnsi="宋体" w:cs="宋体"/>
          <w:szCs w:val="21"/>
          <w:highlight w:val="none"/>
        </w:rPr>
      </w:pPr>
    </w:p>
    <w:p w14:paraId="38984439">
      <w:pPr>
        <w:pStyle w:val="36"/>
        <w:spacing w:line="360" w:lineRule="auto"/>
        <w:ind w:left="1080" w:leftChars="257" w:hanging="540"/>
        <w:rPr>
          <w:rFonts w:hint="eastAsia" w:ascii="宋体" w:hAnsi="宋体" w:eastAsia="宋体" w:cs="宋体"/>
          <w:highlight w:val="none"/>
        </w:rPr>
      </w:pPr>
    </w:p>
    <w:p w14:paraId="29695DF7">
      <w:pPr>
        <w:pStyle w:val="36"/>
        <w:spacing w:line="360" w:lineRule="auto"/>
        <w:ind w:left="1080" w:leftChars="257" w:hanging="540"/>
        <w:rPr>
          <w:rFonts w:hint="eastAsia" w:ascii="宋体" w:hAnsi="宋体" w:eastAsia="宋体" w:cs="宋体"/>
          <w:highlight w:val="none"/>
        </w:rPr>
      </w:pPr>
    </w:p>
    <w:p w14:paraId="7EC9B960">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买　　方：</w:t>
      </w:r>
      <w:r>
        <w:rPr>
          <w:rFonts w:hint="eastAsia" w:ascii="宋体" w:hAnsi="宋体" w:cs="宋体"/>
          <w:szCs w:val="21"/>
          <w:highlight w:val="none"/>
          <w:u w:val="single"/>
        </w:rPr>
        <w:t xml:space="preserve">                                    </w:t>
      </w:r>
    </w:p>
    <w:p w14:paraId="3B3D3194">
      <w:pPr>
        <w:spacing w:line="360" w:lineRule="auto"/>
        <w:ind w:left="1080" w:leftChars="257" w:hanging="540"/>
        <w:rPr>
          <w:rFonts w:hint="eastAsia" w:ascii="宋体" w:hAnsi="宋体" w:cs="宋体"/>
          <w:szCs w:val="21"/>
          <w:highlight w:val="none"/>
        </w:rPr>
      </w:pPr>
    </w:p>
    <w:p w14:paraId="26C22CF1">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卖　　方：</w:t>
      </w:r>
      <w:r>
        <w:rPr>
          <w:rFonts w:hint="eastAsia" w:ascii="宋体" w:hAnsi="宋体" w:cs="宋体"/>
          <w:szCs w:val="21"/>
          <w:highlight w:val="none"/>
          <w:u w:val="single"/>
        </w:rPr>
        <w:t xml:space="preserve">                                    </w:t>
      </w:r>
    </w:p>
    <w:p w14:paraId="7E193D77">
      <w:pPr>
        <w:spacing w:line="360" w:lineRule="auto"/>
        <w:ind w:left="1080" w:leftChars="257" w:hanging="540"/>
        <w:rPr>
          <w:rFonts w:hint="eastAsia" w:ascii="宋体" w:hAnsi="宋体" w:cs="宋体"/>
          <w:szCs w:val="21"/>
          <w:highlight w:val="none"/>
        </w:rPr>
      </w:pPr>
    </w:p>
    <w:p w14:paraId="00E3751B">
      <w:pPr>
        <w:spacing w:line="360" w:lineRule="auto"/>
        <w:ind w:left="1080" w:leftChars="257" w:hanging="540"/>
        <w:jc w:val="center"/>
        <w:rPr>
          <w:rFonts w:hint="eastAsia" w:ascii="宋体" w:hAnsi="宋体" w:cs="宋体"/>
          <w:szCs w:val="21"/>
          <w:highlight w:val="none"/>
        </w:rPr>
      </w:pPr>
    </w:p>
    <w:p w14:paraId="114886EA">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签署日期：</w:t>
      </w:r>
      <w:r>
        <w:rPr>
          <w:rFonts w:hint="eastAsia" w:ascii="宋体" w:hAnsi="宋体" w:cs="宋体"/>
          <w:szCs w:val="21"/>
          <w:highlight w:val="none"/>
          <w:u w:val="single"/>
        </w:rPr>
        <w:t>　　　　　　　　　　　　　　　　　　　</w:t>
      </w:r>
    </w:p>
    <w:p w14:paraId="2CD87FFB">
      <w:pPr>
        <w:spacing w:line="360" w:lineRule="auto"/>
        <w:jc w:val="center"/>
        <w:outlineLvl w:val="2"/>
        <w:rPr>
          <w:rFonts w:hint="eastAsia" w:ascii="宋体" w:hAnsi="宋体" w:cs="宋体"/>
          <w:b/>
          <w:sz w:val="24"/>
          <w:highlight w:val="none"/>
        </w:rPr>
      </w:pPr>
      <w:r>
        <w:rPr>
          <w:rFonts w:hint="eastAsia" w:ascii="宋体" w:hAnsi="宋体" w:cs="宋体"/>
          <w:szCs w:val="21"/>
          <w:highlight w:val="none"/>
          <w:u w:val="single"/>
        </w:rPr>
        <w:br w:type="page"/>
      </w:r>
      <w:bookmarkStart w:id="313" w:name="_Toc27454"/>
      <w:bookmarkStart w:id="314" w:name="_Toc219175636"/>
      <w:bookmarkStart w:id="315" w:name="_Toc15903"/>
      <w:bookmarkStart w:id="316" w:name="_Toc220229326"/>
      <w:bookmarkStart w:id="317" w:name="_Toc220229431"/>
      <w:bookmarkStart w:id="318" w:name="_Toc218935352"/>
      <w:r>
        <w:rPr>
          <w:rFonts w:hint="eastAsia" w:ascii="宋体" w:hAnsi="宋体" w:cs="宋体"/>
          <w:b/>
          <w:sz w:val="24"/>
          <w:highlight w:val="none"/>
        </w:rPr>
        <w:t>合　　　同　　　书</w:t>
      </w:r>
      <w:bookmarkEnd w:id="313"/>
      <w:bookmarkEnd w:id="314"/>
      <w:bookmarkEnd w:id="315"/>
      <w:bookmarkEnd w:id="316"/>
      <w:bookmarkEnd w:id="317"/>
      <w:bookmarkEnd w:id="318"/>
    </w:p>
    <w:p w14:paraId="5ECA56C0">
      <w:pPr>
        <w:spacing w:line="360" w:lineRule="auto"/>
        <w:ind w:left="1080" w:leftChars="257" w:hanging="540"/>
        <w:rPr>
          <w:rFonts w:hint="eastAsia" w:ascii="宋体" w:hAnsi="宋体" w:cs="宋体"/>
          <w:szCs w:val="21"/>
          <w:highlight w:val="none"/>
        </w:rPr>
      </w:pPr>
    </w:p>
    <w:p w14:paraId="5A7D6F3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买方</w:t>
      </w:r>
      <w:r>
        <w:rPr>
          <w:rFonts w:hint="eastAsia" w:ascii="宋体" w:hAnsi="宋体" w:cs="宋体"/>
          <w:szCs w:val="21"/>
          <w:highlight w:val="none"/>
          <w:u w:val="single"/>
        </w:rPr>
        <w:t xml:space="preserve">   （名称）    </w:t>
      </w:r>
      <w:r>
        <w:rPr>
          <w:rFonts w:hint="eastAsia" w:ascii="宋体" w:hAnsi="宋体" w:cs="宋体"/>
          <w:szCs w:val="21"/>
          <w:highlight w:val="none"/>
        </w:rPr>
        <w:t>的</w:t>
      </w:r>
      <w:r>
        <w:rPr>
          <w:rFonts w:hint="eastAsia" w:ascii="宋体" w:hAnsi="宋体" w:cs="宋体"/>
          <w:szCs w:val="21"/>
          <w:highlight w:val="none"/>
          <w:u w:val="single"/>
        </w:rPr>
        <w:t xml:space="preserve">  (项目名称)   </w:t>
      </w:r>
      <w:r>
        <w:rPr>
          <w:rFonts w:hint="eastAsia" w:ascii="宋体" w:hAnsi="宋体" w:cs="宋体"/>
          <w:szCs w:val="21"/>
          <w:highlight w:val="none"/>
        </w:rPr>
        <w:t>中所需</w:t>
      </w:r>
      <w:r>
        <w:rPr>
          <w:rFonts w:hint="eastAsia" w:ascii="宋体" w:hAnsi="宋体" w:cs="宋体"/>
          <w:szCs w:val="21"/>
          <w:highlight w:val="none"/>
          <w:u w:val="single"/>
        </w:rPr>
        <w:t xml:space="preserve">  (货物名称) </w:t>
      </w:r>
      <w:r>
        <w:rPr>
          <w:rFonts w:hint="eastAsia" w:ascii="宋体" w:hAnsi="宋体" w:cs="宋体"/>
          <w:szCs w:val="21"/>
          <w:highlight w:val="none"/>
        </w:rPr>
        <w:t>经国药集团扬州威克生物工程有限公司以</w:t>
      </w:r>
      <w:r>
        <w:rPr>
          <w:rFonts w:hint="eastAsia" w:ascii="宋体" w:hAnsi="宋体" w:cs="宋体"/>
          <w:szCs w:val="21"/>
          <w:highlight w:val="none"/>
          <w:u w:val="single"/>
        </w:rPr>
        <w:t xml:space="preserve"> （招标编号）  </w:t>
      </w:r>
      <w:r>
        <w:rPr>
          <w:rFonts w:hint="eastAsia" w:ascii="宋体" w:hAnsi="宋体" w:cs="宋体"/>
          <w:szCs w:val="21"/>
          <w:highlight w:val="none"/>
        </w:rPr>
        <w:t>招标文件在国内公开招标。经评定，卖方</w:t>
      </w:r>
      <w:r>
        <w:rPr>
          <w:rFonts w:hint="eastAsia" w:ascii="宋体" w:hAnsi="宋体" w:cs="宋体"/>
          <w:szCs w:val="21"/>
          <w:highlight w:val="none"/>
          <w:u w:val="single"/>
        </w:rPr>
        <w:t xml:space="preserve">           </w:t>
      </w:r>
      <w:r>
        <w:rPr>
          <w:rFonts w:hint="eastAsia" w:ascii="宋体" w:hAnsi="宋体" w:cs="宋体"/>
          <w:szCs w:val="21"/>
          <w:highlight w:val="none"/>
        </w:rPr>
        <w:t>为中标投标人。买、卖双方同意按照下面的条款和条件，签署本合同。</w:t>
      </w:r>
    </w:p>
    <w:p w14:paraId="705B7A6D">
      <w:pPr>
        <w:spacing w:line="360" w:lineRule="auto"/>
        <w:ind w:left="1080" w:leftChars="257" w:hanging="540"/>
        <w:outlineLvl w:val="2"/>
        <w:rPr>
          <w:rFonts w:hint="eastAsia" w:ascii="宋体" w:hAnsi="宋体" w:cs="宋体"/>
          <w:b/>
          <w:szCs w:val="21"/>
          <w:highlight w:val="none"/>
        </w:rPr>
      </w:pPr>
      <w:bookmarkStart w:id="319" w:name="_Toc19863"/>
      <w:bookmarkStart w:id="320" w:name="_Toc7540"/>
      <w:r>
        <w:rPr>
          <w:rFonts w:hint="eastAsia" w:ascii="宋体" w:hAnsi="宋体" w:cs="宋体"/>
          <w:b/>
          <w:szCs w:val="21"/>
          <w:highlight w:val="none"/>
        </w:rPr>
        <w:t>1、合同文件</w:t>
      </w:r>
      <w:bookmarkEnd w:id="319"/>
      <w:bookmarkEnd w:id="320"/>
    </w:p>
    <w:p w14:paraId="7607A1F7">
      <w:pPr>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下列文件构成本合同的组成部分，应该认为是一个整体，彼此相互解释，相互补充。为便于解释，组成合同的多个文件的优先支配地位的次序如下：</w:t>
      </w:r>
    </w:p>
    <w:p w14:paraId="02B0AA0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a.</w:t>
      </w:r>
      <w:r>
        <w:rPr>
          <w:rFonts w:hint="eastAsia" w:ascii="宋体" w:hAnsi="宋体" w:cs="宋体"/>
          <w:szCs w:val="21"/>
          <w:highlight w:val="none"/>
        </w:rPr>
        <w:tab/>
      </w:r>
      <w:r>
        <w:rPr>
          <w:rFonts w:hint="eastAsia" w:ascii="宋体" w:hAnsi="宋体" w:cs="宋体"/>
          <w:szCs w:val="21"/>
          <w:highlight w:val="none"/>
        </w:rPr>
        <w:t>本合同书　</w:t>
      </w:r>
    </w:p>
    <w:p w14:paraId="19DD3215">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b.</w:t>
      </w:r>
      <w:r>
        <w:rPr>
          <w:rFonts w:hint="eastAsia" w:ascii="宋体" w:hAnsi="宋体" w:cs="宋体"/>
          <w:szCs w:val="21"/>
          <w:highlight w:val="none"/>
        </w:rPr>
        <w:tab/>
      </w:r>
      <w:r>
        <w:rPr>
          <w:rFonts w:hint="eastAsia" w:ascii="宋体" w:hAnsi="宋体" w:cs="宋体"/>
          <w:szCs w:val="21"/>
          <w:highlight w:val="none"/>
        </w:rPr>
        <w:t>中标通知书</w:t>
      </w:r>
    </w:p>
    <w:p w14:paraId="0EE3DC1A">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c.</w:t>
      </w:r>
      <w:r>
        <w:rPr>
          <w:rFonts w:hint="eastAsia" w:ascii="宋体" w:hAnsi="宋体" w:cs="宋体"/>
          <w:szCs w:val="21"/>
          <w:highlight w:val="none"/>
        </w:rPr>
        <w:tab/>
      </w:r>
      <w:r>
        <w:rPr>
          <w:rFonts w:hint="eastAsia" w:ascii="宋体" w:hAnsi="宋体" w:cs="宋体"/>
          <w:szCs w:val="21"/>
          <w:highlight w:val="none"/>
        </w:rPr>
        <w:t>合同专用条款</w:t>
      </w:r>
    </w:p>
    <w:p w14:paraId="358121A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d.   合同通用条款</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p>
    <w:p w14:paraId="0D9020E2">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e.</w:t>
      </w:r>
      <w:r>
        <w:rPr>
          <w:rFonts w:hint="eastAsia" w:ascii="宋体" w:hAnsi="宋体" w:cs="宋体"/>
          <w:szCs w:val="21"/>
          <w:highlight w:val="none"/>
        </w:rPr>
        <w:tab/>
      </w:r>
      <w:r>
        <w:rPr>
          <w:rFonts w:hint="eastAsia" w:ascii="宋体" w:hAnsi="宋体" w:cs="宋体"/>
          <w:szCs w:val="21"/>
          <w:highlight w:val="none"/>
        </w:rPr>
        <w:t>投标文件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(含澄清文件)</w:t>
      </w:r>
    </w:p>
    <w:p w14:paraId="26997158">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f.</w:t>
      </w:r>
      <w:r>
        <w:rPr>
          <w:rFonts w:hint="eastAsia" w:ascii="宋体" w:hAnsi="宋体" w:cs="宋体"/>
          <w:szCs w:val="21"/>
          <w:highlight w:val="none"/>
        </w:rPr>
        <w:tab/>
      </w:r>
      <w:r>
        <w:rPr>
          <w:rFonts w:hint="eastAsia" w:ascii="宋体" w:hAnsi="宋体" w:cs="宋体"/>
          <w:szCs w:val="21"/>
          <w:highlight w:val="none"/>
        </w:rPr>
        <w:t>招标文件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(含招标文件补充通知)</w:t>
      </w:r>
    </w:p>
    <w:p w14:paraId="2C283FA3">
      <w:pPr>
        <w:spacing w:line="360" w:lineRule="auto"/>
        <w:ind w:left="1080" w:leftChars="257" w:hanging="540"/>
        <w:rPr>
          <w:rFonts w:hint="eastAsia" w:ascii="宋体" w:hAnsi="宋体" w:cs="宋体"/>
          <w:szCs w:val="21"/>
          <w:highlight w:val="none"/>
        </w:rPr>
      </w:pPr>
    </w:p>
    <w:p w14:paraId="25BBAD31">
      <w:pPr>
        <w:spacing w:line="360" w:lineRule="auto"/>
        <w:ind w:left="1080" w:leftChars="257" w:hanging="540"/>
        <w:outlineLvl w:val="2"/>
        <w:rPr>
          <w:rFonts w:hint="eastAsia" w:ascii="宋体" w:hAnsi="宋体" w:cs="宋体"/>
          <w:b/>
          <w:szCs w:val="21"/>
          <w:highlight w:val="none"/>
        </w:rPr>
      </w:pPr>
      <w:bookmarkStart w:id="321" w:name="_Toc25119"/>
      <w:bookmarkStart w:id="322" w:name="_Toc8396"/>
      <w:r>
        <w:rPr>
          <w:rFonts w:hint="eastAsia" w:ascii="宋体" w:hAnsi="宋体" w:cs="宋体"/>
          <w:b/>
          <w:szCs w:val="21"/>
          <w:highlight w:val="none"/>
        </w:rPr>
        <w:t>2、货物和数量</w:t>
      </w:r>
      <w:bookmarkEnd w:id="321"/>
      <w:bookmarkEnd w:id="322"/>
    </w:p>
    <w:p w14:paraId="4EB76B5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本合同货物：</w:t>
      </w:r>
      <w:r>
        <w:rPr>
          <w:rFonts w:hint="eastAsia" w:ascii="宋体" w:hAnsi="宋体" w:cs="宋体"/>
          <w:szCs w:val="21"/>
          <w:highlight w:val="none"/>
          <w:u w:val="single"/>
        </w:rPr>
        <w:t>　　　　　　　　　　　　</w:t>
      </w:r>
    </w:p>
    <w:p w14:paraId="7BD2FB31">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数量：</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按单次订单</w:t>
      </w:r>
      <w:r>
        <w:rPr>
          <w:rFonts w:hint="eastAsia" w:ascii="宋体" w:hAnsi="宋体" w:cs="宋体"/>
          <w:szCs w:val="21"/>
          <w:highlight w:val="none"/>
          <w:u w:val="single"/>
        </w:rPr>
        <w:t>　　　　　　　　　　　　　</w:t>
      </w:r>
    </w:p>
    <w:p w14:paraId="20F13287">
      <w:pPr>
        <w:spacing w:line="360" w:lineRule="auto"/>
        <w:ind w:left="1080" w:leftChars="257" w:hanging="540"/>
        <w:outlineLvl w:val="2"/>
        <w:rPr>
          <w:rFonts w:hint="eastAsia" w:ascii="宋体" w:hAnsi="宋体" w:eastAsia="宋体" w:cs="宋体"/>
          <w:b/>
          <w:szCs w:val="21"/>
          <w:highlight w:val="none"/>
          <w:lang w:eastAsia="zh-CN"/>
        </w:rPr>
      </w:pPr>
      <w:bookmarkStart w:id="323" w:name="_Toc22189"/>
      <w:bookmarkStart w:id="324" w:name="_Toc13500"/>
      <w:r>
        <w:rPr>
          <w:rFonts w:hint="eastAsia" w:ascii="宋体" w:hAnsi="宋体" w:cs="宋体"/>
          <w:b/>
          <w:szCs w:val="21"/>
          <w:highlight w:val="none"/>
        </w:rPr>
        <w:t>3、合同</w:t>
      </w:r>
      <w:bookmarkEnd w:id="323"/>
      <w:bookmarkEnd w:id="324"/>
      <w:r>
        <w:rPr>
          <w:rFonts w:hint="eastAsia" w:ascii="宋体" w:hAnsi="宋体" w:cs="宋体"/>
          <w:b/>
          <w:szCs w:val="21"/>
          <w:highlight w:val="none"/>
          <w:lang w:val="en-US" w:eastAsia="zh-CN"/>
        </w:rPr>
        <w:t>价格</w:t>
      </w:r>
    </w:p>
    <w:p w14:paraId="3F100FC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w:t>
      </w:r>
      <w:r>
        <w:rPr>
          <w:rFonts w:hint="eastAsia" w:ascii="宋体" w:hAnsi="宋体" w:cs="宋体"/>
          <w:szCs w:val="21"/>
          <w:highlight w:val="none"/>
          <w:lang w:val="en-US" w:eastAsia="zh-CN"/>
        </w:rPr>
        <w:t>单价</w:t>
      </w:r>
      <w:r>
        <w:rPr>
          <w:rFonts w:hint="eastAsia" w:ascii="宋体" w:hAnsi="宋体" w:cs="宋体"/>
          <w:szCs w:val="21"/>
          <w:highlight w:val="none"/>
        </w:rPr>
        <w:t>为</w:t>
      </w:r>
      <w:r>
        <w:rPr>
          <w:rFonts w:hint="eastAsia" w:ascii="宋体" w:hAnsi="宋体" w:cs="宋体"/>
          <w:szCs w:val="21"/>
          <w:highlight w:val="none"/>
          <w:u w:val="single"/>
        </w:rPr>
        <w:t xml:space="preserve">    　　   </w:t>
      </w:r>
      <w:r>
        <w:rPr>
          <w:rFonts w:hint="eastAsia" w:ascii="宋体" w:hAnsi="宋体" w:cs="宋体"/>
          <w:szCs w:val="21"/>
          <w:highlight w:val="none"/>
        </w:rPr>
        <w:t>元人民币</w:t>
      </w:r>
      <w:r>
        <w:rPr>
          <w:rFonts w:hint="eastAsia" w:ascii="宋体" w:hAnsi="宋体" w:cs="宋体"/>
          <w:szCs w:val="21"/>
          <w:highlight w:val="none"/>
          <w:lang w:val="en-US" w:eastAsia="zh-CN"/>
        </w:rPr>
        <w:t>/枚</w:t>
      </w:r>
      <w:r>
        <w:rPr>
          <w:rFonts w:hint="eastAsia" w:ascii="宋体" w:hAnsi="宋体" w:cs="宋体"/>
          <w:szCs w:val="21"/>
          <w:highlight w:val="none"/>
        </w:rPr>
        <w:t>。</w:t>
      </w:r>
    </w:p>
    <w:p w14:paraId="3E6BBF0C">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分项价格：</w:t>
      </w:r>
      <w:r>
        <w:rPr>
          <w:rFonts w:hint="eastAsia" w:ascii="宋体" w:hAnsi="宋体" w:cs="宋体"/>
          <w:szCs w:val="21"/>
          <w:highlight w:val="none"/>
          <w:u w:val="single"/>
        </w:rPr>
        <w:t>　　　　　　　　　　　　</w:t>
      </w:r>
    </w:p>
    <w:p w14:paraId="4DBFA9E1">
      <w:pPr>
        <w:spacing w:line="360" w:lineRule="auto"/>
        <w:ind w:left="1080" w:leftChars="257" w:hanging="540"/>
        <w:outlineLvl w:val="2"/>
        <w:rPr>
          <w:rFonts w:hint="eastAsia" w:ascii="宋体" w:hAnsi="宋体" w:cs="宋体"/>
          <w:b/>
          <w:szCs w:val="21"/>
          <w:highlight w:val="none"/>
        </w:rPr>
      </w:pPr>
      <w:bookmarkStart w:id="325" w:name="_Toc18819"/>
      <w:bookmarkStart w:id="326" w:name="_Toc888"/>
      <w:r>
        <w:rPr>
          <w:rFonts w:hint="eastAsia" w:ascii="宋体" w:hAnsi="宋体" w:cs="宋体"/>
          <w:b/>
          <w:szCs w:val="21"/>
          <w:highlight w:val="none"/>
        </w:rPr>
        <w:t>4、付款方式</w:t>
      </w:r>
      <w:bookmarkEnd w:id="325"/>
      <w:bookmarkEnd w:id="326"/>
    </w:p>
    <w:p w14:paraId="75CEBCFC">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本合同的付款方式为：</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发票开具3个月支付（含50%承兑</w:t>
      </w:r>
      <w:r>
        <w:rPr>
          <w:rFonts w:hint="eastAsia" w:ascii="宋体" w:hAnsi="宋体" w:cs="宋体"/>
          <w:szCs w:val="21"/>
          <w:highlight w:val="none"/>
          <w:u w:val="single"/>
        </w:rPr>
        <w:t>　</w:t>
      </w:r>
      <w:r>
        <w:rPr>
          <w:rFonts w:hint="eastAsia" w:ascii="宋体" w:hAnsi="宋体" w:cs="宋体"/>
          <w:szCs w:val="21"/>
          <w:highlight w:val="none"/>
          <w:u w:val="single"/>
          <w:lang w:eastAsia="zh-CN"/>
        </w:rPr>
        <w:t>）</w:t>
      </w:r>
      <w:r>
        <w:rPr>
          <w:rFonts w:hint="eastAsia" w:ascii="宋体" w:hAnsi="宋体" w:cs="宋体"/>
          <w:szCs w:val="21"/>
          <w:highlight w:val="none"/>
          <w:u w:val="single"/>
        </w:rPr>
        <w:t>　　　　　　　　　　　　　</w:t>
      </w:r>
    </w:p>
    <w:p w14:paraId="7CB269B8">
      <w:pPr>
        <w:spacing w:line="360" w:lineRule="auto"/>
        <w:ind w:left="1080" w:leftChars="257" w:hanging="540"/>
        <w:outlineLvl w:val="2"/>
        <w:rPr>
          <w:rFonts w:hint="eastAsia" w:ascii="宋体" w:hAnsi="宋体" w:cs="宋体"/>
          <w:b/>
          <w:szCs w:val="21"/>
          <w:highlight w:val="none"/>
        </w:rPr>
      </w:pPr>
      <w:bookmarkStart w:id="327" w:name="_Toc30466"/>
      <w:bookmarkStart w:id="328" w:name="_Toc7674"/>
      <w:r>
        <w:rPr>
          <w:rFonts w:hint="eastAsia" w:ascii="宋体" w:hAnsi="宋体" w:cs="宋体"/>
          <w:b/>
          <w:szCs w:val="21"/>
          <w:highlight w:val="none"/>
        </w:rPr>
        <w:t>5、本合同货物的交货时间及交货地点</w:t>
      </w:r>
      <w:bookmarkEnd w:id="327"/>
      <w:bookmarkEnd w:id="328"/>
    </w:p>
    <w:p w14:paraId="4CCA5119">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交货时间：</w:t>
      </w:r>
      <w:r>
        <w:rPr>
          <w:rFonts w:hint="eastAsia" w:ascii="宋体" w:hAnsi="宋体" w:cs="宋体"/>
          <w:szCs w:val="21"/>
          <w:highlight w:val="none"/>
          <w:u w:val="single"/>
        </w:rPr>
        <w:t>　　　　　　　　　　　　　　　　</w:t>
      </w:r>
    </w:p>
    <w:p w14:paraId="63C4F54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交货地点：</w:t>
      </w:r>
      <w:r>
        <w:rPr>
          <w:rFonts w:hint="eastAsia" w:ascii="宋体" w:hAnsi="宋体" w:cs="宋体"/>
          <w:szCs w:val="21"/>
          <w:highlight w:val="none"/>
          <w:u w:val="single"/>
        </w:rPr>
        <w:t>　　　　　　　　　　　　　　　　</w:t>
      </w:r>
    </w:p>
    <w:p w14:paraId="0FB8D09C">
      <w:pPr>
        <w:spacing w:line="360" w:lineRule="auto"/>
        <w:ind w:left="1080" w:leftChars="257" w:hanging="540"/>
        <w:rPr>
          <w:rFonts w:hint="eastAsia" w:ascii="宋体" w:hAnsi="宋体" w:cs="宋体"/>
          <w:b/>
          <w:szCs w:val="21"/>
          <w:highlight w:val="none"/>
        </w:rPr>
      </w:pPr>
      <w:r>
        <w:rPr>
          <w:rFonts w:hint="eastAsia" w:ascii="宋体" w:hAnsi="宋体" w:cs="宋体"/>
          <w:b/>
          <w:szCs w:val="21"/>
          <w:highlight w:val="none"/>
        </w:rPr>
        <w:t>6合同的生效。</w:t>
      </w:r>
    </w:p>
    <w:p w14:paraId="4EDD8DF8">
      <w:pPr>
        <w:spacing w:line="360" w:lineRule="auto"/>
        <w:ind w:firstLine="540"/>
        <w:rPr>
          <w:rFonts w:hint="eastAsia" w:ascii="宋体" w:hAnsi="宋体" w:cs="宋体"/>
          <w:szCs w:val="21"/>
          <w:highlight w:val="none"/>
        </w:rPr>
      </w:pPr>
      <w:r>
        <w:rPr>
          <w:rFonts w:hint="eastAsia" w:ascii="宋体" w:hAnsi="宋体" w:cs="宋体"/>
          <w:szCs w:val="21"/>
          <w:highlight w:val="none"/>
        </w:rPr>
        <w:t>本合同经双方全权代表签署、加盖单位印章并由卖方递交履约保证金后生效。</w:t>
      </w:r>
    </w:p>
    <w:p w14:paraId="32EC40DA">
      <w:pPr>
        <w:spacing w:line="360" w:lineRule="auto"/>
        <w:ind w:left="1080" w:leftChars="257" w:hanging="540"/>
        <w:rPr>
          <w:rFonts w:hint="eastAsia" w:ascii="宋体" w:hAnsi="宋体" w:cs="宋体"/>
          <w:szCs w:val="21"/>
          <w:highlight w:val="none"/>
        </w:rPr>
      </w:pPr>
    </w:p>
    <w:p w14:paraId="337B8536">
      <w:pPr>
        <w:spacing w:line="360" w:lineRule="auto"/>
        <w:ind w:left="975" w:leftChars="207" w:hanging="540"/>
        <w:rPr>
          <w:rFonts w:hint="eastAsia" w:ascii="宋体" w:hAnsi="宋体" w:cs="宋体"/>
          <w:szCs w:val="21"/>
          <w:highlight w:val="none"/>
          <w:u w:val="single"/>
        </w:rPr>
      </w:pPr>
      <w:r>
        <w:rPr>
          <w:rFonts w:hint="eastAsia" w:ascii="宋体" w:hAnsi="宋体" w:cs="宋体"/>
          <w:szCs w:val="21"/>
          <w:highlight w:val="none"/>
        </w:rPr>
        <w:t>　买  　方：</w:t>
      </w:r>
      <w:r>
        <w:rPr>
          <w:rFonts w:hint="eastAsia" w:ascii="宋体" w:hAnsi="宋体" w:cs="宋体"/>
          <w:szCs w:val="21"/>
          <w:highlight w:val="none"/>
          <w:u w:val="single"/>
        </w:rPr>
        <w:t xml:space="preserve">                 </w:t>
      </w:r>
      <w:r>
        <w:rPr>
          <w:rFonts w:hint="eastAsia" w:ascii="宋体" w:hAnsi="宋体" w:cs="宋体"/>
          <w:szCs w:val="21"/>
          <w:highlight w:val="none"/>
        </w:rPr>
        <w:t xml:space="preserve">      卖　  方：</w:t>
      </w:r>
      <w:r>
        <w:rPr>
          <w:rFonts w:hint="eastAsia" w:ascii="宋体" w:hAnsi="宋体" w:cs="宋体"/>
          <w:szCs w:val="21"/>
          <w:highlight w:val="none"/>
          <w:u w:val="single"/>
        </w:rPr>
        <w:t xml:space="preserve">                  </w:t>
      </w:r>
    </w:p>
    <w:p w14:paraId="5CBD847B">
      <w:pPr>
        <w:spacing w:line="360" w:lineRule="auto"/>
        <w:ind w:left="1026" w:leftChars="314" w:hanging="367" w:hangingChars="175"/>
        <w:rPr>
          <w:rFonts w:hint="eastAsia" w:ascii="宋体" w:hAnsi="宋体" w:cs="宋体"/>
          <w:szCs w:val="21"/>
          <w:highlight w:val="none"/>
        </w:rPr>
      </w:pPr>
      <w:r>
        <w:rPr>
          <w:rFonts w:hint="eastAsia" w:ascii="宋体" w:hAnsi="宋体" w:cs="宋体"/>
          <w:szCs w:val="21"/>
          <w:highlight w:val="none"/>
        </w:rPr>
        <w:t>名　  称：(印章)</w:t>
      </w:r>
      <w:r>
        <w:rPr>
          <w:rFonts w:hint="eastAsia" w:ascii="宋体" w:hAnsi="宋体" w:cs="宋体"/>
          <w:szCs w:val="21"/>
          <w:highlight w:val="none"/>
          <w:u w:val="single"/>
        </w:rPr>
        <w:t>　　　  　</w:t>
      </w:r>
      <w:r>
        <w:rPr>
          <w:rFonts w:hint="eastAsia" w:ascii="宋体" w:hAnsi="宋体" w:cs="宋体"/>
          <w:szCs w:val="21"/>
          <w:highlight w:val="none"/>
        </w:rPr>
        <w:t>　     名　  称：(印章)</w:t>
      </w:r>
      <w:r>
        <w:rPr>
          <w:rFonts w:hint="eastAsia" w:ascii="宋体" w:hAnsi="宋体" w:cs="宋体"/>
          <w:szCs w:val="21"/>
          <w:highlight w:val="none"/>
          <w:u w:val="single"/>
        </w:rPr>
        <w:t xml:space="preserve">            </w:t>
      </w:r>
    </w:p>
    <w:p w14:paraId="5A5A7D26">
      <w:pPr>
        <w:spacing w:line="360" w:lineRule="auto"/>
        <w:ind w:left="1026" w:leftChars="314" w:hanging="367" w:hangingChars="175"/>
        <w:rPr>
          <w:rFonts w:hint="eastAsia" w:ascii="宋体" w:hAnsi="宋体" w:cs="宋体"/>
          <w:szCs w:val="21"/>
          <w:highlight w:val="none"/>
          <w:u w:val="single"/>
        </w:rPr>
      </w:pPr>
      <w:r>
        <w:rPr>
          <w:rFonts w:hint="eastAsia" w:ascii="宋体" w:hAnsi="宋体" w:cs="宋体"/>
          <w:szCs w:val="21"/>
          <w:highlight w:val="none"/>
        </w:rPr>
        <w:t>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　　   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131A5A9C">
      <w:pPr>
        <w:spacing w:line="360" w:lineRule="auto"/>
        <w:ind w:firstLine="210" w:firstLineChars="100"/>
        <w:rPr>
          <w:rFonts w:hint="eastAsia" w:ascii="宋体" w:hAnsi="宋体" w:cs="宋体"/>
          <w:szCs w:val="21"/>
          <w:highlight w:val="none"/>
          <w:u w:val="single"/>
        </w:rPr>
      </w:pPr>
      <w:r>
        <w:rPr>
          <w:rFonts w:hint="eastAsia" w:ascii="宋体" w:hAnsi="宋体" w:cs="宋体"/>
          <w:szCs w:val="21"/>
          <w:highlight w:val="none"/>
        </w:rPr>
        <w:t>　　授权代表(签字)：</w:t>
      </w:r>
      <w:r>
        <w:rPr>
          <w:rFonts w:hint="eastAsia" w:ascii="宋体" w:hAnsi="宋体" w:cs="宋体"/>
          <w:szCs w:val="21"/>
          <w:highlight w:val="none"/>
          <w:u w:val="single"/>
        </w:rPr>
        <w:t xml:space="preserve">          </w:t>
      </w:r>
      <w:r>
        <w:rPr>
          <w:rFonts w:hint="eastAsia" w:ascii="宋体" w:hAnsi="宋体" w:cs="宋体"/>
          <w:szCs w:val="21"/>
          <w:highlight w:val="none"/>
        </w:rPr>
        <w:tab/>
      </w:r>
      <w:r>
        <w:rPr>
          <w:rFonts w:hint="eastAsia" w:ascii="宋体" w:hAnsi="宋体" w:cs="宋体"/>
          <w:szCs w:val="21"/>
          <w:highlight w:val="none"/>
        </w:rPr>
        <w:t xml:space="preserve">   授权代表(签字)：</w:t>
      </w:r>
      <w:r>
        <w:rPr>
          <w:rFonts w:hint="eastAsia" w:ascii="宋体" w:hAnsi="宋体" w:cs="宋体"/>
          <w:szCs w:val="21"/>
          <w:highlight w:val="none"/>
          <w:u w:val="single"/>
        </w:rPr>
        <w:t xml:space="preserve">            </w:t>
      </w:r>
    </w:p>
    <w:p w14:paraId="1BBA1949">
      <w:pPr>
        <w:spacing w:line="360" w:lineRule="auto"/>
        <w:ind w:left="569" w:leftChars="96" w:hanging="367" w:hangingChars="175"/>
        <w:rPr>
          <w:rFonts w:hint="eastAsia" w:ascii="宋体" w:hAnsi="宋体" w:cs="宋体"/>
          <w:szCs w:val="21"/>
          <w:highlight w:val="none"/>
          <w:u w:val="single"/>
        </w:rPr>
      </w:pPr>
      <w:r>
        <w:rPr>
          <w:rFonts w:hint="eastAsia" w:ascii="宋体" w:hAnsi="宋体" w:cs="宋体"/>
          <w:szCs w:val="21"/>
          <w:highlight w:val="none"/>
        </w:rPr>
        <w:t>　　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30426383">
      <w:pPr>
        <w:spacing w:line="360" w:lineRule="auto"/>
        <w:ind w:left="608" w:leftChars="115" w:hanging="367" w:hangingChars="175"/>
        <w:rPr>
          <w:rFonts w:hint="eastAsia" w:ascii="宋体" w:hAnsi="宋体" w:cs="宋体"/>
          <w:szCs w:val="21"/>
          <w:highlight w:val="none"/>
          <w:u w:val="single"/>
        </w:rPr>
      </w:pPr>
      <w:r>
        <w:rPr>
          <w:rFonts w:hint="eastAsia" w:ascii="宋体" w:hAnsi="宋体" w:cs="宋体"/>
          <w:szCs w:val="21"/>
          <w:highlight w:val="none"/>
        </w:rPr>
        <w:t>　　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112E086C">
      <w:pPr>
        <w:spacing w:line="360" w:lineRule="auto"/>
        <w:ind w:left="630" w:leftChars="125" w:hanging="367" w:hangingChars="175"/>
        <w:rPr>
          <w:rFonts w:hint="eastAsia" w:ascii="宋体" w:hAnsi="宋体" w:cs="宋体"/>
          <w:szCs w:val="21"/>
          <w:highlight w:val="none"/>
          <w:u w:val="single"/>
        </w:rPr>
      </w:pPr>
      <w:r>
        <w:rPr>
          <w:rFonts w:hint="eastAsia" w:ascii="宋体" w:hAnsi="宋体" w:cs="宋体"/>
          <w:szCs w:val="21"/>
          <w:highlight w:val="none"/>
        </w:rPr>
        <w:t>　  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0940039C">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79257847">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1E550845">
      <w:pPr>
        <w:spacing w:line="360" w:lineRule="auto"/>
        <w:rPr>
          <w:rFonts w:hint="eastAsia" w:ascii="宋体" w:hAnsi="宋体" w:cs="宋体"/>
          <w:szCs w:val="21"/>
          <w:highlight w:val="none"/>
          <w:u w:val="single"/>
        </w:rPr>
      </w:pPr>
    </w:p>
    <w:p w14:paraId="5824D607">
      <w:pPr>
        <w:spacing w:line="360" w:lineRule="auto"/>
        <w:rPr>
          <w:rFonts w:hint="eastAsia" w:ascii="宋体" w:hAnsi="宋体" w:cs="宋体"/>
          <w:szCs w:val="21"/>
          <w:highlight w:val="none"/>
          <w:u w:val="single"/>
        </w:rPr>
      </w:pPr>
    </w:p>
    <w:p w14:paraId="42A239D0">
      <w:pPr>
        <w:spacing w:line="360" w:lineRule="auto"/>
        <w:rPr>
          <w:rFonts w:hint="eastAsia" w:ascii="宋体" w:hAnsi="宋体" w:cs="宋体"/>
          <w:szCs w:val="21"/>
          <w:highlight w:val="none"/>
          <w:u w:val="single"/>
        </w:rPr>
      </w:pPr>
    </w:p>
    <w:p w14:paraId="4E757249">
      <w:pPr>
        <w:spacing w:line="360" w:lineRule="auto"/>
        <w:rPr>
          <w:rFonts w:hint="eastAsia" w:ascii="宋体" w:hAnsi="宋体" w:cs="宋体"/>
          <w:szCs w:val="21"/>
          <w:highlight w:val="none"/>
          <w:u w:val="single"/>
        </w:rPr>
      </w:pPr>
    </w:p>
    <w:p w14:paraId="13E9BCA6">
      <w:pPr>
        <w:spacing w:line="360" w:lineRule="auto"/>
        <w:rPr>
          <w:rFonts w:hint="eastAsia" w:ascii="宋体" w:hAnsi="宋体" w:cs="宋体"/>
          <w:szCs w:val="21"/>
          <w:highlight w:val="none"/>
          <w:u w:val="single"/>
        </w:rPr>
      </w:pPr>
    </w:p>
    <w:p w14:paraId="7CE15C6C">
      <w:pPr>
        <w:spacing w:line="360" w:lineRule="auto"/>
        <w:rPr>
          <w:rFonts w:hint="eastAsia" w:ascii="宋体" w:hAnsi="宋体" w:cs="宋体"/>
          <w:szCs w:val="21"/>
          <w:highlight w:val="none"/>
          <w:u w:val="single"/>
        </w:rPr>
      </w:pPr>
    </w:p>
    <w:p w14:paraId="24A27C82">
      <w:pPr>
        <w:spacing w:line="360" w:lineRule="auto"/>
        <w:rPr>
          <w:rFonts w:hint="eastAsia" w:ascii="宋体" w:hAnsi="宋体" w:cs="宋体"/>
          <w:szCs w:val="21"/>
          <w:highlight w:val="none"/>
          <w:u w:val="single"/>
        </w:rPr>
      </w:pPr>
    </w:p>
    <w:p w14:paraId="073BF035">
      <w:pPr>
        <w:spacing w:line="360" w:lineRule="auto"/>
        <w:rPr>
          <w:rFonts w:hint="eastAsia" w:ascii="宋体" w:hAnsi="宋体" w:cs="宋体"/>
          <w:szCs w:val="21"/>
          <w:highlight w:val="none"/>
          <w:u w:val="single"/>
        </w:rPr>
      </w:pPr>
    </w:p>
    <w:p w14:paraId="1DBE7C8A">
      <w:pPr>
        <w:spacing w:line="360" w:lineRule="auto"/>
        <w:rPr>
          <w:rFonts w:hint="eastAsia" w:ascii="宋体" w:hAnsi="宋体" w:cs="宋体"/>
          <w:szCs w:val="21"/>
          <w:highlight w:val="none"/>
          <w:u w:val="single"/>
        </w:rPr>
      </w:pPr>
    </w:p>
    <w:p w14:paraId="3A9CE997">
      <w:pPr>
        <w:spacing w:line="360" w:lineRule="auto"/>
        <w:rPr>
          <w:rFonts w:hint="eastAsia" w:ascii="宋体" w:hAnsi="宋体" w:cs="宋体"/>
          <w:szCs w:val="21"/>
          <w:highlight w:val="none"/>
          <w:u w:val="single"/>
        </w:rPr>
      </w:pPr>
    </w:p>
    <w:p w14:paraId="1E565443">
      <w:pPr>
        <w:spacing w:line="360" w:lineRule="auto"/>
        <w:rPr>
          <w:rFonts w:hint="eastAsia" w:ascii="宋体" w:hAnsi="宋体" w:cs="宋体"/>
          <w:szCs w:val="21"/>
          <w:highlight w:val="none"/>
          <w:u w:val="single"/>
        </w:rPr>
      </w:pPr>
    </w:p>
    <w:p w14:paraId="7D363B5D">
      <w:pPr>
        <w:spacing w:line="360" w:lineRule="auto"/>
        <w:rPr>
          <w:rFonts w:hint="eastAsia" w:ascii="宋体" w:hAnsi="宋体" w:cs="宋体"/>
          <w:szCs w:val="21"/>
          <w:highlight w:val="none"/>
          <w:u w:val="single"/>
        </w:rPr>
      </w:pPr>
    </w:p>
    <w:p w14:paraId="2E0111AC">
      <w:pPr>
        <w:spacing w:line="360" w:lineRule="auto"/>
        <w:rPr>
          <w:rFonts w:hint="eastAsia" w:ascii="宋体" w:hAnsi="宋体" w:cs="宋体"/>
          <w:szCs w:val="21"/>
          <w:highlight w:val="none"/>
          <w:u w:val="single"/>
        </w:rPr>
      </w:pPr>
    </w:p>
    <w:p w14:paraId="5E66759B">
      <w:pPr>
        <w:spacing w:line="360" w:lineRule="auto"/>
        <w:rPr>
          <w:rFonts w:hint="eastAsia" w:ascii="宋体" w:hAnsi="宋体" w:cs="宋体"/>
          <w:szCs w:val="21"/>
          <w:highlight w:val="none"/>
          <w:u w:val="single"/>
        </w:rPr>
      </w:pPr>
    </w:p>
    <w:p w14:paraId="57B86566">
      <w:pPr>
        <w:spacing w:line="360" w:lineRule="auto"/>
        <w:rPr>
          <w:rFonts w:hint="eastAsia" w:ascii="宋体" w:hAnsi="宋体" w:cs="宋体"/>
          <w:szCs w:val="21"/>
          <w:highlight w:val="none"/>
          <w:u w:val="single"/>
        </w:rPr>
      </w:pPr>
    </w:p>
    <w:p w14:paraId="7310060A">
      <w:pPr>
        <w:spacing w:line="360" w:lineRule="auto"/>
        <w:rPr>
          <w:rFonts w:hint="eastAsia" w:ascii="宋体" w:hAnsi="宋体" w:cs="宋体"/>
          <w:szCs w:val="21"/>
          <w:highlight w:val="none"/>
          <w:u w:val="single"/>
        </w:rPr>
      </w:pPr>
    </w:p>
    <w:p w14:paraId="5EFE9A82">
      <w:pPr>
        <w:spacing w:line="360" w:lineRule="auto"/>
        <w:rPr>
          <w:rFonts w:hint="eastAsia" w:ascii="宋体" w:hAnsi="宋体" w:cs="宋体"/>
          <w:szCs w:val="21"/>
          <w:highlight w:val="none"/>
          <w:u w:val="single"/>
        </w:rPr>
      </w:pPr>
    </w:p>
    <w:p w14:paraId="579B7829">
      <w:pPr>
        <w:spacing w:line="360" w:lineRule="auto"/>
        <w:rPr>
          <w:rFonts w:hint="eastAsia" w:ascii="宋体" w:hAnsi="宋体"/>
          <w:b/>
          <w:szCs w:val="21"/>
          <w:highlight w:val="none"/>
        </w:rPr>
      </w:pPr>
    </w:p>
    <w:p w14:paraId="0769F7DB">
      <w:pPr>
        <w:spacing w:line="360" w:lineRule="auto"/>
        <w:rPr>
          <w:rFonts w:hint="eastAsia" w:ascii="宋体" w:hAnsi="宋体"/>
          <w:b/>
          <w:szCs w:val="21"/>
          <w:highlight w:val="none"/>
        </w:rPr>
      </w:pPr>
    </w:p>
    <w:p w14:paraId="039BF2AC">
      <w:pPr>
        <w:spacing w:line="360" w:lineRule="auto"/>
        <w:rPr>
          <w:rFonts w:hint="eastAsia" w:ascii="宋体" w:hAnsi="宋体"/>
          <w:b/>
          <w:szCs w:val="21"/>
          <w:highlight w:val="none"/>
        </w:rPr>
      </w:pPr>
    </w:p>
    <w:p w14:paraId="74406B22">
      <w:pPr>
        <w:spacing w:line="360" w:lineRule="auto"/>
        <w:rPr>
          <w:rFonts w:hint="eastAsia" w:ascii="宋体" w:hAnsi="宋体"/>
          <w:b/>
          <w:szCs w:val="21"/>
          <w:highlight w:val="none"/>
        </w:rPr>
      </w:pPr>
    </w:p>
    <w:p w14:paraId="003521FD">
      <w:pPr>
        <w:spacing w:line="360" w:lineRule="auto"/>
        <w:rPr>
          <w:rFonts w:hint="eastAsia" w:ascii="宋体" w:hAnsi="宋体"/>
          <w:b/>
          <w:szCs w:val="21"/>
          <w:highlight w:val="none"/>
        </w:rPr>
      </w:pPr>
    </w:p>
    <w:p w14:paraId="62D0B59C">
      <w:pPr>
        <w:spacing w:line="360" w:lineRule="auto"/>
        <w:rPr>
          <w:rFonts w:hint="eastAsia" w:ascii="宋体" w:hAnsi="宋体"/>
          <w:b/>
          <w:szCs w:val="21"/>
          <w:highlight w:val="none"/>
        </w:rPr>
      </w:pPr>
    </w:p>
    <w:p w14:paraId="205216AF">
      <w:pPr>
        <w:spacing w:line="360" w:lineRule="auto"/>
        <w:rPr>
          <w:rFonts w:hint="eastAsia" w:ascii="宋体" w:hAnsi="宋体"/>
          <w:b/>
          <w:szCs w:val="21"/>
          <w:highlight w:val="none"/>
        </w:rPr>
      </w:pPr>
    </w:p>
    <w:p w14:paraId="2E68459E">
      <w:pPr>
        <w:spacing w:line="360" w:lineRule="auto"/>
        <w:rPr>
          <w:rFonts w:hint="eastAsia" w:ascii="宋体" w:hAnsi="宋体"/>
          <w:b/>
          <w:szCs w:val="21"/>
          <w:highlight w:val="none"/>
        </w:rPr>
      </w:pPr>
    </w:p>
    <w:p w14:paraId="5C5D3384">
      <w:pPr>
        <w:spacing w:line="360" w:lineRule="auto"/>
        <w:rPr>
          <w:rFonts w:hint="eastAsia" w:ascii="宋体" w:hAnsi="宋体"/>
          <w:b/>
          <w:szCs w:val="21"/>
          <w:highlight w:val="none"/>
        </w:rPr>
      </w:pPr>
    </w:p>
    <w:p w14:paraId="04BAE147">
      <w:pPr>
        <w:spacing w:line="360" w:lineRule="auto"/>
        <w:rPr>
          <w:rFonts w:hint="eastAsia" w:ascii="宋体" w:hAnsi="宋体"/>
          <w:b/>
          <w:szCs w:val="21"/>
          <w:highlight w:val="none"/>
        </w:rPr>
      </w:pPr>
    </w:p>
    <w:p w14:paraId="2CFA04BF">
      <w:pPr>
        <w:spacing w:line="360" w:lineRule="auto"/>
        <w:rPr>
          <w:rFonts w:hint="eastAsia" w:ascii="宋体" w:hAnsi="宋体"/>
          <w:b/>
          <w:szCs w:val="21"/>
          <w:highlight w:val="none"/>
        </w:rPr>
      </w:pPr>
    </w:p>
    <w:p w14:paraId="4D62FD0F">
      <w:pPr>
        <w:spacing w:line="360" w:lineRule="auto"/>
        <w:ind w:firstLine="422" w:firstLineChars="200"/>
        <w:rPr>
          <w:rFonts w:hint="eastAsia" w:ascii="宋体" w:hAnsi="宋体"/>
          <w:b/>
          <w:szCs w:val="21"/>
          <w:highlight w:val="none"/>
        </w:rPr>
      </w:pPr>
    </w:p>
    <w:p w14:paraId="0F03F89B">
      <w:pPr>
        <w:jc w:val="center"/>
        <w:rPr>
          <w:rFonts w:hint="eastAsia" w:ascii="宋体" w:hAnsi="宋体"/>
          <w:b/>
          <w:szCs w:val="21"/>
          <w:highlight w:val="none"/>
        </w:rPr>
      </w:pPr>
    </w:p>
    <w:p w14:paraId="7CC7709D">
      <w:pPr>
        <w:pStyle w:val="4"/>
        <w:rPr>
          <w:rFonts w:hint="eastAsia" w:ascii="宋体" w:hAnsi="宋体" w:eastAsia="宋体" w:cs="仿宋"/>
          <w:bCs w:val="0"/>
          <w:color w:val="FF0000"/>
          <w:sz w:val="24"/>
          <w:szCs w:val="24"/>
          <w:highlight w:val="none"/>
        </w:rPr>
      </w:pPr>
      <w:bookmarkStart w:id="329" w:name="_Toc21041"/>
      <w:bookmarkStart w:id="330" w:name="_Toc109736067"/>
      <w:r>
        <w:rPr>
          <w:rFonts w:hint="eastAsia" w:ascii="宋体" w:hAnsi="宋体" w:eastAsia="宋体" w:cs="仿宋"/>
          <w:bCs w:val="0"/>
          <w:color w:val="FF0000"/>
          <w:sz w:val="24"/>
          <w:szCs w:val="24"/>
          <w:highlight w:val="none"/>
        </w:rPr>
        <w:t>三、合同特殊条款</w:t>
      </w:r>
      <w:bookmarkEnd w:id="329"/>
      <w:bookmarkEnd w:id="330"/>
    </w:p>
    <w:p w14:paraId="4EBB6FEF">
      <w:pPr>
        <w:spacing w:before="120" w:line="360" w:lineRule="exact"/>
        <w:ind w:firstLine="454"/>
        <w:rPr>
          <w:rFonts w:ascii="宋体" w:hAnsi="宋体"/>
          <w:szCs w:val="21"/>
          <w:highlight w:val="none"/>
        </w:rPr>
      </w:pPr>
      <w:r>
        <w:rPr>
          <w:rFonts w:hint="eastAsia" w:ascii="宋体" w:hAnsi="宋体"/>
          <w:szCs w:val="21"/>
          <w:highlight w:val="none"/>
        </w:rPr>
        <w:t>合同特殊条款是合同一般条款的补充和修改。如果两者之间有抵触,应以特殊条款为准。合同特殊条款的序号将与合同一般条款序号相对应。</w:t>
      </w:r>
    </w:p>
    <w:p w14:paraId="24B19F91">
      <w:pPr>
        <w:numPr>
          <w:ilvl w:val="0"/>
          <w:numId w:val="14"/>
        </w:numPr>
        <w:spacing w:before="120" w:line="360" w:lineRule="exact"/>
        <w:rPr>
          <w:rFonts w:ascii="宋体" w:hAnsi="宋体"/>
          <w:szCs w:val="21"/>
          <w:highlight w:val="none"/>
        </w:rPr>
      </w:pPr>
      <w:r>
        <w:rPr>
          <w:rFonts w:hint="eastAsia" w:ascii="宋体" w:hAnsi="宋体"/>
          <w:szCs w:val="21"/>
          <w:highlight w:val="none"/>
        </w:rPr>
        <w:t>定义</w:t>
      </w:r>
    </w:p>
    <w:p w14:paraId="26A799B9">
      <w:pPr>
        <w:spacing w:before="120" w:line="360" w:lineRule="exact"/>
        <w:rPr>
          <w:rFonts w:ascii="宋体" w:hAnsi="宋体"/>
          <w:szCs w:val="21"/>
          <w:highlight w:val="none"/>
          <w:u w:val="single"/>
        </w:rPr>
      </w:pPr>
      <w:r>
        <w:rPr>
          <w:rFonts w:hint="eastAsia" w:ascii="宋体" w:hAnsi="宋体"/>
          <w:szCs w:val="21"/>
          <w:highlight w:val="none"/>
        </w:rPr>
        <w:t>1.5 买方：本合同买方系指：</w:t>
      </w:r>
      <w:r>
        <w:rPr>
          <w:rFonts w:ascii="宋体" w:hAnsi="宋体"/>
          <w:szCs w:val="21"/>
          <w:highlight w:val="none"/>
          <w:u w:val="single"/>
        </w:rPr>
        <w:t>国药集团扬州威克生物工程有限公司</w:t>
      </w:r>
    </w:p>
    <w:p w14:paraId="4D2AD445">
      <w:pPr>
        <w:spacing w:before="120" w:line="360" w:lineRule="exact"/>
        <w:rPr>
          <w:rFonts w:ascii="宋体" w:hAnsi="宋体"/>
          <w:szCs w:val="21"/>
          <w:highlight w:val="none"/>
          <w:u w:val="single"/>
        </w:rPr>
      </w:pPr>
      <w:r>
        <w:rPr>
          <w:rFonts w:hint="eastAsia" w:ascii="宋体" w:hAnsi="宋体"/>
          <w:szCs w:val="21"/>
          <w:highlight w:val="none"/>
        </w:rPr>
        <w:t>1.6 卖方：本合同卖方系指：</w:t>
      </w:r>
      <w:r>
        <w:rPr>
          <w:rFonts w:hint="eastAsia" w:ascii="宋体" w:hAnsi="宋体"/>
          <w:szCs w:val="21"/>
          <w:highlight w:val="none"/>
          <w:u w:val="single"/>
        </w:rPr>
        <w:t xml:space="preserve">  中标人     </w:t>
      </w:r>
    </w:p>
    <w:p w14:paraId="7EF666F2">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1.7 现场：本合同项下的货物安装和运行地点位于：招标人指定安装场所</w:t>
      </w:r>
      <w:r>
        <w:rPr>
          <w:rFonts w:hint="eastAsia" w:ascii="宋体" w:hAnsi="宋体"/>
          <w:szCs w:val="21"/>
          <w:highlight w:val="none"/>
          <w:lang w:eastAsia="zh-CN"/>
        </w:rPr>
        <w:t>，</w:t>
      </w:r>
      <w:r>
        <w:rPr>
          <w:rFonts w:hint="eastAsia" w:ascii="宋体" w:hAnsi="宋体"/>
          <w:szCs w:val="21"/>
          <w:highlight w:val="none"/>
          <w:lang w:val="en-US" w:eastAsia="zh-CN"/>
        </w:rPr>
        <w:t>投标人负责货物运输及卸货</w:t>
      </w:r>
    </w:p>
    <w:p w14:paraId="17374716">
      <w:pPr>
        <w:spacing w:line="360" w:lineRule="exact"/>
        <w:rPr>
          <w:rFonts w:ascii="宋体" w:hAnsi="宋体"/>
          <w:szCs w:val="21"/>
          <w:highlight w:val="none"/>
        </w:rPr>
      </w:pPr>
      <w:r>
        <w:rPr>
          <w:rFonts w:hint="eastAsia" w:ascii="宋体" w:hAnsi="宋体"/>
          <w:szCs w:val="21"/>
          <w:highlight w:val="none"/>
        </w:rPr>
        <w:t>6、交货方式：</w:t>
      </w:r>
    </w:p>
    <w:p w14:paraId="2C16979A">
      <w:pPr>
        <w:spacing w:line="360" w:lineRule="exact"/>
        <w:rPr>
          <w:rFonts w:hint="eastAsia" w:ascii="宋体" w:hAnsi="宋体"/>
          <w:szCs w:val="21"/>
          <w:highlight w:val="none"/>
        </w:rPr>
      </w:pPr>
      <w:r>
        <w:rPr>
          <w:rFonts w:hint="eastAsia" w:ascii="宋体" w:hAnsi="宋体"/>
          <w:szCs w:val="21"/>
          <w:highlight w:val="none"/>
        </w:rPr>
        <w:t>6.1　本合同项下的货物交货方式为：适用合同条款6.1.1 现场交货；</w:t>
      </w:r>
      <w:r>
        <w:rPr>
          <w:rFonts w:hint="eastAsia" w:ascii="宋体" w:hAnsi="宋体"/>
          <w:color w:val="FF0000"/>
          <w:szCs w:val="21"/>
          <w:highlight w:val="none"/>
          <w:lang w:val="en-US" w:eastAsia="zh-CN"/>
        </w:rPr>
        <w:t>投标人负责货物运输并卸货至指定位置。</w:t>
      </w:r>
    </w:p>
    <w:p w14:paraId="05C1B2EB">
      <w:pPr>
        <w:spacing w:before="120" w:line="360" w:lineRule="exact"/>
        <w:rPr>
          <w:rFonts w:ascii="宋体" w:hAnsi="宋体"/>
          <w:szCs w:val="21"/>
          <w:highlight w:val="none"/>
        </w:rPr>
      </w:pPr>
      <w:r>
        <w:rPr>
          <w:rFonts w:hint="eastAsia" w:ascii="宋体" w:hAnsi="宋体"/>
          <w:szCs w:val="21"/>
          <w:highlight w:val="none"/>
        </w:rPr>
        <w:t>6.2  卖方应在货物发出</w:t>
      </w:r>
      <w:r>
        <w:rPr>
          <w:rFonts w:hint="eastAsia" w:ascii="宋体" w:hAnsi="宋体"/>
          <w:szCs w:val="21"/>
          <w:highlight w:val="none"/>
          <w:u w:val="single"/>
          <w:lang w:val="en-US" w:eastAsia="zh-CN"/>
        </w:rPr>
        <w:t>5</w:t>
      </w:r>
      <w:r>
        <w:rPr>
          <w:rFonts w:hint="eastAsia" w:ascii="宋体" w:hAnsi="宋体"/>
          <w:szCs w:val="21"/>
          <w:highlight w:val="none"/>
        </w:rPr>
        <w:t>天前以电报或传真形式将合同号、货物名称、数量、包装箱件数、总毛重、总体积(立方米)和备妥交货日期通知买方。</w:t>
      </w:r>
    </w:p>
    <w:p w14:paraId="2DAADAE0">
      <w:pPr>
        <w:widowControl w:val="0"/>
        <w:spacing w:line="360" w:lineRule="exact"/>
        <w:ind w:left="0" w:leftChars="0" w:firstLine="0" w:firstLineChars="0"/>
        <w:jc w:val="both"/>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8、付款条件： 货到验收合格后开票，6个月后付款，可接受至少50%银行承兑汇票。</w:t>
      </w:r>
    </w:p>
    <w:p w14:paraId="1A489A0B">
      <w:pPr>
        <w:spacing w:before="120" w:line="360" w:lineRule="exact"/>
        <w:rPr>
          <w:rFonts w:ascii="宋体" w:hAnsi="宋体"/>
          <w:szCs w:val="21"/>
          <w:highlight w:val="none"/>
        </w:rPr>
      </w:pPr>
      <w:r>
        <w:rPr>
          <w:rFonts w:hint="eastAsia" w:ascii="宋体" w:hAnsi="宋体"/>
          <w:szCs w:val="21"/>
          <w:highlight w:val="none"/>
        </w:rPr>
        <w:t>9、技术资料：适用合同一般条款第9条以及第八章技术条款中的规定；</w:t>
      </w:r>
    </w:p>
    <w:p w14:paraId="444B6348">
      <w:pPr>
        <w:spacing w:before="120" w:line="360" w:lineRule="exact"/>
        <w:rPr>
          <w:rFonts w:hint="default" w:ascii="宋体" w:hAnsi="宋体"/>
          <w:szCs w:val="21"/>
          <w:highlight w:val="none"/>
          <w:lang w:val="en-US" w:eastAsia="zh-CN"/>
        </w:rPr>
      </w:pPr>
      <w:r>
        <w:rPr>
          <w:rFonts w:hint="eastAsia" w:ascii="宋体" w:hAnsi="宋体"/>
          <w:szCs w:val="21"/>
          <w:highlight w:val="none"/>
        </w:rPr>
        <w:t>10、质量保证： 卖方</w:t>
      </w:r>
      <w:r>
        <w:rPr>
          <w:rFonts w:hint="eastAsia" w:ascii="宋体" w:hAnsi="宋体"/>
          <w:szCs w:val="21"/>
          <w:highlight w:val="none"/>
          <w:lang w:val="en-US" w:eastAsia="zh-CN"/>
        </w:rPr>
        <w:t>承诺货物符合买方技术要求。</w:t>
      </w:r>
    </w:p>
    <w:p w14:paraId="1EBDAD76">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12、索赔：</w:t>
      </w:r>
      <w:r>
        <w:rPr>
          <w:rFonts w:hint="eastAsia" w:ascii="宋体" w:hAnsi="宋体"/>
          <w:szCs w:val="21"/>
          <w:highlight w:val="none"/>
          <w:lang w:val="en-US" w:eastAsia="zh-CN"/>
        </w:rPr>
        <w:t>如因质量问题造成损失，买方将向卖方索赔。</w:t>
      </w:r>
    </w:p>
    <w:p w14:paraId="48470D7F">
      <w:pPr>
        <w:spacing w:before="120" w:line="360" w:lineRule="exact"/>
        <w:rPr>
          <w:rFonts w:ascii="宋体" w:hAnsi="宋体"/>
          <w:szCs w:val="21"/>
          <w:highlight w:val="none"/>
        </w:rPr>
      </w:pPr>
      <w:r>
        <w:rPr>
          <w:rFonts w:hint="eastAsia" w:ascii="宋体" w:hAnsi="宋体"/>
          <w:szCs w:val="21"/>
          <w:highlight w:val="none"/>
        </w:rPr>
        <w:t>12.3索赔通知期限：30天；</w:t>
      </w:r>
    </w:p>
    <w:p w14:paraId="23977FE1">
      <w:pPr>
        <w:spacing w:before="120" w:line="360" w:lineRule="exact"/>
        <w:rPr>
          <w:rFonts w:ascii="宋体" w:hAnsi="宋体"/>
          <w:szCs w:val="21"/>
          <w:highlight w:val="none"/>
        </w:rPr>
      </w:pPr>
      <w:r>
        <w:rPr>
          <w:rFonts w:hint="eastAsia" w:ascii="宋体" w:hAnsi="宋体"/>
          <w:szCs w:val="21"/>
          <w:highlight w:val="none"/>
        </w:rPr>
        <w:t>15、不可抗力：</w:t>
      </w:r>
    </w:p>
    <w:p w14:paraId="6C2B3ACC">
      <w:pPr>
        <w:spacing w:before="120" w:line="360" w:lineRule="exact"/>
        <w:rPr>
          <w:rFonts w:ascii="宋体" w:hAnsi="宋体"/>
          <w:szCs w:val="21"/>
          <w:highlight w:val="none"/>
        </w:rPr>
      </w:pPr>
      <w:r>
        <w:rPr>
          <w:rFonts w:hint="eastAsia" w:ascii="宋体" w:hAnsi="宋体"/>
          <w:szCs w:val="21"/>
          <w:highlight w:val="none"/>
        </w:rPr>
        <w:t>15.2不可抗力通知送达时间：事故发生后</w:t>
      </w:r>
      <w:r>
        <w:rPr>
          <w:rFonts w:hint="eastAsia" w:ascii="宋体" w:hAnsi="宋体"/>
          <w:szCs w:val="21"/>
          <w:highlight w:val="none"/>
          <w:u w:val="single"/>
        </w:rPr>
        <w:t>14</w:t>
      </w:r>
      <w:r>
        <w:rPr>
          <w:rFonts w:hint="eastAsia" w:ascii="宋体" w:hAnsi="宋体"/>
          <w:szCs w:val="21"/>
          <w:highlight w:val="none"/>
        </w:rPr>
        <w:t>天内；</w:t>
      </w:r>
    </w:p>
    <w:p w14:paraId="3CE4DFCB">
      <w:pPr>
        <w:spacing w:before="120" w:line="360" w:lineRule="exact"/>
        <w:ind w:firstLine="2625" w:firstLineChars="1250"/>
        <w:rPr>
          <w:rFonts w:hint="eastAsia" w:ascii="宋体" w:hAnsi="宋体"/>
          <w:szCs w:val="21"/>
          <w:highlight w:val="none"/>
        </w:rPr>
      </w:pPr>
    </w:p>
    <w:p w14:paraId="44E5B41E">
      <w:pPr>
        <w:spacing w:line="360" w:lineRule="exact"/>
        <w:ind w:firstLine="420" w:firstLineChars="200"/>
        <w:rPr>
          <w:rFonts w:hint="eastAsia" w:ascii="宋体" w:hAnsi="宋体"/>
          <w:szCs w:val="21"/>
          <w:highlight w:val="none"/>
        </w:rPr>
      </w:pPr>
    </w:p>
    <w:p w14:paraId="052A4D8B">
      <w:pPr>
        <w:spacing w:line="360" w:lineRule="exact"/>
        <w:ind w:firstLine="420" w:firstLineChars="200"/>
        <w:rPr>
          <w:rFonts w:hint="eastAsia" w:ascii="宋体" w:hAnsi="宋体"/>
          <w:szCs w:val="21"/>
          <w:highlight w:val="none"/>
        </w:rPr>
      </w:pPr>
    </w:p>
    <w:p w14:paraId="5A2D84A4">
      <w:pPr>
        <w:spacing w:line="360" w:lineRule="exact"/>
        <w:ind w:firstLine="420" w:firstLineChars="200"/>
        <w:rPr>
          <w:rFonts w:hint="eastAsia" w:ascii="宋体" w:hAnsi="宋体"/>
          <w:szCs w:val="21"/>
          <w:highlight w:val="none"/>
        </w:rPr>
      </w:pPr>
    </w:p>
    <w:p w14:paraId="76FC1FAF">
      <w:pPr>
        <w:spacing w:line="360" w:lineRule="auto"/>
        <w:ind w:firstLine="420" w:firstLineChars="200"/>
        <w:rPr>
          <w:rFonts w:hint="eastAsia" w:ascii="宋体" w:hAnsi="宋体"/>
          <w:szCs w:val="21"/>
          <w:highlight w:val="none"/>
        </w:rPr>
      </w:pPr>
    </w:p>
    <w:p w14:paraId="56120969">
      <w:pPr>
        <w:spacing w:line="360" w:lineRule="auto"/>
        <w:ind w:firstLine="420" w:firstLineChars="200"/>
        <w:rPr>
          <w:rFonts w:hint="eastAsia" w:ascii="宋体" w:hAnsi="宋体"/>
          <w:szCs w:val="21"/>
          <w:highlight w:val="none"/>
        </w:rPr>
      </w:pPr>
    </w:p>
    <w:p w14:paraId="33629016">
      <w:pPr>
        <w:spacing w:line="360" w:lineRule="auto"/>
        <w:ind w:firstLine="420" w:firstLineChars="200"/>
        <w:rPr>
          <w:rFonts w:hint="eastAsia" w:ascii="宋体" w:hAnsi="宋体"/>
          <w:szCs w:val="21"/>
          <w:highlight w:val="none"/>
        </w:rPr>
      </w:pPr>
    </w:p>
    <w:p w14:paraId="169067A6">
      <w:pPr>
        <w:spacing w:line="360" w:lineRule="auto"/>
        <w:ind w:firstLine="422" w:firstLineChars="200"/>
        <w:rPr>
          <w:rFonts w:hint="eastAsia" w:ascii="宋体" w:hAnsi="宋体"/>
          <w:b/>
          <w:szCs w:val="21"/>
          <w:highlight w:val="none"/>
        </w:rPr>
      </w:pPr>
    </w:p>
    <w:p w14:paraId="26C883C2">
      <w:pPr>
        <w:pStyle w:val="3"/>
        <w:spacing w:before="0" w:after="0" w:line="360" w:lineRule="auto"/>
        <w:jc w:val="center"/>
        <w:outlineLvl w:val="9"/>
        <w:rPr>
          <w:rFonts w:hint="eastAsia" w:ascii="宋体" w:hAnsi="宋体"/>
          <w:sz w:val="28"/>
          <w:szCs w:val="28"/>
          <w:highlight w:val="none"/>
        </w:rPr>
        <w:sectPr>
          <w:footerReference r:id="rId9" w:type="first"/>
          <w:footerReference r:id="rId8" w:type="default"/>
          <w:pgSz w:w="11907" w:h="16840"/>
          <w:pgMar w:top="1440" w:right="1588" w:bottom="1440" w:left="1588" w:header="851" w:footer="851" w:gutter="0"/>
          <w:pgNumType w:start="1"/>
          <w:cols w:space="720" w:num="1"/>
          <w:titlePg/>
          <w:docGrid w:linePitch="462" w:charSpace="0"/>
        </w:sectPr>
      </w:pPr>
      <w:bookmarkStart w:id="331" w:name="_Toc415222523"/>
      <w:bookmarkStart w:id="332" w:name="_Toc109736068"/>
    </w:p>
    <w:p w14:paraId="3E227150">
      <w:pPr>
        <w:pStyle w:val="3"/>
        <w:spacing w:before="0" w:after="0" w:line="360" w:lineRule="auto"/>
        <w:jc w:val="center"/>
        <w:rPr>
          <w:rFonts w:hint="eastAsia" w:ascii="宋体" w:hAnsi="宋体"/>
          <w:sz w:val="28"/>
          <w:szCs w:val="28"/>
          <w:highlight w:val="none"/>
        </w:rPr>
      </w:pPr>
      <w:bookmarkStart w:id="333" w:name="_Toc29842"/>
      <w:r>
        <w:rPr>
          <w:rFonts w:hint="eastAsia" w:ascii="宋体" w:hAnsi="宋体"/>
          <w:sz w:val="28"/>
          <w:szCs w:val="28"/>
          <w:highlight w:val="none"/>
        </w:rPr>
        <w:t>第四章 附件—投标文件格式</w:t>
      </w:r>
      <w:bookmarkEnd w:id="331"/>
      <w:bookmarkEnd w:id="332"/>
      <w:bookmarkEnd w:id="333"/>
    </w:p>
    <w:p w14:paraId="1D788F8F">
      <w:pPr>
        <w:tabs>
          <w:tab w:val="left" w:pos="5580"/>
        </w:tabs>
        <w:spacing w:line="360" w:lineRule="auto"/>
        <w:ind w:left="1080" w:leftChars="257" w:hanging="540"/>
        <w:rPr>
          <w:rFonts w:hint="eastAsia" w:ascii="宋体" w:hAnsi="宋体"/>
          <w:szCs w:val="21"/>
          <w:highlight w:val="none"/>
        </w:rPr>
      </w:pPr>
    </w:p>
    <w:p w14:paraId="60C18C1E">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767CCEDC">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1C79878C">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29842BDB">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7B4E011E">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46CB059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05609E8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-1法人或者其他组织的营业执照等证明文件复印件（须加盖本单位公章）</w:t>
      </w:r>
    </w:p>
    <w:p w14:paraId="0B05645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160F880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3F23E92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31D88469">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621CD58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787D1C2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7BF1498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13A71C8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1674D5D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36AD7DC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101D8AC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49A1D1C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0F5B388F">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338D0D17">
      <w:pPr>
        <w:pStyle w:val="4"/>
        <w:tabs>
          <w:tab w:val="left" w:pos="5580"/>
        </w:tabs>
        <w:spacing w:before="0" w:line="360" w:lineRule="auto"/>
        <w:jc w:val="center"/>
        <w:rPr>
          <w:rFonts w:ascii="宋体" w:hAnsi="宋体" w:eastAsia="宋体"/>
          <w:sz w:val="21"/>
          <w:szCs w:val="21"/>
          <w:highlight w:val="none"/>
        </w:rPr>
      </w:pPr>
      <w:bookmarkStart w:id="334" w:name="_Hlt520356241"/>
      <w:bookmarkEnd w:id="334"/>
      <w:bookmarkStart w:id="335" w:name="_Ref467988698"/>
      <w:bookmarkStart w:id="336" w:name="_Toc480942349"/>
      <w:bookmarkStart w:id="337" w:name="_Toc520356217"/>
      <w:bookmarkStart w:id="338" w:name="_Toc5329"/>
      <w:bookmarkStart w:id="339" w:name="_Toc216582813"/>
      <w:bookmarkStart w:id="340" w:name="_Toc415222524"/>
      <w:bookmarkStart w:id="341" w:name="_Toc109736069"/>
      <w:r>
        <w:rPr>
          <w:rFonts w:hint="eastAsia" w:ascii="宋体" w:hAnsi="宋体" w:eastAsia="宋体"/>
          <w:sz w:val="21"/>
          <w:szCs w:val="21"/>
          <w:highlight w:val="none"/>
        </w:rPr>
        <w:t>附件1</w:t>
      </w:r>
      <w:bookmarkStart w:id="342" w:name="_Hlt520355504"/>
      <w:bookmarkEnd w:id="342"/>
      <w:r>
        <w:rPr>
          <w:rFonts w:hint="eastAsia" w:ascii="宋体" w:hAnsi="宋体" w:eastAsia="宋体"/>
          <w:sz w:val="21"/>
          <w:szCs w:val="21"/>
          <w:highlight w:val="none"/>
        </w:rPr>
        <w:t>　投标</w:t>
      </w:r>
      <w:bookmarkEnd w:id="335"/>
      <w:bookmarkEnd w:id="336"/>
      <w:r>
        <w:rPr>
          <w:rFonts w:hint="eastAsia" w:ascii="宋体" w:hAnsi="宋体" w:eastAsia="宋体"/>
          <w:sz w:val="21"/>
          <w:szCs w:val="21"/>
          <w:highlight w:val="none"/>
        </w:rPr>
        <w:t>书</w:t>
      </w:r>
      <w:bookmarkEnd w:id="337"/>
      <w:r>
        <w:rPr>
          <w:rFonts w:hint="eastAsia" w:ascii="宋体" w:hAnsi="宋体" w:eastAsia="宋体"/>
          <w:sz w:val="21"/>
          <w:szCs w:val="21"/>
          <w:highlight w:val="none"/>
        </w:rPr>
        <w:t>（格式）</w:t>
      </w:r>
      <w:bookmarkEnd w:id="338"/>
      <w:bookmarkEnd w:id="339"/>
      <w:bookmarkEnd w:id="340"/>
      <w:bookmarkEnd w:id="341"/>
    </w:p>
    <w:p w14:paraId="4D7AA67B">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13D0F56B">
      <w:pPr>
        <w:pStyle w:val="25"/>
        <w:tabs>
          <w:tab w:val="left" w:pos="5580"/>
        </w:tabs>
        <w:spacing w:line="360" w:lineRule="auto"/>
        <w:ind w:left="1080" w:leftChars="257" w:hanging="540"/>
        <w:rPr>
          <w:rFonts w:hint="eastAsia" w:hAnsi="宋体"/>
          <w:szCs w:val="21"/>
          <w:highlight w:val="none"/>
        </w:rPr>
      </w:pPr>
    </w:p>
    <w:p w14:paraId="0E65C65C">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7200530F">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20FE4EFB">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722F34F9">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342CA46D">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26314638">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4D7952A2">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09528C3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7C0853B2">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（1）附投标价格表中规定的应提交和交付的货物投标</w:t>
      </w:r>
      <w:r>
        <w:rPr>
          <w:rFonts w:hint="eastAsia" w:hAnsi="宋体"/>
          <w:szCs w:val="21"/>
          <w:highlight w:val="none"/>
          <w:lang w:val="en-US" w:eastAsia="zh-CN"/>
        </w:rPr>
        <w:t>单价</w:t>
      </w:r>
      <w:r>
        <w:rPr>
          <w:rFonts w:hint="eastAsia" w:hAnsi="宋体"/>
          <w:szCs w:val="21"/>
          <w:highlight w:val="none"/>
        </w:rPr>
        <w:t>为人民币</w:t>
      </w:r>
      <w:r>
        <w:rPr>
          <w:rFonts w:hint="eastAsia" w:hAnsi="宋体"/>
          <w:szCs w:val="21"/>
          <w:highlight w:val="none"/>
          <w:u w:val="single"/>
        </w:rPr>
        <w:t>　　　　　　</w:t>
      </w:r>
    </w:p>
    <w:p w14:paraId="4D657E21">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6CD0FD8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02ECB07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02A362E2">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2C2DDB2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0A5DCD8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0289F6A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49D9995F">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2DD80FC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63944083">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03ED64B4">
      <w:pPr>
        <w:pStyle w:val="25"/>
        <w:tabs>
          <w:tab w:val="left" w:pos="5580"/>
        </w:tabs>
        <w:spacing w:line="360" w:lineRule="auto"/>
        <w:ind w:left="1080" w:leftChars="257" w:hanging="540"/>
        <w:rPr>
          <w:rFonts w:hint="eastAsia" w:hAnsi="宋体"/>
          <w:szCs w:val="21"/>
          <w:highlight w:val="none"/>
          <w:u w:val="single"/>
        </w:rPr>
      </w:pPr>
    </w:p>
    <w:p w14:paraId="62D7281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3603857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25B53F9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5865F3A4">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56B6D7BF">
      <w:pPr>
        <w:pStyle w:val="25"/>
        <w:tabs>
          <w:tab w:val="left" w:pos="5580"/>
        </w:tabs>
        <w:spacing w:line="360" w:lineRule="auto"/>
        <w:ind w:left="1080" w:leftChars="257" w:hanging="540"/>
        <w:jc w:val="left"/>
        <w:rPr>
          <w:rFonts w:hint="eastAsia" w:hAnsi="宋体"/>
          <w:szCs w:val="21"/>
          <w:highlight w:val="none"/>
          <w:u w:val="single"/>
        </w:rPr>
        <w:sectPr>
          <w:footerReference r:id="rId11" w:type="first"/>
          <w:footerReference r:id="rId10" w:type="default"/>
          <w:pgSz w:w="11907" w:h="16840"/>
          <w:pgMar w:top="1440" w:right="1588" w:bottom="1440" w:left="1588" w:header="851" w:footer="851" w:gutter="0"/>
          <w:pgNumType w:fmt="decimal"/>
          <w:cols w:space="720" w:num="1"/>
          <w:titlePg/>
          <w:docGrid w:linePitch="462" w:charSpace="0"/>
        </w:sectPr>
      </w:pPr>
    </w:p>
    <w:p w14:paraId="1DA6C120">
      <w:pPr>
        <w:pStyle w:val="4"/>
        <w:tabs>
          <w:tab w:val="left" w:pos="5580"/>
        </w:tabs>
        <w:spacing w:before="0" w:line="360" w:lineRule="auto"/>
        <w:jc w:val="center"/>
        <w:rPr>
          <w:rFonts w:hint="eastAsia" w:ascii="宋体" w:hAnsi="宋体" w:eastAsia="宋体"/>
          <w:sz w:val="21"/>
          <w:szCs w:val="21"/>
          <w:highlight w:val="none"/>
        </w:rPr>
      </w:pPr>
      <w:bookmarkStart w:id="343" w:name="_Hlt520355938"/>
      <w:bookmarkEnd w:id="343"/>
      <w:bookmarkStart w:id="344" w:name="_Hlt520356243"/>
      <w:bookmarkEnd w:id="344"/>
      <w:bookmarkStart w:id="345" w:name="_Toc520356218"/>
      <w:bookmarkStart w:id="346" w:name="_Toc29788"/>
      <w:bookmarkStart w:id="347" w:name="_Toc109736070"/>
      <w:bookmarkStart w:id="348" w:name="_Toc216582814"/>
      <w:bookmarkStart w:id="349" w:name="_Toc480942350"/>
      <w:bookmarkStart w:id="350" w:name="_Toc415222525"/>
      <w:bookmarkStart w:id="351" w:name="_Ref467988705"/>
      <w:r>
        <w:rPr>
          <w:rFonts w:hint="eastAsia" w:ascii="宋体" w:hAnsi="宋体" w:eastAsia="宋体"/>
          <w:sz w:val="21"/>
          <w:szCs w:val="21"/>
          <w:highlight w:val="none"/>
        </w:rPr>
        <w:t>附件2　开标一览表</w:t>
      </w:r>
      <w:bookmarkEnd w:id="345"/>
      <w:bookmarkEnd w:id="346"/>
      <w:bookmarkEnd w:id="347"/>
      <w:bookmarkEnd w:id="348"/>
      <w:bookmarkEnd w:id="349"/>
      <w:bookmarkEnd w:id="350"/>
      <w:bookmarkEnd w:id="351"/>
    </w:p>
    <w:p w14:paraId="0C0262DD">
      <w:pPr>
        <w:rPr>
          <w:rFonts w:hint="eastAsia"/>
          <w:highlight w:val="none"/>
        </w:rPr>
      </w:pPr>
    </w:p>
    <w:p w14:paraId="552C08AE">
      <w:pPr>
        <w:tabs>
          <w:tab w:val="left" w:pos="1800"/>
          <w:tab w:val="left" w:pos="5580"/>
        </w:tabs>
        <w:spacing w:line="360" w:lineRule="auto"/>
        <w:rPr>
          <w:rFonts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w:t>
      </w:r>
      <w:r>
        <w:rPr>
          <w:rFonts w:hint="eastAsia" w:hAnsi="宋体"/>
          <w:szCs w:val="21"/>
          <w:highlight w:val="none"/>
          <w:u w:val="single"/>
          <w:lang w:val="en-US" w:eastAsia="zh-CN"/>
        </w:rPr>
        <w:t>26</w:t>
      </w:r>
      <w:r>
        <w:rPr>
          <w:rFonts w:hint="eastAsia" w:hAnsi="宋体"/>
          <w:szCs w:val="21"/>
          <w:highlight w:val="none"/>
          <w:u w:val="single"/>
          <w:lang w:eastAsia="zh-CN"/>
        </w:rPr>
        <w:t>-02</w:t>
      </w:r>
      <w:r>
        <w:rPr>
          <w:rFonts w:hint="eastAsia" w:hAnsi="宋体"/>
          <w:szCs w:val="21"/>
          <w:highlight w:val="none"/>
          <w:u w:val="single"/>
          <w:lang w:val="en-US" w:eastAsia="zh-CN"/>
        </w:rPr>
        <w:t>4</w:t>
      </w:r>
      <w:r>
        <w:rPr>
          <w:rFonts w:hint="eastAsia" w:hAnsi="宋体"/>
          <w:szCs w:val="21"/>
          <w:highlight w:val="none"/>
          <w:u w:val="single"/>
        </w:rPr>
        <w:t xml:space="preserve">                    </w:t>
      </w:r>
    </w:p>
    <w:p w14:paraId="7B8EBCA7">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6E13171C">
      <w:pPr>
        <w:tabs>
          <w:tab w:val="left" w:pos="1800"/>
          <w:tab w:val="left" w:pos="5580"/>
        </w:tabs>
        <w:spacing w:line="360" w:lineRule="auto"/>
        <w:rPr>
          <w:rFonts w:hint="eastAsia" w:ascii="宋体" w:hAnsi="宋体"/>
          <w:szCs w:val="21"/>
          <w:highlight w:val="none"/>
        </w:rPr>
      </w:pPr>
    </w:p>
    <w:tbl>
      <w:tblPr>
        <w:tblStyle w:val="51"/>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1326"/>
        <w:gridCol w:w="2315"/>
        <w:gridCol w:w="1123"/>
        <w:gridCol w:w="3631"/>
      </w:tblGrid>
      <w:tr w14:paraId="1B97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656" w:type="pct"/>
            <w:vAlign w:val="center"/>
          </w:tcPr>
          <w:p w14:paraId="6F1B0862">
            <w:pPr>
              <w:spacing w:line="380" w:lineRule="exact"/>
              <w:jc w:val="center"/>
              <w:rPr>
                <w:rFonts w:ascii="仿宋" w:hAnsi="仿宋" w:eastAsia="仿宋" w:cs="仿宋"/>
                <w:sz w:val="24"/>
                <w:highlight w:val="none"/>
              </w:rPr>
            </w:pPr>
          </w:p>
        </w:tc>
        <w:tc>
          <w:tcPr>
            <w:tcW w:w="686" w:type="pct"/>
            <w:vAlign w:val="center"/>
          </w:tcPr>
          <w:p w14:paraId="2F7AF741">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包装规格</w:t>
            </w:r>
          </w:p>
        </w:tc>
        <w:tc>
          <w:tcPr>
            <w:tcW w:w="1198" w:type="pct"/>
            <w:vAlign w:val="center"/>
          </w:tcPr>
          <w:p w14:paraId="7AB7F34E">
            <w:pPr>
              <w:spacing w:line="380" w:lineRule="exact"/>
              <w:jc w:val="center"/>
              <w:rPr>
                <w:rFonts w:ascii="仿宋" w:hAnsi="仿宋" w:eastAsia="仿宋" w:cs="仿宋"/>
                <w:sz w:val="24"/>
                <w:highlight w:val="none"/>
              </w:rPr>
            </w:pPr>
            <w:r>
              <w:rPr>
                <w:rFonts w:hint="eastAsia" w:ascii="仿宋" w:hAnsi="仿宋" w:eastAsia="仿宋" w:cs="仿宋"/>
                <w:sz w:val="24"/>
                <w:highlight w:val="none"/>
                <w:lang w:val="en-US" w:eastAsia="zh-CN"/>
              </w:rPr>
              <w:t>单价</w:t>
            </w:r>
            <w:r>
              <w:rPr>
                <w:rFonts w:hint="eastAsia" w:ascii="仿宋" w:hAnsi="仿宋" w:eastAsia="仿宋" w:cs="仿宋"/>
                <w:sz w:val="24"/>
                <w:highlight w:val="none"/>
              </w:rPr>
              <w:t>（元</w:t>
            </w:r>
            <w:r>
              <w:rPr>
                <w:rFonts w:hint="eastAsia" w:ascii="仿宋" w:hAnsi="仿宋" w:eastAsia="仿宋" w:cs="仿宋"/>
                <w:sz w:val="24"/>
                <w:highlight w:val="none"/>
                <w:lang w:val="en-US" w:eastAsia="zh-CN"/>
              </w:rPr>
              <w:t>/KG</w:t>
            </w:r>
            <w:r>
              <w:rPr>
                <w:rFonts w:hint="eastAsia" w:ascii="仿宋" w:hAnsi="仿宋" w:eastAsia="仿宋" w:cs="仿宋"/>
                <w:sz w:val="24"/>
                <w:highlight w:val="none"/>
              </w:rPr>
              <w:t>）</w:t>
            </w:r>
          </w:p>
        </w:tc>
        <w:tc>
          <w:tcPr>
            <w:tcW w:w="581" w:type="pct"/>
            <w:vAlign w:val="center"/>
          </w:tcPr>
          <w:p w14:paraId="0C83BEFE">
            <w:pPr>
              <w:spacing w:line="380" w:lineRule="exact"/>
              <w:jc w:val="center"/>
              <w:rPr>
                <w:rFonts w:ascii="仿宋" w:hAnsi="仿宋" w:eastAsia="仿宋" w:cs="仿宋"/>
                <w:sz w:val="24"/>
                <w:highlight w:val="none"/>
              </w:rPr>
            </w:pPr>
            <w:r>
              <w:rPr>
                <w:rFonts w:hint="eastAsia" w:ascii="仿宋" w:hAnsi="仿宋" w:eastAsia="仿宋" w:cs="仿宋"/>
                <w:sz w:val="24"/>
                <w:highlight w:val="none"/>
              </w:rPr>
              <w:t>供货期</w:t>
            </w:r>
          </w:p>
        </w:tc>
        <w:tc>
          <w:tcPr>
            <w:tcW w:w="1877" w:type="pct"/>
            <w:vAlign w:val="center"/>
          </w:tcPr>
          <w:p w14:paraId="5802B41D">
            <w:pPr>
              <w:spacing w:line="380" w:lineRule="exact"/>
              <w:jc w:val="center"/>
              <w:rPr>
                <w:rFonts w:hint="eastAsia" w:ascii="仿宋" w:hAnsi="仿宋" w:eastAsia="仿宋" w:cs="仿宋"/>
                <w:sz w:val="24"/>
                <w:highlight w:val="none"/>
              </w:rPr>
            </w:pPr>
            <w:r>
              <w:rPr>
                <w:rFonts w:hint="eastAsia" w:ascii="仿宋" w:hAnsi="仿宋" w:eastAsia="仿宋" w:cs="仿宋"/>
                <w:sz w:val="24"/>
                <w:highlight w:val="none"/>
              </w:rPr>
              <w:t>备注</w:t>
            </w:r>
          </w:p>
        </w:tc>
      </w:tr>
      <w:tr w14:paraId="37DD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jc w:val="center"/>
        </w:trPr>
        <w:tc>
          <w:tcPr>
            <w:tcW w:w="656" w:type="pct"/>
            <w:tcBorders>
              <w:bottom w:val="single" w:color="auto" w:sz="4" w:space="0"/>
              <w:right w:val="single" w:color="auto" w:sz="4" w:space="0"/>
            </w:tcBorders>
            <w:vAlign w:val="center"/>
          </w:tcPr>
          <w:p w14:paraId="5B059A77">
            <w:pPr>
              <w:spacing w:line="40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司本</w:t>
            </w:r>
          </w:p>
        </w:tc>
        <w:tc>
          <w:tcPr>
            <w:tcW w:w="686" w:type="pct"/>
            <w:tcBorders>
              <w:left w:val="single" w:color="auto" w:sz="4" w:space="0"/>
              <w:bottom w:val="single" w:color="auto" w:sz="4" w:space="0"/>
              <w:right w:val="single" w:color="auto" w:sz="4" w:space="0"/>
            </w:tcBorders>
            <w:vAlign w:val="center"/>
          </w:tcPr>
          <w:p w14:paraId="30852EE0">
            <w:pPr>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25KG/桶</w:t>
            </w:r>
          </w:p>
        </w:tc>
        <w:tc>
          <w:tcPr>
            <w:tcW w:w="1198" w:type="pct"/>
            <w:tcBorders>
              <w:left w:val="single" w:color="auto" w:sz="4" w:space="0"/>
              <w:bottom w:val="single" w:color="auto" w:sz="4" w:space="0"/>
              <w:right w:val="single" w:color="auto" w:sz="4" w:space="0"/>
            </w:tcBorders>
            <w:vAlign w:val="center"/>
          </w:tcPr>
          <w:p w14:paraId="5B5FCA41">
            <w:pPr>
              <w:spacing w:line="400" w:lineRule="exact"/>
              <w:jc w:val="center"/>
              <w:rPr>
                <w:rFonts w:ascii="仿宋" w:hAnsi="仿宋" w:eastAsia="仿宋" w:cs="仿宋"/>
                <w:sz w:val="24"/>
                <w:highlight w:val="none"/>
              </w:rPr>
            </w:pPr>
          </w:p>
        </w:tc>
        <w:tc>
          <w:tcPr>
            <w:tcW w:w="581" w:type="pct"/>
            <w:tcBorders>
              <w:left w:val="single" w:color="auto" w:sz="4" w:space="0"/>
              <w:bottom w:val="single" w:color="auto" w:sz="4" w:space="0"/>
              <w:right w:val="single" w:color="auto" w:sz="4" w:space="0"/>
            </w:tcBorders>
            <w:vAlign w:val="center"/>
          </w:tcPr>
          <w:p w14:paraId="30C5103D">
            <w:pPr>
              <w:spacing w:line="380" w:lineRule="exact"/>
              <w:jc w:val="center"/>
              <w:rPr>
                <w:rFonts w:ascii="仿宋" w:hAnsi="仿宋" w:eastAsia="仿宋" w:cs="仿宋"/>
                <w:sz w:val="24"/>
                <w:highlight w:val="none"/>
              </w:rPr>
            </w:pPr>
          </w:p>
        </w:tc>
        <w:tc>
          <w:tcPr>
            <w:tcW w:w="1877" w:type="pct"/>
            <w:tcBorders>
              <w:left w:val="single" w:color="auto" w:sz="4" w:space="0"/>
              <w:bottom w:val="single" w:color="auto" w:sz="4" w:space="0"/>
            </w:tcBorders>
            <w:vAlign w:val="center"/>
          </w:tcPr>
          <w:p w14:paraId="44D946A9">
            <w:pPr>
              <w:spacing w:line="380" w:lineRule="exact"/>
              <w:jc w:val="center"/>
              <w:rPr>
                <w:rFonts w:hint="default" w:ascii="仿宋" w:hAnsi="仿宋" w:eastAsia="仿宋" w:cs="仿宋"/>
                <w:sz w:val="24"/>
                <w:highlight w:val="none"/>
                <w:lang w:val="en-US" w:eastAsia="zh-CN"/>
              </w:rPr>
            </w:pPr>
          </w:p>
        </w:tc>
      </w:tr>
      <w:tr w14:paraId="29CB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jc w:val="center"/>
        </w:trPr>
        <w:tc>
          <w:tcPr>
            <w:tcW w:w="656" w:type="pct"/>
            <w:tcBorders>
              <w:bottom w:val="single" w:color="auto" w:sz="4" w:space="0"/>
              <w:right w:val="single" w:color="auto" w:sz="4" w:space="0"/>
            </w:tcBorders>
            <w:vAlign w:val="center"/>
          </w:tcPr>
          <w:p w14:paraId="6BA42EB4">
            <w:pPr>
              <w:spacing w:line="400" w:lineRule="exact"/>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吐温</w:t>
            </w:r>
          </w:p>
        </w:tc>
        <w:tc>
          <w:tcPr>
            <w:tcW w:w="686" w:type="pct"/>
            <w:tcBorders>
              <w:left w:val="single" w:color="auto" w:sz="4" w:space="0"/>
              <w:bottom w:val="single" w:color="auto" w:sz="4" w:space="0"/>
              <w:right w:val="single" w:color="auto" w:sz="4" w:space="0"/>
            </w:tcBorders>
            <w:vAlign w:val="center"/>
          </w:tcPr>
          <w:p w14:paraId="13E2F657">
            <w:pPr>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25KG/桶</w:t>
            </w:r>
          </w:p>
        </w:tc>
        <w:tc>
          <w:tcPr>
            <w:tcW w:w="1198" w:type="pct"/>
            <w:tcBorders>
              <w:left w:val="single" w:color="auto" w:sz="4" w:space="0"/>
              <w:bottom w:val="single" w:color="auto" w:sz="4" w:space="0"/>
              <w:right w:val="single" w:color="auto" w:sz="4" w:space="0"/>
            </w:tcBorders>
            <w:vAlign w:val="center"/>
          </w:tcPr>
          <w:p w14:paraId="4FFE6CC9">
            <w:pPr>
              <w:spacing w:line="400" w:lineRule="exact"/>
              <w:jc w:val="center"/>
              <w:rPr>
                <w:rFonts w:ascii="仿宋" w:hAnsi="仿宋" w:eastAsia="仿宋" w:cs="仿宋"/>
                <w:sz w:val="24"/>
                <w:highlight w:val="none"/>
              </w:rPr>
            </w:pPr>
          </w:p>
        </w:tc>
        <w:tc>
          <w:tcPr>
            <w:tcW w:w="581" w:type="pct"/>
            <w:tcBorders>
              <w:left w:val="single" w:color="auto" w:sz="4" w:space="0"/>
              <w:bottom w:val="single" w:color="auto" w:sz="4" w:space="0"/>
              <w:right w:val="single" w:color="auto" w:sz="4" w:space="0"/>
            </w:tcBorders>
            <w:vAlign w:val="center"/>
          </w:tcPr>
          <w:p w14:paraId="17468F6F">
            <w:pPr>
              <w:spacing w:line="380" w:lineRule="exact"/>
              <w:jc w:val="center"/>
              <w:rPr>
                <w:rFonts w:ascii="仿宋" w:hAnsi="仿宋" w:eastAsia="仿宋" w:cs="仿宋"/>
                <w:sz w:val="24"/>
                <w:highlight w:val="none"/>
              </w:rPr>
            </w:pPr>
          </w:p>
        </w:tc>
        <w:tc>
          <w:tcPr>
            <w:tcW w:w="1877" w:type="pct"/>
            <w:tcBorders>
              <w:left w:val="single" w:color="auto" w:sz="4" w:space="0"/>
              <w:bottom w:val="single" w:color="auto" w:sz="4" w:space="0"/>
            </w:tcBorders>
            <w:vAlign w:val="center"/>
          </w:tcPr>
          <w:p w14:paraId="3611D184">
            <w:pPr>
              <w:spacing w:line="380" w:lineRule="exact"/>
              <w:jc w:val="center"/>
              <w:rPr>
                <w:rFonts w:hint="eastAsia" w:ascii="仿宋" w:hAnsi="仿宋" w:eastAsia="仿宋" w:cs="仿宋"/>
                <w:sz w:val="24"/>
                <w:highlight w:val="none"/>
                <w:lang w:val="en-US" w:eastAsia="zh-CN"/>
              </w:rPr>
            </w:pPr>
          </w:p>
        </w:tc>
      </w:tr>
      <w:tr w14:paraId="026B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5000" w:type="pct"/>
            <w:gridSpan w:val="5"/>
            <w:vAlign w:val="center"/>
          </w:tcPr>
          <w:p w14:paraId="1AA72276">
            <w:pPr>
              <w:spacing w:line="380" w:lineRule="exact"/>
              <w:jc w:val="left"/>
              <w:rPr>
                <w:rFonts w:hint="eastAsia"/>
                <w:highlight w:val="none"/>
              </w:rPr>
            </w:pPr>
            <w:r>
              <w:rPr>
                <w:rFonts w:hint="eastAsia"/>
                <w:highlight w:val="none"/>
              </w:rPr>
              <w:t>服务期限：合同签订之日起</w:t>
            </w:r>
            <w:r>
              <w:rPr>
                <w:rFonts w:hint="eastAsia"/>
                <w:highlight w:val="none"/>
                <w:lang w:val="en-US" w:eastAsia="zh-CN"/>
              </w:rPr>
              <w:t>1</w:t>
            </w:r>
            <w:r>
              <w:rPr>
                <w:rFonts w:hint="eastAsia"/>
                <w:highlight w:val="none"/>
              </w:rPr>
              <w:t>年。</w:t>
            </w:r>
          </w:p>
          <w:p w14:paraId="1F96A8DB">
            <w:pPr>
              <w:pStyle w:val="20"/>
              <w:rPr>
                <w:rFonts w:hint="eastAsia" w:ascii="宋体" w:hAnsi="宋体" w:eastAsia="宋体" w:cs="Times New Roman"/>
                <w:szCs w:val="21"/>
                <w:highlight w:val="none"/>
              </w:rPr>
            </w:pPr>
            <w:r>
              <w:rPr>
                <w:rFonts w:hint="eastAsia" w:ascii="宋体" w:hAnsi="宋体" w:eastAsia="宋体" w:cs="Times New Roman"/>
                <w:szCs w:val="21"/>
                <w:highlight w:val="none"/>
              </w:rPr>
              <w:t>交货地点：招标人指定交货地点</w:t>
            </w:r>
          </w:p>
        </w:tc>
      </w:tr>
      <w:tr w14:paraId="11F7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5000" w:type="pct"/>
            <w:gridSpan w:val="5"/>
            <w:vAlign w:val="center"/>
          </w:tcPr>
          <w:p w14:paraId="308267E2">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0B1FE880">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11418194">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供货期是指订单下达到商品运送指定地点的日期</w:t>
            </w:r>
          </w:p>
        </w:tc>
      </w:tr>
    </w:tbl>
    <w:p w14:paraId="761C11D6">
      <w:pPr>
        <w:pStyle w:val="25"/>
        <w:tabs>
          <w:tab w:val="left" w:pos="5580"/>
        </w:tabs>
        <w:spacing w:line="360" w:lineRule="auto"/>
        <w:ind w:left="1080" w:leftChars="257" w:hanging="540"/>
        <w:rPr>
          <w:rFonts w:hint="eastAsia" w:hAnsi="宋体"/>
          <w:szCs w:val="21"/>
          <w:highlight w:val="none"/>
        </w:rPr>
      </w:pPr>
    </w:p>
    <w:p w14:paraId="4165E187">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7B39ED23">
      <w:pPr>
        <w:pStyle w:val="25"/>
        <w:tabs>
          <w:tab w:val="left" w:pos="5580"/>
        </w:tabs>
        <w:spacing w:line="360" w:lineRule="auto"/>
        <w:ind w:left="1080" w:leftChars="257" w:hanging="540"/>
        <w:rPr>
          <w:rFonts w:hint="eastAsia" w:hAnsi="宋体"/>
          <w:szCs w:val="21"/>
          <w:highlight w:val="none"/>
          <w:u w:val="single"/>
        </w:rPr>
      </w:pPr>
    </w:p>
    <w:p w14:paraId="49E538A5">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405137B4">
      <w:pPr>
        <w:pStyle w:val="25"/>
        <w:tabs>
          <w:tab w:val="left" w:pos="5580"/>
        </w:tabs>
        <w:spacing w:line="360" w:lineRule="auto"/>
        <w:ind w:left="1080" w:leftChars="257" w:hanging="540"/>
        <w:rPr>
          <w:rFonts w:hint="eastAsia" w:hAnsi="宋体"/>
          <w:szCs w:val="21"/>
          <w:highlight w:val="none"/>
          <w:u w:val="single"/>
        </w:rPr>
      </w:pPr>
    </w:p>
    <w:p w14:paraId="3ADD3B2D">
      <w:pPr>
        <w:pStyle w:val="25"/>
        <w:tabs>
          <w:tab w:val="left" w:pos="5580"/>
        </w:tabs>
        <w:spacing w:line="360" w:lineRule="auto"/>
        <w:ind w:left="1080" w:leftChars="257" w:hanging="540"/>
        <w:rPr>
          <w:rFonts w:hint="eastAsia" w:ascii="宋体" w:hAnsi="宋体" w:eastAsia="宋体"/>
          <w:sz w:val="21"/>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352" w:name="_Toc216582818"/>
      <w:bookmarkStart w:id="353" w:name="_Toc109736072"/>
      <w:bookmarkStart w:id="354" w:name="_Toc415222529"/>
    </w:p>
    <w:p w14:paraId="4FCCA67D">
      <w:pPr>
        <w:rPr>
          <w:rFonts w:hint="eastAsia" w:ascii="宋体" w:hAnsi="宋体" w:eastAsia="宋体"/>
          <w:sz w:val="21"/>
          <w:szCs w:val="21"/>
          <w:highlight w:val="none"/>
        </w:rPr>
      </w:pPr>
    </w:p>
    <w:p w14:paraId="1A092EFA">
      <w:pPr>
        <w:pStyle w:val="4"/>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br w:type="page"/>
      </w:r>
      <w:bookmarkStart w:id="355" w:name="_Toc20884"/>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商务条款偏离表</w:t>
      </w:r>
      <w:bookmarkEnd w:id="352"/>
      <w:bookmarkEnd w:id="353"/>
      <w:bookmarkEnd w:id="354"/>
      <w:bookmarkEnd w:id="355"/>
    </w:p>
    <w:p w14:paraId="7CDEC109">
      <w:pPr>
        <w:pStyle w:val="25"/>
        <w:spacing w:line="360" w:lineRule="auto"/>
        <w:ind w:left="1080" w:leftChars="257" w:hanging="540"/>
        <w:rPr>
          <w:rFonts w:hint="eastAsia" w:hAnsi="宋体"/>
          <w:szCs w:val="21"/>
          <w:highlight w:val="none"/>
        </w:rPr>
      </w:pPr>
    </w:p>
    <w:p w14:paraId="56BF4FB2">
      <w:pPr>
        <w:tabs>
          <w:tab w:val="left" w:pos="1800"/>
          <w:tab w:val="left" w:pos="5580"/>
        </w:tabs>
        <w:spacing w:line="360" w:lineRule="auto"/>
        <w:rPr>
          <w:rFonts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p>
    <w:p w14:paraId="0DA3F596">
      <w:pPr>
        <w:pStyle w:val="25"/>
        <w:spacing w:line="360" w:lineRule="auto"/>
        <w:ind w:left="1080" w:leftChars="257" w:hanging="540"/>
        <w:rPr>
          <w:rFonts w:hint="eastAsia" w:hAnsi="宋体"/>
          <w:szCs w:val="21"/>
          <w:highlight w:val="none"/>
        </w:rPr>
      </w:pPr>
      <w:r>
        <w:rPr>
          <w:rFonts w:hint="eastAsia" w:hAnsi="宋体"/>
          <w:szCs w:val="21"/>
          <w:highlight w:val="none"/>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928"/>
        <w:gridCol w:w="2443"/>
        <w:gridCol w:w="2218"/>
        <w:gridCol w:w="1526"/>
      </w:tblGrid>
      <w:tr w14:paraId="5ACA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0794BF2">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序号</w:t>
            </w:r>
          </w:p>
        </w:tc>
        <w:tc>
          <w:tcPr>
            <w:tcW w:w="1928" w:type="dxa"/>
            <w:noWrap w:val="0"/>
            <w:vAlign w:val="center"/>
          </w:tcPr>
          <w:p w14:paraId="41847DE1">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招标文件条款号</w:t>
            </w:r>
          </w:p>
        </w:tc>
        <w:tc>
          <w:tcPr>
            <w:tcW w:w="2443" w:type="dxa"/>
            <w:noWrap w:val="0"/>
            <w:vAlign w:val="center"/>
          </w:tcPr>
          <w:p w14:paraId="42838AD2">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招标文件的商务条款</w:t>
            </w:r>
          </w:p>
        </w:tc>
        <w:tc>
          <w:tcPr>
            <w:tcW w:w="2218" w:type="dxa"/>
            <w:noWrap w:val="0"/>
            <w:vAlign w:val="center"/>
          </w:tcPr>
          <w:p w14:paraId="345C5F7F">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投标文件的商务条款</w:t>
            </w:r>
          </w:p>
        </w:tc>
        <w:tc>
          <w:tcPr>
            <w:tcW w:w="1526" w:type="dxa"/>
            <w:noWrap w:val="0"/>
            <w:vAlign w:val="center"/>
          </w:tcPr>
          <w:p w14:paraId="170A50B3">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223A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65206D4">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D764848">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39E8222F">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2192324">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77A0B521">
            <w:pPr>
              <w:pStyle w:val="25"/>
              <w:spacing w:line="360" w:lineRule="auto"/>
              <w:ind w:left="1080" w:leftChars="257" w:hanging="540"/>
              <w:jc w:val="center"/>
              <w:rPr>
                <w:rFonts w:hint="eastAsia" w:hAnsi="宋体"/>
                <w:szCs w:val="21"/>
                <w:highlight w:val="none"/>
                <w:lang w:val="en-US" w:eastAsia="zh-CN"/>
              </w:rPr>
            </w:pPr>
          </w:p>
        </w:tc>
      </w:tr>
      <w:tr w14:paraId="7170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75E49347">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23EAFA4B">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2E3D20F2">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AB244C5">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78FE9984">
            <w:pPr>
              <w:pStyle w:val="25"/>
              <w:spacing w:line="360" w:lineRule="auto"/>
              <w:ind w:left="1080" w:leftChars="257" w:hanging="540"/>
              <w:jc w:val="center"/>
              <w:rPr>
                <w:rFonts w:hint="eastAsia" w:hAnsi="宋体"/>
                <w:szCs w:val="21"/>
                <w:highlight w:val="none"/>
                <w:lang w:val="en-US" w:eastAsia="zh-CN"/>
              </w:rPr>
            </w:pPr>
          </w:p>
        </w:tc>
      </w:tr>
      <w:tr w14:paraId="02EB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65015F84">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6FD2A088">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07384338">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14A109E6">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0500D93A">
            <w:pPr>
              <w:pStyle w:val="25"/>
              <w:spacing w:line="360" w:lineRule="auto"/>
              <w:ind w:left="1080" w:leftChars="257" w:hanging="540"/>
              <w:jc w:val="center"/>
              <w:rPr>
                <w:rFonts w:hint="eastAsia" w:hAnsi="宋体"/>
                <w:szCs w:val="21"/>
                <w:highlight w:val="none"/>
                <w:lang w:val="en-US" w:eastAsia="zh-CN"/>
              </w:rPr>
            </w:pPr>
          </w:p>
        </w:tc>
      </w:tr>
      <w:tr w14:paraId="7E89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D3B1BD2">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70D7F915">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5ECEF7F3">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C6E17DE">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295B264E">
            <w:pPr>
              <w:pStyle w:val="25"/>
              <w:spacing w:line="360" w:lineRule="auto"/>
              <w:ind w:left="1080" w:leftChars="257" w:hanging="540"/>
              <w:jc w:val="center"/>
              <w:rPr>
                <w:rFonts w:hint="eastAsia" w:hAnsi="宋体"/>
                <w:szCs w:val="21"/>
                <w:highlight w:val="none"/>
                <w:lang w:val="en-US" w:eastAsia="zh-CN"/>
              </w:rPr>
            </w:pPr>
          </w:p>
        </w:tc>
      </w:tr>
      <w:tr w14:paraId="10B4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14E6A6A">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10232A5C">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8F0193A">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D735B9D">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18C8D99E">
            <w:pPr>
              <w:pStyle w:val="25"/>
              <w:spacing w:line="360" w:lineRule="auto"/>
              <w:ind w:left="1080" w:leftChars="257" w:hanging="540"/>
              <w:jc w:val="center"/>
              <w:rPr>
                <w:rFonts w:hint="eastAsia" w:hAnsi="宋体"/>
                <w:szCs w:val="21"/>
                <w:highlight w:val="none"/>
                <w:lang w:val="en-US" w:eastAsia="zh-CN"/>
              </w:rPr>
            </w:pPr>
          </w:p>
        </w:tc>
      </w:tr>
      <w:tr w14:paraId="015A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607871C2">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013198A9">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2C952B26">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1DEB824C">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7E7C18EB">
            <w:pPr>
              <w:pStyle w:val="25"/>
              <w:spacing w:line="360" w:lineRule="auto"/>
              <w:ind w:left="1080" w:leftChars="257" w:hanging="540"/>
              <w:jc w:val="center"/>
              <w:rPr>
                <w:rFonts w:hint="eastAsia" w:hAnsi="宋体"/>
                <w:szCs w:val="21"/>
                <w:highlight w:val="none"/>
                <w:lang w:val="en-US" w:eastAsia="zh-CN"/>
              </w:rPr>
            </w:pPr>
          </w:p>
        </w:tc>
      </w:tr>
      <w:tr w14:paraId="472D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6C4F1DF">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C9C5192">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2F986E2">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05377952">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5C415B39">
            <w:pPr>
              <w:pStyle w:val="25"/>
              <w:spacing w:line="360" w:lineRule="auto"/>
              <w:ind w:left="1080" w:leftChars="257" w:hanging="540"/>
              <w:jc w:val="center"/>
              <w:rPr>
                <w:rFonts w:hint="eastAsia" w:hAnsi="宋体"/>
                <w:szCs w:val="21"/>
                <w:highlight w:val="none"/>
                <w:lang w:val="en-US" w:eastAsia="zh-CN"/>
              </w:rPr>
            </w:pPr>
          </w:p>
        </w:tc>
      </w:tr>
      <w:tr w14:paraId="011E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2D365783">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6408818C">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6899C79B">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755A9750">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61E5D6AC">
            <w:pPr>
              <w:pStyle w:val="25"/>
              <w:spacing w:line="360" w:lineRule="auto"/>
              <w:ind w:left="1080" w:leftChars="257" w:hanging="540"/>
              <w:jc w:val="center"/>
              <w:rPr>
                <w:rFonts w:hint="eastAsia" w:hAnsi="宋体"/>
                <w:szCs w:val="21"/>
                <w:highlight w:val="none"/>
                <w:lang w:val="en-US" w:eastAsia="zh-CN"/>
              </w:rPr>
            </w:pPr>
          </w:p>
        </w:tc>
      </w:tr>
      <w:tr w14:paraId="009C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07EF5716">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1C32A147">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01DCB4F6">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0F4A78A">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031AAFBE">
            <w:pPr>
              <w:pStyle w:val="25"/>
              <w:spacing w:line="360" w:lineRule="auto"/>
              <w:ind w:left="1080" w:leftChars="257" w:hanging="540"/>
              <w:jc w:val="center"/>
              <w:rPr>
                <w:rFonts w:hint="eastAsia" w:hAnsi="宋体"/>
                <w:szCs w:val="21"/>
                <w:highlight w:val="none"/>
                <w:lang w:val="en-US" w:eastAsia="zh-CN"/>
              </w:rPr>
            </w:pPr>
          </w:p>
        </w:tc>
      </w:tr>
      <w:tr w14:paraId="13B8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08CEC3D">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0188B58D">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4D4AA8D2">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046A64BA">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18A0AADB">
            <w:pPr>
              <w:pStyle w:val="25"/>
              <w:spacing w:line="360" w:lineRule="auto"/>
              <w:ind w:left="1080" w:leftChars="257" w:hanging="540"/>
              <w:jc w:val="center"/>
              <w:rPr>
                <w:rFonts w:hint="eastAsia" w:hAnsi="宋体"/>
                <w:szCs w:val="21"/>
                <w:highlight w:val="none"/>
                <w:lang w:val="en-US" w:eastAsia="zh-CN"/>
              </w:rPr>
            </w:pPr>
          </w:p>
        </w:tc>
      </w:tr>
      <w:tr w14:paraId="41FE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2FD259D9">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548FC3CA">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229B71EE">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316DC36D">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4EFFD4B1">
            <w:pPr>
              <w:pStyle w:val="25"/>
              <w:spacing w:line="360" w:lineRule="auto"/>
              <w:ind w:left="1080" w:leftChars="257" w:hanging="540"/>
              <w:jc w:val="center"/>
              <w:rPr>
                <w:rFonts w:hint="eastAsia" w:hAnsi="宋体"/>
                <w:szCs w:val="21"/>
                <w:highlight w:val="none"/>
                <w:lang w:val="en-US" w:eastAsia="zh-CN"/>
              </w:rPr>
            </w:pPr>
          </w:p>
        </w:tc>
      </w:tr>
      <w:tr w14:paraId="2015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39F62394">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2AAD879B">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18263DEB">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3D5409DC">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325328B7">
            <w:pPr>
              <w:pStyle w:val="25"/>
              <w:spacing w:line="360" w:lineRule="auto"/>
              <w:ind w:left="1080" w:leftChars="257" w:hanging="540"/>
              <w:jc w:val="center"/>
              <w:rPr>
                <w:rFonts w:hint="eastAsia" w:hAnsi="宋体"/>
                <w:szCs w:val="21"/>
                <w:highlight w:val="none"/>
                <w:lang w:val="en-US" w:eastAsia="zh-CN"/>
              </w:rPr>
            </w:pPr>
          </w:p>
        </w:tc>
      </w:tr>
      <w:tr w14:paraId="373B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4FEA76C">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7AEFDBF3">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6282788B">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24728A49">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014B1174">
            <w:pPr>
              <w:pStyle w:val="25"/>
              <w:spacing w:line="360" w:lineRule="auto"/>
              <w:ind w:left="1080" w:leftChars="257" w:hanging="540"/>
              <w:jc w:val="center"/>
              <w:rPr>
                <w:rFonts w:hint="eastAsia" w:hAnsi="宋体"/>
                <w:szCs w:val="21"/>
                <w:highlight w:val="none"/>
                <w:lang w:val="en-US" w:eastAsia="zh-CN"/>
              </w:rPr>
            </w:pPr>
          </w:p>
        </w:tc>
      </w:tr>
      <w:tr w14:paraId="6CD6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5A5F032B">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5206B1D4">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0FBC504D">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612E6B29">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5ECCDD84">
            <w:pPr>
              <w:pStyle w:val="25"/>
              <w:spacing w:line="360" w:lineRule="auto"/>
              <w:ind w:left="1080" w:leftChars="257" w:hanging="540"/>
              <w:jc w:val="center"/>
              <w:rPr>
                <w:rFonts w:hint="eastAsia" w:hAnsi="宋体"/>
                <w:szCs w:val="21"/>
                <w:highlight w:val="none"/>
                <w:lang w:val="en-US" w:eastAsia="zh-CN"/>
              </w:rPr>
            </w:pPr>
          </w:p>
        </w:tc>
      </w:tr>
      <w:tr w14:paraId="0024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65573BE1">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1465996">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3C32AA19">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261C30B5">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49E3F51F">
            <w:pPr>
              <w:pStyle w:val="25"/>
              <w:spacing w:line="360" w:lineRule="auto"/>
              <w:ind w:left="1080" w:leftChars="257" w:hanging="540"/>
              <w:jc w:val="center"/>
              <w:rPr>
                <w:rFonts w:hint="eastAsia" w:hAnsi="宋体"/>
                <w:szCs w:val="21"/>
                <w:highlight w:val="none"/>
                <w:lang w:val="en-US" w:eastAsia="zh-CN"/>
              </w:rPr>
            </w:pPr>
          </w:p>
        </w:tc>
      </w:tr>
    </w:tbl>
    <w:p w14:paraId="06294A0C">
      <w:pPr>
        <w:pStyle w:val="25"/>
        <w:spacing w:line="360" w:lineRule="auto"/>
        <w:ind w:left="1080" w:leftChars="257" w:hanging="540"/>
        <w:rPr>
          <w:rFonts w:hint="eastAsia" w:hAnsi="宋体"/>
          <w:szCs w:val="21"/>
          <w:highlight w:val="none"/>
        </w:rPr>
      </w:pPr>
    </w:p>
    <w:p w14:paraId="2DF4F4FB">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6749DADE">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212BA9DA">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szCs w:val="21"/>
          <w:highlight w:val="none"/>
        </w:rPr>
      </w:pPr>
      <w:bookmarkStart w:id="356"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5C4473C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eastAsia="宋体"/>
          <w:color w:val="FF0000"/>
          <w:szCs w:val="21"/>
          <w:highlight w:val="none"/>
          <w:lang w:eastAsia="zh-CN"/>
        </w:rPr>
      </w:pPr>
      <w:r>
        <w:rPr>
          <w:rFonts w:hint="eastAsia" w:hAnsi="宋体"/>
          <w:color w:val="FF0000"/>
          <w:szCs w:val="21"/>
          <w:highlight w:val="none"/>
          <w:lang w:eastAsia="zh-CN"/>
        </w:rPr>
        <w:t>（</w:t>
      </w:r>
      <w:r>
        <w:rPr>
          <w:rFonts w:hint="eastAsia" w:hAnsi="宋体"/>
          <w:color w:val="FF0000"/>
          <w:szCs w:val="21"/>
          <w:highlight w:val="none"/>
          <w:lang w:val="en-US" w:eastAsia="zh-CN"/>
        </w:rPr>
        <w:t>至少应包含对货物运输装卸、合同付款方式的响应情况</w:t>
      </w:r>
      <w:r>
        <w:rPr>
          <w:rFonts w:hint="eastAsia" w:hAnsi="宋体"/>
          <w:color w:val="FF0000"/>
          <w:szCs w:val="21"/>
          <w:highlight w:val="none"/>
          <w:lang w:eastAsia="zh-CN"/>
        </w:rPr>
        <w:t>）</w:t>
      </w:r>
    </w:p>
    <w:p w14:paraId="0B09CCF4">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07573EB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357" w:name="_Toc415222528"/>
      <w:bookmarkStart w:id="358" w:name="_Toc109736073"/>
      <w:bookmarkStart w:id="359" w:name="_Toc216582817"/>
      <w:r>
        <w:rPr>
          <w:rFonts w:hint="eastAsia" w:ascii="宋体" w:hAnsi="宋体" w:eastAsia="宋体" w:cs="Times New Roman"/>
          <w:b/>
          <w:bCs/>
          <w:kern w:val="2"/>
          <w:sz w:val="21"/>
          <w:szCs w:val="21"/>
          <w:highlight w:val="none"/>
          <w:lang w:val="en-US" w:eastAsia="zh-CN" w:bidi="ar-SA"/>
        </w:rPr>
        <w:t>附件4　技术规格</w:t>
      </w:r>
      <w:bookmarkEnd w:id="356"/>
      <w:bookmarkEnd w:id="357"/>
      <w:bookmarkEnd w:id="358"/>
      <w:bookmarkEnd w:id="359"/>
      <w:r>
        <w:rPr>
          <w:rFonts w:hint="eastAsia" w:hAnsi="宋体" w:cs="Times New Roman"/>
          <w:b/>
          <w:bCs/>
          <w:kern w:val="2"/>
          <w:sz w:val="21"/>
          <w:szCs w:val="21"/>
          <w:highlight w:val="none"/>
          <w:lang w:val="en-US" w:eastAsia="zh-CN" w:bidi="ar-SA"/>
        </w:rPr>
        <w:t>偏离表</w:t>
      </w:r>
    </w:p>
    <w:p w14:paraId="07F0E49E">
      <w:pPr>
        <w:tabs>
          <w:tab w:val="left" w:pos="1800"/>
          <w:tab w:val="left" w:pos="5580"/>
        </w:tabs>
        <w:spacing w:line="360" w:lineRule="auto"/>
        <w:rPr>
          <w:rFonts w:hint="eastAsia" w:ascii="宋体" w:hAnsi="宋体"/>
          <w:szCs w:val="21"/>
          <w:highlight w:val="none"/>
        </w:rPr>
      </w:pPr>
    </w:p>
    <w:p w14:paraId="2C485980">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p>
    <w:p w14:paraId="37CE895B">
      <w:pPr>
        <w:pStyle w:val="20"/>
        <w:rPr>
          <w:rFonts w:hint="eastAsia" w:hAnsi="宋体"/>
          <w:szCs w:val="21"/>
          <w:highlight w:val="none"/>
          <w:u w:val="single"/>
        </w:rPr>
      </w:pPr>
    </w:p>
    <w:tbl>
      <w:tblPr>
        <w:tblStyle w:val="5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1"/>
        <w:gridCol w:w="1225"/>
        <w:gridCol w:w="1243"/>
        <w:gridCol w:w="1231"/>
        <w:gridCol w:w="1223"/>
        <w:gridCol w:w="1496"/>
      </w:tblGrid>
      <w:tr w14:paraId="0E71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7B261209">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69E42031">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0F2940FF">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1E3D5DCF">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128A0D18">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45299246">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658DC3EE">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792E0B50">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3FBA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5008E7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E2F90F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6FE631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9593DF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006CE2F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96C29C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C6DFA5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F03D46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ED5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2F7F0F4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093C4F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CDA92B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95812E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FB7BEE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B9F14D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35F68A3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16D081F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B6B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03F381F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5447221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09CFC8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0147AC9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4D17270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7692615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CD737A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492ADB8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2540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0B11F1E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61811F4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48731B1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287BF9D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9FF730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5C48161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5C887C1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03A26B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CBC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B807EF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5E49D67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198869D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7913FF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48238D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5F25E31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5D9C04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56DFCE9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217C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7394592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9F5825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351091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CA4BB2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3FF457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87A491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150FE7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5BA16E2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0533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754573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ADF941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5571C97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64A2A21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66E191D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FCC3ED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7FB82CD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9BD312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1BE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6F6B4D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3D7CEA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D09686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059EF6F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479D33D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1AEDC7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7726E5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8BA046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2A3A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5AC0860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540A2C1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74C06DE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02E9D2B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2BAB8BB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5AFBFC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53D5269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D6FD97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bl>
    <w:p w14:paraId="3804C879">
      <w:pPr>
        <w:pStyle w:val="20"/>
        <w:rPr>
          <w:rFonts w:hint="eastAsia" w:hAnsi="宋体"/>
          <w:szCs w:val="21"/>
          <w:highlight w:val="none"/>
          <w:u w:val="single"/>
        </w:rPr>
      </w:pPr>
    </w:p>
    <w:p w14:paraId="2782A3ED">
      <w:pPr>
        <w:pStyle w:val="20"/>
        <w:rPr>
          <w:rFonts w:hint="eastAsia" w:hAnsi="宋体"/>
          <w:szCs w:val="21"/>
          <w:highlight w:val="none"/>
          <w:u w:val="single"/>
        </w:rPr>
      </w:pPr>
    </w:p>
    <w:p w14:paraId="4263FA1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17EE33B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5918D24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47E50932">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05EB05B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48E9226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005C265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1、投标人应针对招标文件“第六章 货物需求一览表及技术要求”中的要求进行响应。</w:t>
      </w:r>
    </w:p>
    <w:p w14:paraId="7ACB5D8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3DF2427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6B99D15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cs="宋体"/>
          <w:szCs w:val="21"/>
          <w:highlight w:val="none"/>
        </w:rPr>
      </w:pPr>
      <w:r>
        <w:rPr>
          <w:rFonts w:hint="eastAsia" w:hAnsi="宋体"/>
          <w:color w:val="FF0000"/>
          <w:szCs w:val="21"/>
          <w:highlight w:val="none"/>
          <w:lang w:eastAsia="zh-CN"/>
        </w:rPr>
        <w:t>（</w:t>
      </w:r>
      <w:r>
        <w:rPr>
          <w:rFonts w:hint="eastAsia" w:hAnsi="宋体"/>
          <w:color w:val="FF0000"/>
          <w:szCs w:val="21"/>
          <w:highlight w:val="none"/>
          <w:lang w:val="en-US" w:eastAsia="zh-CN"/>
        </w:rPr>
        <w:t>至少应包含对用户需求中技术指标、质量要求的响应情况</w:t>
      </w:r>
      <w:r>
        <w:rPr>
          <w:rFonts w:hint="eastAsia" w:hAnsi="宋体"/>
          <w:color w:val="FF0000"/>
          <w:szCs w:val="21"/>
          <w:highlight w:val="none"/>
          <w:lang w:eastAsia="zh-CN"/>
        </w:rPr>
        <w:t>）</w:t>
      </w:r>
    </w:p>
    <w:p w14:paraId="08B14EAC">
      <w:pPr>
        <w:pStyle w:val="25"/>
        <w:tabs>
          <w:tab w:val="left" w:pos="5580"/>
        </w:tabs>
        <w:spacing w:line="360" w:lineRule="auto"/>
        <w:rPr>
          <w:rFonts w:hint="eastAsia" w:hAnsi="宋体" w:cs="宋体"/>
          <w:szCs w:val="21"/>
          <w:highlight w:val="none"/>
        </w:rPr>
      </w:pPr>
    </w:p>
    <w:p w14:paraId="4381B6B2">
      <w:pPr>
        <w:pStyle w:val="25"/>
        <w:tabs>
          <w:tab w:val="left" w:pos="5580"/>
        </w:tabs>
        <w:spacing w:line="360" w:lineRule="auto"/>
        <w:rPr>
          <w:rFonts w:hint="eastAsia" w:hAnsi="宋体"/>
          <w:szCs w:val="21"/>
          <w:highlight w:val="none"/>
        </w:rPr>
      </w:pPr>
    </w:p>
    <w:p w14:paraId="0D4A6F55">
      <w:pPr>
        <w:rPr>
          <w:rFonts w:hint="eastAsia" w:ascii="宋体" w:hAnsi="宋体" w:eastAsia="宋体"/>
          <w:sz w:val="21"/>
          <w:szCs w:val="21"/>
          <w:highlight w:val="none"/>
        </w:rPr>
      </w:pPr>
      <w:bookmarkStart w:id="360" w:name="_Toc480942355"/>
      <w:bookmarkStart w:id="361" w:name="_Ref467988543"/>
      <w:bookmarkStart w:id="362" w:name="_Toc520356224"/>
      <w:bookmarkStart w:id="363" w:name="_Toc216582819"/>
      <w:bookmarkStart w:id="364" w:name="_Toc109736074"/>
      <w:bookmarkStart w:id="365" w:name="_Toc13093"/>
      <w:bookmarkStart w:id="366" w:name="_Toc415222530"/>
      <w:r>
        <w:rPr>
          <w:rFonts w:hint="eastAsia" w:ascii="宋体" w:hAnsi="宋体" w:eastAsia="宋体"/>
          <w:sz w:val="21"/>
          <w:szCs w:val="21"/>
          <w:highlight w:val="none"/>
        </w:rPr>
        <w:br w:type="page"/>
      </w:r>
    </w:p>
    <w:p w14:paraId="59D38F06">
      <w:pPr>
        <w:pStyle w:val="4"/>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360"/>
      <w:bookmarkEnd w:id="361"/>
      <w:bookmarkEnd w:id="362"/>
      <w:r>
        <w:rPr>
          <w:rFonts w:hint="eastAsia" w:ascii="宋体" w:hAnsi="宋体" w:eastAsia="宋体"/>
          <w:sz w:val="21"/>
          <w:szCs w:val="21"/>
          <w:highlight w:val="none"/>
        </w:rPr>
        <w:t>）</w:t>
      </w:r>
      <w:bookmarkEnd w:id="363"/>
      <w:bookmarkEnd w:id="364"/>
      <w:bookmarkEnd w:id="365"/>
      <w:bookmarkEnd w:id="366"/>
    </w:p>
    <w:p w14:paraId="50B02CBE">
      <w:pPr>
        <w:pStyle w:val="25"/>
        <w:tabs>
          <w:tab w:val="left" w:pos="5580"/>
        </w:tabs>
        <w:spacing w:line="360" w:lineRule="auto"/>
        <w:ind w:left="1080" w:leftChars="257" w:hanging="540"/>
        <w:rPr>
          <w:rFonts w:hint="eastAsia" w:hAnsi="宋体"/>
          <w:szCs w:val="21"/>
          <w:highlight w:val="none"/>
        </w:rPr>
      </w:pPr>
    </w:p>
    <w:p w14:paraId="78B40A9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1F49F97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6296AD29">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5FCC78B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384D1E5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3B139AA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5EB1D54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6299EFC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127E6379">
      <w:pPr>
        <w:tabs>
          <w:tab w:val="left" w:pos="5580"/>
        </w:tabs>
        <w:spacing w:line="360" w:lineRule="auto"/>
        <w:ind w:left="1080" w:leftChars="257" w:hanging="540"/>
        <w:rPr>
          <w:rFonts w:hint="eastAsia" w:ascii="宋体" w:hAnsi="宋体"/>
          <w:szCs w:val="21"/>
          <w:highlight w:val="none"/>
        </w:rPr>
      </w:pPr>
    </w:p>
    <w:p w14:paraId="3977589D">
      <w:pPr>
        <w:pStyle w:val="25"/>
        <w:tabs>
          <w:tab w:val="left" w:pos="5580"/>
        </w:tabs>
        <w:spacing w:line="360" w:lineRule="auto"/>
        <w:ind w:left="1080" w:leftChars="257" w:hanging="540"/>
        <w:rPr>
          <w:rFonts w:hint="eastAsia" w:hAnsi="宋体"/>
          <w:b/>
          <w:szCs w:val="21"/>
          <w:highlight w:val="none"/>
        </w:rPr>
      </w:pPr>
    </w:p>
    <w:p w14:paraId="432CBF02">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774E20D8">
      <w:pPr>
        <w:pStyle w:val="25"/>
        <w:tabs>
          <w:tab w:val="left" w:pos="5580"/>
        </w:tabs>
        <w:spacing w:line="360" w:lineRule="auto"/>
        <w:ind w:left="1080" w:leftChars="257" w:hanging="540"/>
        <w:jc w:val="center"/>
        <w:rPr>
          <w:rFonts w:hint="eastAsia" w:hAnsi="宋体"/>
          <w:b/>
          <w:szCs w:val="21"/>
          <w:highlight w:val="none"/>
        </w:rPr>
      </w:pPr>
    </w:p>
    <w:p w14:paraId="6A4EF8DF">
      <w:pPr>
        <w:pStyle w:val="25"/>
        <w:tabs>
          <w:tab w:val="left" w:pos="5580"/>
        </w:tabs>
        <w:spacing w:line="360" w:lineRule="auto"/>
        <w:ind w:left="1080" w:leftChars="257" w:hanging="540"/>
        <w:rPr>
          <w:rFonts w:hint="eastAsia" w:hAnsi="宋体"/>
          <w:b/>
          <w:szCs w:val="21"/>
          <w:highlight w:val="none"/>
        </w:rPr>
      </w:pPr>
    </w:p>
    <w:p w14:paraId="38B5E04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r>
        <w:rPr>
          <w:rFonts w:hint="eastAsia" w:hAnsi="宋体"/>
          <w:b/>
          <w:szCs w:val="21"/>
          <w:highlight w:val="none"/>
          <w:lang w:val="en-US" w:eastAsia="zh-CN"/>
        </w:rPr>
        <w:t>供应商资格证明材料</w:t>
      </w:r>
    </w:p>
    <w:p w14:paraId="21709182">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27D83F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21B34655">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7C45C4A9">
            <w:pPr>
              <w:topLinePunct/>
              <w:spacing w:line="440" w:lineRule="exact"/>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70D0372C">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63B6C91F">
            <w:pPr>
              <w:topLinePunct/>
              <w:spacing w:line="440" w:lineRule="exact"/>
              <w:jc w:val="center"/>
              <w:rPr>
                <w:rFonts w:hint="eastAsia" w:asciiTheme="minorEastAsia" w:hAnsiTheme="minorEastAsia" w:eastAsiaTheme="minorEastAsia"/>
                <w:szCs w:val="21"/>
              </w:rPr>
            </w:pPr>
          </w:p>
        </w:tc>
      </w:tr>
      <w:tr w14:paraId="4D2E7F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0F484A58">
            <w:pPr>
              <w:topLinePunct/>
              <w:spacing w:line="440" w:lineRule="exact"/>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55CF8817">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0DC844E">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1F704281">
            <w:pPr>
              <w:topLinePunct/>
              <w:spacing w:line="440" w:lineRule="exact"/>
              <w:jc w:val="center"/>
              <w:rPr>
                <w:rFonts w:hint="eastAsia" w:asciiTheme="minorEastAsia" w:hAnsiTheme="minorEastAsia" w:eastAsiaTheme="minorEastAsia"/>
                <w:szCs w:val="21"/>
              </w:rPr>
            </w:pPr>
          </w:p>
        </w:tc>
      </w:tr>
      <w:tr w14:paraId="53049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1A0C631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6D51A5D">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96C34C9">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0A0658EB">
            <w:pPr>
              <w:topLinePunct/>
              <w:spacing w:line="440" w:lineRule="exact"/>
              <w:jc w:val="center"/>
              <w:rPr>
                <w:rFonts w:hint="eastAsia" w:asciiTheme="minorEastAsia" w:hAnsiTheme="minorEastAsia" w:eastAsiaTheme="minorEastAsia"/>
                <w:szCs w:val="21"/>
              </w:rPr>
            </w:pPr>
          </w:p>
        </w:tc>
      </w:tr>
      <w:tr w14:paraId="6B940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2AA94AD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19ECB37E">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343B12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63CB5893">
            <w:pPr>
              <w:topLinePunct/>
              <w:spacing w:line="440" w:lineRule="exact"/>
              <w:jc w:val="center"/>
              <w:rPr>
                <w:rFonts w:hint="eastAsia" w:asciiTheme="minorEastAsia" w:hAnsiTheme="minorEastAsia" w:eastAsiaTheme="minorEastAsia"/>
                <w:szCs w:val="21"/>
              </w:rPr>
            </w:pPr>
          </w:p>
        </w:tc>
      </w:tr>
      <w:tr w14:paraId="62AF1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7A60559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21495657">
            <w:pPr>
              <w:topLinePunct/>
              <w:spacing w:line="440" w:lineRule="exact"/>
              <w:jc w:val="center"/>
              <w:rPr>
                <w:rFonts w:hint="eastAsia" w:asciiTheme="minorEastAsia" w:hAnsiTheme="minorEastAsia" w:eastAsiaTheme="minorEastAsia"/>
                <w:szCs w:val="21"/>
              </w:rPr>
            </w:pPr>
          </w:p>
        </w:tc>
      </w:tr>
      <w:tr w14:paraId="4307D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2D4A4443">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07BE513D">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44D568D0">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764A863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7874D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2C2C841">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0328C83">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864FE43">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7F4FACC">
            <w:pPr>
              <w:topLinePunct/>
              <w:spacing w:line="440" w:lineRule="exact"/>
              <w:jc w:val="center"/>
              <w:rPr>
                <w:rFonts w:hint="eastAsia" w:asciiTheme="minorEastAsia" w:hAnsiTheme="minorEastAsia" w:eastAsiaTheme="minorEastAsia"/>
                <w:szCs w:val="21"/>
              </w:rPr>
            </w:pPr>
          </w:p>
        </w:tc>
      </w:tr>
      <w:tr w14:paraId="50397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890550B">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909AFEC">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DC51D74">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4BC34FCA">
            <w:pPr>
              <w:topLinePunct/>
              <w:spacing w:line="440" w:lineRule="exact"/>
              <w:jc w:val="center"/>
              <w:rPr>
                <w:rFonts w:hint="eastAsia" w:asciiTheme="minorEastAsia" w:hAnsiTheme="minorEastAsia" w:eastAsiaTheme="minorEastAsia"/>
                <w:szCs w:val="21"/>
              </w:rPr>
            </w:pPr>
          </w:p>
        </w:tc>
      </w:tr>
      <w:tr w14:paraId="632EA0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B6FC155">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53CACB27">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B744BC7">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725D437">
            <w:pPr>
              <w:topLinePunct/>
              <w:spacing w:line="440" w:lineRule="exact"/>
              <w:jc w:val="center"/>
              <w:rPr>
                <w:rFonts w:hint="eastAsia" w:asciiTheme="minorEastAsia" w:hAnsiTheme="minorEastAsia" w:eastAsiaTheme="minorEastAsia"/>
                <w:szCs w:val="21"/>
              </w:rPr>
            </w:pPr>
          </w:p>
        </w:tc>
      </w:tr>
      <w:tr w14:paraId="7E0FB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EB99809">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52B6EAA6">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BD154FF">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3E1299B">
            <w:pPr>
              <w:topLinePunct/>
              <w:spacing w:line="440" w:lineRule="exact"/>
              <w:jc w:val="center"/>
              <w:rPr>
                <w:rFonts w:hint="eastAsia" w:asciiTheme="minorEastAsia" w:hAnsiTheme="minorEastAsia" w:eastAsiaTheme="minorEastAsia"/>
                <w:szCs w:val="21"/>
              </w:rPr>
            </w:pPr>
          </w:p>
        </w:tc>
      </w:tr>
      <w:tr w14:paraId="7AD1C3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DCC02C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09BCF5C0">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3C3B776">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4D25E54">
            <w:pPr>
              <w:topLinePunct/>
              <w:spacing w:line="440" w:lineRule="exact"/>
              <w:jc w:val="center"/>
              <w:rPr>
                <w:rFonts w:hint="eastAsia" w:asciiTheme="minorEastAsia" w:hAnsiTheme="minorEastAsia" w:eastAsiaTheme="minorEastAsia"/>
                <w:szCs w:val="21"/>
              </w:rPr>
            </w:pPr>
          </w:p>
        </w:tc>
      </w:tr>
      <w:tr w14:paraId="2AD997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1400122">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8F9C10A">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D1FE786">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49484319">
            <w:pPr>
              <w:topLinePunct/>
              <w:spacing w:line="440" w:lineRule="exact"/>
              <w:jc w:val="center"/>
              <w:rPr>
                <w:rFonts w:hint="eastAsia" w:asciiTheme="minorEastAsia" w:hAnsiTheme="minorEastAsia" w:eastAsiaTheme="minorEastAsia"/>
                <w:szCs w:val="21"/>
              </w:rPr>
            </w:pPr>
          </w:p>
        </w:tc>
      </w:tr>
      <w:tr w14:paraId="7B4B5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5289FF9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59C6DC63">
            <w:pPr>
              <w:topLinePunct/>
              <w:spacing w:line="440" w:lineRule="exact"/>
              <w:rPr>
                <w:rFonts w:asciiTheme="minorEastAsia" w:hAnsiTheme="minorEastAsia" w:eastAsiaTheme="minorEastAsia"/>
                <w:b/>
                <w:bCs/>
              </w:rPr>
            </w:pPr>
            <w:r>
              <w:rPr>
                <w:rFonts w:hint="eastAsia" w:asciiTheme="minorEastAsia" w:hAnsiTheme="minorEastAsia" w:eastAsiaTheme="minorEastAsia"/>
                <w:b/>
                <w:bCs/>
                <w:szCs w:val="21"/>
              </w:rPr>
              <w:t>后</w:t>
            </w:r>
            <w:r>
              <w:rPr>
                <w:rFonts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asciiTheme="minorEastAsia" w:hAnsiTheme="minorEastAsia" w:eastAsiaTheme="minorEastAsia"/>
                <w:b/>
                <w:bCs/>
              </w:rPr>
              <w:t>。</w:t>
            </w:r>
          </w:p>
          <w:p w14:paraId="0C2C7901">
            <w:pPr>
              <w:topLinePunct/>
              <w:spacing w:line="440" w:lineRule="exact"/>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4AEE77D5">
      <w:pPr>
        <w:pStyle w:val="25"/>
        <w:tabs>
          <w:tab w:val="left" w:pos="5580"/>
        </w:tabs>
        <w:spacing w:line="360" w:lineRule="auto"/>
        <w:ind w:left="1080" w:leftChars="257" w:hanging="540"/>
        <w:jc w:val="center"/>
        <w:rPr>
          <w:rFonts w:hint="eastAsia" w:hAnsi="宋体"/>
          <w:szCs w:val="21"/>
          <w:highlight w:val="none"/>
        </w:rPr>
      </w:pPr>
    </w:p>
    <w:p w14:paraId="1528367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Times New Roman"/>
          <w:b/>
          <w:szCs w:val="21"/>
          <w:highlight w:val="none"/>
        </w:rPr>
      </w:pPr>
      <w:bookmarkStart w:id="367" w:name="_Hlt520350918"/>
      <w:bookmarkEnd w:id="367"/>
      <w:bookmarkStart w:id="368" w:name="_Hlt520350957"/>
      <w:bookmarkEnd w:id="368"/>
      <w:bookmarkStart w:id="369" w:name="_Hlt520273711"/>
      <w:bookmarkEnd w:id="369"/>
      <w:bookmarkStart w:id="370" w:name="_Hlt520274393"/>
      <w:bookmarkEnd w:id="370"/>
      <w:bookmarkStart w:id="371" w:name="_Hlt520271212"/>
      <w:bookmarkEnd w:id="371"/>
      <w:bookmarkStart w:id="372" w:name="_Hlt520274065"/>
      <w:bookmarkEnd w:id="372"/>
      <w:bookmarkStart w:id="373" w:name="_Hlt520343392"/>
      <w:bookmarkEnd w:id="373"/>
      <w:bookmarkStart w:id="374" w:name="_Hlt520273973"/>
      <w:bookmarkEnd w:id="374"/>
      <w:bookmarkStart w:id="375" w:name="_Hlt520274407"/>
      <w:bookmarkEnd w:id="375"/>
      <w:bookmarkStart w:id="376" w:name="_Hlt520274121"/>
      <w:bookmarkEnd w:id="376"/>
      <w:bookmarkStart w:id="377" w:name="_Hlt520343000"/>
      <w:bookmarkEnd w:id="377"/>
      <w:bookmarkStart w:id="378" w:name="_Ref467988479"/>
      <w:bookmarkStart w:id="379" w:name="_Toc520356228"/>
      <w:bookmarkStart w:id="380" w:name="_Toc480942358"/>
      <w:bookmarkStart w:id="381" w:name="_Toc520125061"/>
      <w:bookmarkStart w:id="382" w:name="_Ref467988471"/>
      <w:bookmarkStart w:id="383" w:name="_Toc480942357"/>
      <w:bookmarkStart w:id="384" w:name="_Ref467988485"/>
      <w:bookmarkStart w:id="385" w:name="_Toc520356229"/>
      <w:bookmarkStart w:id="386" w:name="_Toc520125062"/>
      <w:bookmarkStart w:id="387" w:name="_Ref467990100"/>
      <w:bookmarkStart w:id="388" w:name="_Ref467990064"/>
      <w:bookmarkStart w:id="389" w:name="_Ref467990101"/>
      <w:bookmarkStart w:id="390" w:name="_Ref467990058"/>
    </w:p>
    <w:p w14:paraId="2E776CF5">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Times New Roman"/>
          <w:b/>
          <w:szCs w:val="21"/>
          <w:highlight w:val="none"/>
        </w:rPr>
      </w:pPr>
    </w:p>
    <w:p w14:paraId="5C3C0B4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Times New Roman"/>
          <w:b/>
          <w:szCs w:val="21"/>
          <w:highlight w:val="none"/>
        </w:rPr>
      </w:pPr>
    </w:p>
    <w:p w14:paraId="4A30CBF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Times New Roman"/>
          <w:b/>
          <w:szCs w:val="21"/>
          <w:highlight w:val="none"/>
        </w:rPr>
      </w:pPr>
    </w:p>
    <w:p w14:paraId="18E375E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Times New Roman"/>
          <w:b/>
          <w:szCs w:val="21"/>
          <w:highlight w:val="none"/>
        </w:rPr>
      </w:pPr>
    </w:p>
    <w:p w14:paraId="1482324A">
      <w:pPr>
        <w:pStyle w:val="4"/>
        <w:keepNext w:val="0"/>
        <w:keepLines w:val="0"/>
        <w:pageBreakBefore/>
        <w:tabs>
          <w:tab w:val="left" w:pos="5580"/>
        </w:tabs>
        <w:spacing w:before="120" w:beforeLines="50" w:after="120" w:afterLines="50" w:line="360" w:lineRule="auto"/>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52E4C909">
      <w:pPr>
        <w:spacing w:line="360" w:lineRule="auto"/>
        <w:ind w:firstLine="420" w:firstLineChars="200"/>
        <w:jc w:val="left"/>
        <w:rPr>
          <w:rFonts w:ascii="宋体" w:hAnsi="宋体"/>
          <w:bCs/>
          <w:color w:val="auto"/>
          <w:szCs w:val="21"/>
          <w:highlight w:val="none"/>
        </w:rPr>
      </w:pPr>
    </w:p>
    <w:p w14:paraId="6DEBC256">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4C19A96F">
        <w:tblPrEx>
          <w:tblCellMar>
            <w:top w:w="0" w:type="dxa"/>
            <w:left w:w="108" w:type="dxa"/>
            <w:bottom w:w="0" w:type="dxa"/>
            <w:right w:w="108" w:type="dxa"/>
          </w:tblCellMar>
        </w:tblPrEx>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7EB0A465">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36F00F9D">
            <w:pPr>
              <w:widowControl/>
              <w:spacing w:line="360" w:lineRule="auto"/>
              <w:jc w:val="center"/>
              <w:rPr>
                <w:rFonts w:ascii="宋体" w:hAnsi="宋体" w:cs="宋体"/>
                <w:color w:val="auto"/>
                <w:kern w:val="0"/>
                <w:szCs w:val="21"/>
                <w:highlight w:val="none"/>
              </w:rPr>
            </w:pPr>
          </w:p>
        </w:tc>
      </w:tr>
      <w:tr w14:paraId="0C54B927">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14D6FC2">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1D805226">
            <w:pPr>
              <w:widowControl/>
              <w:spacing w:line="360" w:lineRule="auto"/>
              <w:jc w:val="center"/>
              <w:rPr>
                <w:rFonts w:ascii="宋体" w:hAnsi="宋体" w:cs="宋体"/>
                <w:color w:val="auto"/>
                <w:kern w:val="0"/>
                <w:szCs w:val="21"/>
                <w:highlight w:val="none"/>
              </w:rPr>
            </w:pPr>
          </w:p>
        </w:tc>
      </w:tr>
      <w:tr w14:paraId="1AC086D9">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35383A6">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315FA3DE">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0BC02739">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513E211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047DF384">
            <w:pPr>
              <w:widowControl/>
              <w:spacing w:line="360" w:lineRule="auto"/>
              <w:jc w:val="left"/>
              <w:rPr>
                <w:rFonts w:ascii="宋体" w:hAnsi="宋体" w:cs="宋体"/>
                <w:color w:val="auto"/>
                <w:kern w:val="0"/>
                <w:szCs w:val="21"/>
                <w:highlight w:val="none"/>
              </w:rPr>
            </w:pPr>
          </w:p>
        </w:tc>
      </w:tr>
      <w:tr w14:paraId="0751DE03">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AF767A5">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1FCF8489">
            <w:pPr>
              <w:widowControl/>
              <w:spacing w:line="360" w:lineRule="auto"/>
              <w:jc w:val="left"/>
              <w:rPr>
                <w:rFonts w:ascii="宋体" w:hAnsi="宋体" w:cs="宋体"/>
                <w:color w:val="auto"/>
                <w:kern w:val="0"/>
                <w:szCs w:val="21"/>
                <w:highlight w:val="none"/>
              </w:rPr>
            </w:pPr>
          </w:p>
        </w:tc>
      </w:tr>
      <w:tr w14:paraId="0008CBA2">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1B86C02">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3D1BDFAB">
            <w:pPr>
              <w:widowControl/>
              <w:spacing w:line="360" w:lineRule="auto"/>
              <w:jc w:val="left"/>
              <w:rPr>
                <w:rFonts w:ascii="宋体" w:hAnsi="宋体" w:cs="宋体"/>
                <w:color w:val="auto"/>
                <w:kern w:val="0"/>
                <w:szCs w:val="21"/>
                <w:highlight w:val="none"/>
              </w:rPr>
            </w:pPr>
          </w:p>
        </w:tc>
      </w:tr>
      <w:tr w14:paraId="579098F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BBF38FD">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1C6AF2A2">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00B729E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C392FCE">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1205DFDE">
            <w:pPr>
              <w:widowControl/>
              <w:spacing w:line="360" w:lineRule="auto"/>
              <w:jc w:val="left"/>
              <w:rPr>
                <w:rFonts w:ascii="宋体" w:hAnsi="宋体" w:cs="宋体"/>
                <w:color w:val="auto"/>
                <w:kern w:val="0"/>
                <w:szCs w:val="21"/>
                <w:highlight w:val="none"/>
              </w:rPr>
            </w:pPr>
          </w:p>
        </w:tc>
      </w:tr>
      <w:tr w14:paraId="7F06AAEC">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BC5915B">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41780F4A">
            <w:pPr>
              <w:widowControl/>
              <w:spacing w:line="360" w:lineRule="auto"/>
              <w:jc w:val="left"/>
              <w:rPr>
                <w:rFonts w:ascii="宋体" w:hAnsi="宋体" w:cs="宋体"/>
                <w:color w:val="auto"/>
                <w:kern w:val="0"/>
                <w:szCs w:val="21"/>
                <w:highlight w:val="none"/>
              </w:rPr>
            </w:pPr>
          </w:p>
        </w:tc>
      </w:tr>
      <w:tr w14:paraId="5A1B3FFB">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FE61DFA">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0648DFF2">
            <w:pPr>
              <w:widowControl/>
              <w:spacing w:line="360" w:lineRule="auto"/>
              <w:jc w:val="left"/>
              <w:rPr>
                <w:rFonts w:ascii="宋体" w:hAnsi="宋体" w:cs="宋体"/>
                <w:color w:val="auto"/>
                <w:kern w:val="0"/>
                <w:szCs w:val="21"/>
                <w:highlight w:val="none"/>
              </w:rPr>
            </w:pPr>
          </w:p>
        </w:tc>
      </w:tr>
      <w:tr w14:paraId="5DE397A5">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7B3384F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C7562C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0BF23F19">
            <w:pPr>
              <w:widowControl/>
              <w:spacing w:line="360" w:lineRule="auto"/>
              <w:jc w:val="left"/>
              <w:rPr>
                <w:rFonts w:ascii="宋体" w:hAnsi="宋体" w:cs="宋体"/>
                <w:color w:val="auto"/>
                <w:kern w:val="0"/>
                <w:szCs w:val="21"/>
                <w:highlight w:val="none"/>
              </w:rPr>
            </w:pPr>
          </w:p>
        </w:tc>
      </w:tr>
      <w:tr w14:paraId="5389C113">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77DF8E56">
            <w:pPr>
              <w:widowControl/>
              <w:spacing w:line="360" w:lineRule="auto"/>
              <w:jc w:val="left"/>
              <w:rPr>
                <w:rFonts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706A1AF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249ED73F">
            <w:pPr>
              <w:widowControl/>
              <w:spacing w:line="360" w:lineRule="auto"/>
              <w:jc w:val="left"/>
              <w:rPr>
                <w:rFonts w:ascii="宋体" w:hAnsi="宋体" w:cs="宋体"/>
                <w:color w:val="auto"/>
                <w:kern w:val="0"/>
                <w:szCs w:val="21"/>
                <w:highlight w:val="none"/>
              </w:rPr>
            </w:pPr>
          </w:p>
        </w:tc>
      </w:tr>
      <w:tr w14:paraId="2FDBAE69">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D9DBCB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7F6006C">
            <w:pPr>
              <w:widowControl/>
              <w:spacing w:line="360" w:lineRule="auto"/>
              <w:jc w:val="center"/>
              <w:rPr>
                <w:rFonts w:ascii="宋体" w:hAnsi="宋体" w:cs="宋体"/>
                <w:color w:val="auto"/>
                <w:kern w:val="0"/>
                <w:szCs w:val="21"/>
                <w:highlight w:val="none"/>
              </w:rPr>
            </w:pPr>
          </w:p>
        </w:tc>
      </w:tr>
    </w:tbl>
    <w:p w14:paraId="6CEF10BD">
      <w:pPr>
        <w:spacing w:line="360" w:lineRule="auto"/>
        <w:ind w:firstLine="3360" w:firstLineChars="1600"/>
        <w:jc w:val="right"/>
        <w:rPr>
          <w:rFonts w:ascii="宋体" w:hAnsi="宋体"/>
          <w:color w:val="auto"/>
          <w:highlight w:val="none"/>
        </w:rPr>
      </w:pPr>
    </w:p>
    <w:p w14:paraId="24A34208">
      <w:pPr>
        <w:spacing w:line="360" w:lineRule="auto"/>
        <w:ind w:firstLine="3360" w:firstLineChars="1600"/>
        <w:jc w:val="right"/>
        <w:rPr>
          <w:rFonts w:ascii="宋体" w:hAnsi="宋体"/>
          <w:color w:val="auto"/>
          <w:highlight w:val="none"/>
        </w:rPr>
      </w:pPr>
    </w:p>
    <w:p w14:paraId="15FD742E">
      <w:pPr>
        <w:spacing w:line="360" w:lineRule="auto"/>
        <w:ind w:firstLine="3360" w:firstLineChars="1600"/>
        <w:jc w:val="right"/>
        <w:rPr>
          <w:rFonts w:hint="eastAsia" w:ascii="宋体" w:hAnsi="宋体"/>
          <w:color w:val="auto"/>
          <w:highlight w:val="none"/>
        </w:rPr>
      </w:pPr>
    </w:p>
    <w:p w14:paraId="594E4AEB">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77E185A7">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7A8D3AC2">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78DBA2A2">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359EA6C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Times New Roman"/>
          <w:b/>
          <w:szCs w:val="21"/>
          <w:highlight w:val="none"/>
        </w:rPr>
      </w:pPr>
    </w:p>
    <w:p w14:paraId="478AA69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firstLine="1054" w:firstLineChars="500"/>
        <w:jc w:val="both"/>
        <w:textAlignment w:val="auto"/>
        <w:outlineLvl w:val="2"/>
        <w:rPr>
          <w:rFonts w:hint="eastAsia" w:ascii="宋体" w:hAnsi="宋体" w:eastAsia="宋体" w:cs="Times New Roman"/>
          <w:b/>
          <w:szCs w:val="21"/>
          <w:highlight w:val="none"/>
        </w:rPr>
      </w:pPr>
      <w:bookmarkStart w:id="391" w:name="_Toc2581"/>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391"/>
    </w:p>
    <w:p w14:paraId="14B1012D">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340DF769">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4D2607E7">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3AFDC2F6">
      <w:pPr>
        <w:pStyle w:val="25"/>
        <w:tabs>
          <w:tab w:val="left" w:pos="5580"/>
        </w:tabs>
        <w:spacing w:line="360" w:lineRule="auto"/>
        <w:rPr>
          <w:rFonts w:hint="eastAsia" w:hAnsi="宋体"/>
          <w:szCs w:val="21"/>
          <w:highlight w:val="none"/>
        </w:rPr>
      </w:pPr>
    </w:p>
    <w:p w14:paraId="6CA08292">
      <w:pPr>
        <w:pStyle w:val="25"/>
        <w:tabs>
          <w:tab w:val="left" w:pos="5580"/>
        </w:tabs>
        <w:spacing w:line="360" w:lineRule="auto"/>
        <w:ind w:left="1080" w:leftChars="257" w:hanging="540"/>
        <w:rPr>
          <w:rFonts w:hint="eastAsia" w:hAnsi="宋体"/>
          <w:szCs w:val="21"/>
          <w:highlight w:val="none"/>
        </w:rPr>
      </w:pPr>
    </w:p>
    <w:p w14:paraId="1BB2246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5B886FC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63F6182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33E9FB9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6E24186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2D7A985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2E00B4CC">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77BE249D">
      <w:pPr>
        <w:pStyle w:val="25"/>
        <w:tabs>
          <w:tab w:val="left" w:pos="5580"/>
        </w:tabs>
        <w:spacing w:line="360" w:lineRule="auto"/>
        <w:ind w:left="-540" w:leftChars="-257" w:firstLine="787" w:firstLineChars="375"/>
        <w:rPr>
          <w:rFonts w:hint="eastAsia" w:hAnsi="宋体"/>
          <w:szCs w:val="21"/>
          <w:highlight w:val="none"/>
        </w:rPr>
      </w:pPr>
    </w:p>
    <w:p w14:paraId="2ED2F839">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2CABB702">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7CF87CD4">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6B4274CF">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2177B4F5">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5C0B9F8A">
      <w:pPr>
        <w:pStyle w:val="25"/>
        <w:tabs>
          <w:tab w:val="left" w:pos="5580"/>
        </w:tabs>
        <w:spacing w:line="360" w:lineRule="auto"/>
        <w:ind w:left="1080" w:leftChars="257" w:hanging="540"/>
        <w:rPr>
          <w:rFonts w:hint="eastAsia" w:hAnsi="宋体"/>
          <w:szCs w:val="21"/>
          <w:highlight w:val="none"/>
        </w:rPr>
      </w:pPr>
    </w:p>
    <w:p w14:paraId="48A43E8F">
      <w:pPr>
        <w:pStyle w:val="25"/>
        <w:tabs>
          <w:tab w:val="left" w:pos="5580"/>
        </w:tabs>
        <w:spacing w:line="360" w:lineRule="auto"/>
        <w:ind w:left="1080" w:leftChars="257" w:hanging="540"/>
        <w:rPr>
          <w:rFonts w:hint="eastAsia" w:hAnsi="宋体"/>
          <w:szCs w:val="21"/>
          <w:highlight w:val="none"/>
        </w:rPr>
      </w:pPr>
    </w:p>
    <w:p w14:paraId="50F5AA8C">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392" w:name="_Toc27092"/>
      <w:r>
        <w:rPr>
          <w:rFonts w:hint="eastAsia" w:ascii="宋体" w:hAnsi="宋体" w:eastAsia="宋体" w:cs="Times New Roman"/>
          <w:b/>
          <w:kern w:val="2"/>
          <w:sz w:val="21"/>
          <w:szCs w:val="21"/>
          <w:highlight w:val="none"/>
          <w:lang w:val="en-US" w:eastAsia="zh-CN" w:bidi="ar-SA"/>
        </w:rPr>
        <w:t>附件5-3   生产厂商授权书</w:t>
      </w:r>
      <w:bookmarkEnd w:id="392"/>
    </w:p>
    <w:p w14:paraId="66EA3F07">
      <w:pPr>
        <w:tabs>
          <w:tab w:val="left" w:pos="5580"/>
        </w:tabs>
        <w:spacing w:line="360" w:lineRule="auto"/>
        <w:rPr>
          <w:rFonts w:hint="eastAsia" w:ascii="宋体" w:hAnsi="宋体"/>
          <w:szCs w:val="21"/>
          <w:highlight w:val="none"/>
        </w:rPr>
      </w:pPr>
    </w:p>
    <w:p w14:paraId="1BAA945F">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1C95ED92">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4984AFCD">
      <w:pPr>
        <w:tabs>
          <w:tab w:val="left" w:pos="5580"/>
        </w:tabs>
        <w:spacing w:line="360" w:lineRule="auto"/>
        <w:ind w:firstLine="472" w:firstLineChars="225"/>
        <w:rPr>
          <w:rFonts w:hint="eastAsia" w:ascii="宋体" w:hAnsi="宋体"/>
          <w:szCs w:val="21"/>
          <w:highlight w:val="none"/>
        </w:rPr>
      </w:pPr>
    </w:p>
    <w:p w14:paraId="0E5CE532">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21374D80">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288254B0">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708123EC">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381AECF5">
      <w:pPr>
        <w:tabs>
          <w:tab w:val="left" w:pos="5580"/>
        </w:tabs>
        <w:spacing w:line="360" w:lineRule="auto"/>
        <w:ind w:left="1080" w:leftChars="257" w:hanging="540"/>
        <w:rPr>
          <w:rFonts w:hint="eastAsia" w:ascii="宋体" w:hAnsi="宋体"/>
          <w:szCs w:val="21"/>
          <w:highlight w:val="none"/>
        </w:rPr>
      </w:pPr>
    </w:p>
    <w:p w14:paraId="0F89B16F">
      <w:pPr>
        <w:tabs>
          <w:tab w:val="left" w:pos="5580"/>
        </w:tabs>
        <w:spacing w:line="360" w:lineRule="auto"/>
        <w:ind w:left="1080" w:leftChars="257" w:hanging="540"/>
        <w:rPr>
          <w:rFonts w:hint="eastAsia" w:ascii="宋体" w:hAnsi="宋体"/>
          <w:szCs w:val="21"/>
          <w:highlight w:val="none"/>
        </w:rPr>
      </w:pPr>
    </w:p>
    <w:p w14:paraId="19BFD6BA">
      <w:pPr>
        <w:tabs>
          <w:tab w:val="left" w:pos="5580"/>
        </w:tabs>
        <w:spacing w:line="360" w:lineRule="auto"/>
        <w:ind w:left="1080" w:leftChars="257" w:hanging="540"/>
        <w:rPr>
          <w:rFonts w:hint="eastAsia" w:ascii="宋体" w:hAnsi="宋体"/>
          <w:szCs w:val="21"/>
          <w:highlight w:val="none"/>
        </w:rPr>
      </w:pPr>
    </w:p>
    <w:p w14:paraId="6505F7CA">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404C3D04">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3B2BB70D">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19A55DFA">
      <w:pPr>
        <w:tabs>
          <w:tab w:val="left" w:pos="5580"/>
        </w:tabs>
        <w:spacing w:line="360" w:lineRule="auto"/>
        <w:ind w:left="1080" w:leftChars="257" w:hanging="540"/>
        <w:rPr>
          <w:rFonts w:hint="eastAsia" w:ascii="宋体" w:hAnsi="宋体"/>
          <w:szCs w:val="21"/>
          <w:highlight w:val="none"/>
          <w:u w:val="single"/>
        </w:rPr>
      </w:pPr>
    </w:p>
    <w:p w14:paraId="5F2CA464">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p>
    <w:p w14:paraId="175F1860">
      <w:pPr>
        <w:tabs>
          <w:tab w:val="left" w:pos="853"/>
        </w:tabs>
        <w:bidi w:val="0"/>
        <w:jc w:val="left"/>
        <w:rPr>
          <w:rFonts w:hint="default"/>
          <w:highlight w:val="none"/>
          <w:lang w:val="en-US" w:eastAsia="zh-CN"/>
        </w:rPr>
      </w:pPr>
    </w:p>
    <w:bookmarkEnd w:id="378"/>
    <w:bookmarkEnd w:id="379"/>
    <w:bookmarkEnd w:id="380"/>
    <w:bookmarkEnd w:id="381"/>
    <w:bookmarkEnd w:id="382"/>
    <w:bookmarkEnd w:id="383"/>
    <w:bookmarkEnd w:id="384"/>
    <w:bookmarkEnd w:id="385"/>
    <w:bookmarkEnd w:id="386"/>
    <w:bookmarkEnd w:id="387"/>
    <w:bookmarkEnd w:id="388"/>
    <w:bookmarkEnd w:id="389"/>
    <w:bookmarkEnd w:id="390"/>
    <w:p w14:paraId="6A6FA3B5">
      <w:pPr>
        <w:spacing w:line="360" w:lineRule="auto"/>
        <w:jc w:val="center"/>
        <w:rPr>
          <w:rFonts w:hint="eastAsia" w:ascii="宋体" w:hAnsi="宋体"/>
          <w:b/>
          <w:szCs w:val="21"/>
          <w:highlight w:val="none"/>
        </w:rPr>
      </w:pPr>
    </w:p>
    <w:p w14:paraId="6AACFAF9">
      <w:pPr>
        <w:spacing w:line="360" w:lineRule="auto"/>
        <w:jc w:val="center"/>
        <w:rPr>
          <w:rFonts w:hint="eastAsia" w:ascii="宋体" w:hAnsi="宋体"/>
          <w:b/>
          <w:szCs w:val="21"/>
          <w:highlight w:val="none"/>
        </w:rPr>
      </w:pPr>
    </w:p>
    <w:p w14:paraId="21BBA34F">
      <w:pPr>
        <w:spacing w:line="360" w:lineRule="auto"/>
        <w:jc w:val="center"/>
        <w:rPr>
          <w:rFonts w:hint="eastAsia" w:ascii="宋体" w:hAnsi="宋体"/>
          <w:b/>
          <w:szCs w:val="21"/>
          <w:highlight w:val="none"/>
        </w:rPr>
      </w:pPr>
    </w:p>
    <w:p w14:paraId="774536A8">
      <w:pPr>
        <w:spacing w:line="360" w:lineRule="auto"/>
        <w:jc w:val="center"/>
        <w:rPr>
          <w:rFonts w:hint="eastAsia" w:ascii="宋体" w:hAnsi="宋体"/>
          <w:b/>
          <w:szCs w:val="21"/>
          <w:highlight w:val="none"/>
        </w:rPr>
      </w:pPr>
    </w:p>
    <w:p w14:paraId="395E7133">
      <w:pPr>
        <w:spacing w:line="360" w:lineRule="auto"/>
        <w:jc w:val="center"/>
        <w:rPr>
          <w:rFonts w:hint="eastAsia" w:ascii="宋体" w:hAnsi="宋体"/>
          <w:b/>
          <w:szCs w:val="21"/>
          <w:highlight w:val="none"/>
        </w:rPr>
      </w:pPr>
    </w:p>
    <w:p w14:paraId="2BF1D3C6">
      <w:pPr>
        <w:spacing w:line="360" w:lineRule="auto"/>
        <w:jc w:val="center"/>
        <w:rPr>
          <w:rFonts w:hint="eastAsia" w:ascii="宋体" w:hAnsi="宋体"/>
          <w:b/>
          <w:szCs w:val="21"/>
          <w:highlight w:val="none"/>
        </w:rPr>
      </w:pPr>
    </w:p>
    <w:p w14:paraId="66F8343A">
      <w:pPr>
        <w:spacing w:line="360" w:lineRule="auto"/>
        <w:jc w:val="center"/>
        <w:rPr>
          <w:rFonts w:hint="eastAsia" w:ascii="宋体" w:hAnsi="宋体"/>
          <w:b/>
          <w:szCs w:val="21"/>
          <w:highlight w:val="none"/>
        </w:rPr>
      </w:pPr>
    </w:p>
    <w:p w14:paraId="1B966E35">
      <w:pPr>
        <w:spacing w:line="360" w:lineRule="auto"/>
        <w:jc w:val="center"/>
        <w:rPr>
          <w:rFonts w:hint="eastAsia" w:ascii="宋体" w:hAnsi="宋体"/>
          <w:b/>
          <w:szCs w:val="21"/>
          <w:highlight w:val="none"/>
        </w:rPr>
      </w:pPr>
    </w:p>
    <w:p w14:paraId="508BF82A">
      <w:pPr>
        <w:spacing w:line="360" w:lineRule="auto"/>
        <w:jc w:val="center"/>
        <w:rPr>
          <w:rFonts w:hint="eastAsia" w:ascii="宋体" w:hAnsi="宋体"/>
          <w:b/>
          <w:szCs w:val="21"/>
          <w:highlight w:val="none"/>
        </w:rPr>
      </w:pPr>
    </w:p>
    <w:p w14:paraId="7596BAF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p>
    <w:p w14:paraId="042894F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393" w:name="_Toc8383"/>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393"/>
    </w:p>
    <w:p w14:paraId="3D57E187">
      <w:pPr>
        <w:pStyle w:val="25"/>
        <w:tabs>
          <w:tab w:val="left" w:pos="5580"/>
        </w:tabs>
        <w:spacing w:line="360" w:lineRule="auto"/>
        <w:ind w:left="1080" w:leftChars="257" w:hanging="540"/>
        <w:jc w:val="center"/>
        <w:rPr>
          <w:rFonts w:hint="eastAsia" w:hAnsi="宋体"/>
          <w:b/>
          <w:szCs w:val="21"/>
          <w:highlight w:val="none"/>
        </w:rPr>
      </w:pPr>
    </w:p>
    <w:p w14:paraId="767F927F">
      <w:pPr>
        <w:pStyle w:val="25"/>
        <w:tabs>
          <w:tab w:val="left" w:pos="5580"/>
        </w:tabs>
        <w:spacing w:line="360" w:lineRule="auto"/>
        <w:ind w:left="540"/>
        <w:rPr>
          <w:rFonts w:hint="eastAsia" w:hAnsi="宋体"/>
          <w:b/>
          <w:szCs w:val="21"/>
          <w:highlight w:val="none"/>
        </w:rPr>
      </w:pPr>
    </w:p>
    <w:p w14:paraId="295F729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4B737C22">
      <w:pPr>
        <w:tabs>
          <w:tab w:val="left" w:pos="5580"/>
        </w:tabs>
        <w:spacing w:line="360" w:lineRule="auto"/>
        <w:ind w:left="1080" w:leftChars="257" w:hanging="540"/>
        <w:rPr>
          <w:rFonts w:hint="eastAsia" w:ascii="宋体" w:hAnsi="宋体"/>
          <w:szCs w:val="21"/>
          <w:highlight w:val="none"/>
        </w:rPr>
      </w:pPr>
    </w:p>
    <w:p w14:paraId="38ABB6E2">
      <w:pPr>
        <w:pStyle w:val="25"/>
        <w:tabs>
          <w:tab w:val="left" w:pos="5580"/>
        </w:tabs>
        <w:spacing w:line="360" w:lineRule="auto"/>
        <w:ind w:left="1080" w:leftChars="257" w:hanging="540"/>
        <w:rPr>
          <w:rFonts w:hint="eastAsia" w:hAnsi="宋体"/>
          <w:szCs w:val="21"/>
          <w:highlight w:val="none"/>
        </w:rPr>
      </w:pPr>
    </w:p>
    <w:p w14:paraId="67C859F3">
      <w:pPr>
        <w:spacing w:line="360" w:lineRule="auto"/>
        <w:jc w:val="center"/>
        <w:rPr>
          <w:rFonts w:hint="eastAsia" w:ascii="宋体" w:hAnsi="宋体"/>
          <w:szCs w:val="21"/>
          <w:highlight w:val="none"/>
        </w:rPr>
      </w:pPr>
      <w:r>
        <w:rPr>
          <w:rFonts w:ascii="宋体" w:hAnsi="宋体"/>
          <w:szCs w:val="21"/>
          <w:highlight w:val="none"/>
        </w:rPr>
        <w:br w:type="page"/>
      </w:r>
    </w:p>
    <w:p w14:paraId="69A19A32">
      <w:pPr>
        <w:spacing w:line="360" w:lineRule="auto"/>
        <w:jc w:val="center"/>
        <w:rPr>
          <w:rFonts w:hint="eastAsia" w:ascii="宋体" w:hAnsi="宋体"/>
          <w:b/>
          <w:szCs w:val="21"/>
          <w:highlight w:val="none"/>
        </w:rPr>
      </w:pPr>
    </w:p>
    <w:p w14:paraId="4D63CBD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394" w:name="_Toc17911"/>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394"/>
    </w:p>
    <w:p w14:paraId="6B437BD5">
      <w:pPr>
        <w:pStyle w:val="25"/>
        <w:tabs>
          <w:tab w:val="left" w:pos="5580"/>
        </w:tabs>
        <w:spacing w:line="360" w:lineRule="auto"/>
        <w:ind w:left="1080" w:leftChars="257" w:hanging="540"/>
        <w:rPr>
          <w:rFonts w:hint="eastAsia" w:hAnsi="宋体"/>
          <w:szCs w:val="21"/>
          <w:highlight w:val="none"/>
        </w:rPr>
      </w:pPr>
    </w:p>
    <w:p w14:paraId="0D4ADFB9">
      <w:pPr>
        <w:pStyle w:val="25"/>
        <w:tabs>
          <w:tab w:val="left" w:pos="5580"/>
        </w:tabs>
        <w:spacing w:line="360" w:lineRule="auto"/>
        <w:ind w:left="1080" w:leftChars="257" w:hanging="540"/>
        <w:rPr>
          <w:rFonts w:hint="eastAsia" w:hAnsi="宋体"/>
          <w:szCs w:val="21"/>
          <w:highlight w:val="none"/>
        </w:rPr>
      </w:pPr>
    </w:p>
    <w:p w14:paraId="22ECB0FD">
      <w:pPr>
        <w:pStyle w:val="25"/>
        <w:tabs>
          <w:tab w:val="left" w:pos="5580"/>
        </w:tabs>
        <w:spacing w:line="360" w:lineRule="auto"/>
        <w:ind w:left="1080" w:leftChars="257" w:hanging="540"/>
        <w:rPr>
          <w:rFonts w:hint="eastAsia" w:hAnsi="宋体"/>
          <w:szCs w:val="21"/>
          <w:highlight w:val="none"/>
        </w:rPr>
      </w:pPr>
    </w:p>
    <w:p w14:paraId="1BBA0F7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075C4236">
      <w:pPr>
        <w:spacing w:line="360" w:lineRule="auto"/>
        <w:jc w:val="center"/>
        <w:rPr>
          <w:rFonts w:hint="eastAsia" w:ascii="宋体" w:hAnsi="宋体"/>
          <w:b/>
          <w:szCs w:val="21"/>
          <w:highlight w:val="none"/>
        </w:rPr>
      </w:pPr>
    </w:p>
    <w:p w14:paraId="1B728815">
      <w:pPr>
        <w:spacing w:line="360" w:lineRule="auto"/>
        <w:jc w:val="center"/>
        <w:rPr>
          <w:rFonts w:hint="eastAsia" w:ascii="宋体" w:hAnsi="宋体"/>
          <w:b/>
          <w:szCs w:val="21"/>
          <w:highlight w:val="none"/>
        </w:rPr>
      </w:pPr>
    </w:p>
    <w:p w14:paraId="3700D2D3">
      <w:pPr>
        <w:spacing w:line="360" w:lineRule="auto"/>
        <w:jc w:val="center"/>
        <w:rPr>
          <w:rFonts w:hint="eastAsia" w:ascii="宋体" w:hAnsi="宋体"/>
          <w:b/>
          <w:szCs w:val="21"/>
          <w:highlight w:val="none"/>
        </w:rPr>
      </w:pPr>
    </w:p>
    <w:p w14:paraId="62B69112">
      <w:pPr>
        <w:spacing w:line="360" w:lineRule="auto"/>
        <w:jc w:val="center"/>
        <w:rPr>
          <w:rFonts w:hint="eastAsia" w:ascii="宋体" w:hAnsi="宋体"/>
          <w:b/>
          <w:szCs w:val="21"/>
          <w:highlight w:val="none"/>
        </w:rPr>
      </w:pPr>
    </w:p>
    <w:p w14:paraId="301DECEA">
      <w:pPr>
        <w:spacing w:line="360" w:lineRule="auto"/>
        <w:jc w:val="center"/>
        <w:rPr>
          <w:rFonts w:hint="eastAsia" w:ascii="宋体" w:hAnsi="宋体"/>
          <w:b/>
          <w:szCs w:val="21"/>
          <w:highlight w:val="none"/>
        </w:rPr>
      </w:pPr>
    </w:p>
    <w:p w14:paraId="526B9C4C">
      <w:pPr>
        <w:spacing w:line="360" w:lineRule="auto"/>
        <w:jc w:val="center"/>
        <w:rPr>
          <w:rFonts w:hint="eastAsia" w:ascii="宋体" w:hAnsi="宋体"/>
          <w:b/>
          <w:szCs w:val="21"/>
          <w:highlight w:val="none"/>
        </w:rPr>
      </w:pPr>
    </w:p>
    <w:p w14:paraId="77BCB13E">
      <w:pPr>
        <w:spacing w:line="360" w:lineRule="auto"/>
        <w:jc w:val="center"/>
        <w:rPr>
          <w:rFonts w:hint="eastAsia" w:ascii="宋体" w:hAnsi="宋体"/>
          <w:b/>
          <w:szCs w:val="21"/>
          <w:highlight w:val="none"/>
        </w:rPr>
      </w:pPr>
    </w:p>
    <w:p w14:paraId="215EDD5F">
      <w:pPr>
        <w:spacing w:line="360" w:lineRule="auto"/>
        <w:jc w:val="center"/>
        <w:rPr>
          <w:rFonts w:hint="eastAsia" w:ascii="宋体" w:hAnsi="宋体"/>
          <w:b/>
          <w:szCs w:val="21"/>
          <w:highlight w:val="none"/>
        </w:rPr>
      </w:pPr>
    </w:p>
    <w:p w14:paraId="0B3B27C6">
      <w:pPr>
        <w:spacing w:line="360" w:lineRule="auto"/>
        <w:jc w:val="center"/>
        <w:rPr>
          <w:rFonts w:hint="eastAsia" w:ascii="宋体" w:hAnsi="宋体"/>
          <w:b/>
          <w:szCs w:val="21"/>
          <w:highlight w:val="none"/>
        </w:rPr>
      </w:pPr>
    </w:p>
    <w:p w14:paraId="3C1E194A">
      <w:pPr>
        <w:spacing w:line="360" w:lineRule="auto"/>
        <w:jc w:val="center"/>
        <w:rPr>
          <w:rFonts w:hint="eastAsia" w:ascii="宋体" w:hAnsi="宋体"/>
          <w:b/>
          <w:szCs w:val="21"/>
          <w:highlight w:val="none"/>
        </w:rPr>
      </w:pPr>
    </w:p>
    <w:p w14:paraId="55C09022">
      <w:pPr>
        <w:spacing w:line="360" w:lineRule="auto"/>
        <w:jc w:val="center"/>
        <w:rPr>
          <w:rFonts w:hint="eastAsia" w:ascii="宋体" w:hAnsi="宋体"/>
          <w:b/>
          <w:szCs w:val="21"/>
          <w:highlight w:val="none"/>
        </w:rPr>
      </w:pPr>
    </w:p>
    <w:p w14:paraId="0AEC7622">
      <w:pPr>
        <w:spacing w:line="360" w:lineRule="auto"/>
        <w:jc w:val="center"/>
        <w:rPr>
          <w:rFonts w:hint="eastAsia" w:ascii="宋体" w:hAnsi="宋体"/>
          <w:b/>
          <w:szCs w:val="21"/>
          <w:highlight w:val="none"/>
        </w:rPr>
      </w:pPr>
    </w:p>
    <w:p w14:paraId="636F769C">
      <w:pPr>
        <w:spacing w:line="360" w:lineRule="auto"/>
        <w:jc w:val="center"/>
        <w:rPr>
          <w:rFonts w:hint="eastAsia" w:ascii="宋体" w:hAnsi="宋体"/>
          <w:b/>
          <w:szCs w:val="21"/>
          <w:highlight w:val="none"/>
        </w:rPr>
      </w:pPr>
    </w:p>
    <w:p w14:paraId="65F52E59">
      <w:pPr>
        <w:spacing w:line="360" w:lineRule="auto"/>
        <w:jc w:val="center"/>
        <w:rPr>
          <w:rFonts w:hint="eastAsia" w:ascii="宋体" w:hAnsi="宋体"/>
          <w:b/>
          <w:szCs w:val="21"/>
          <w:highlight w:val="none"/>
        </w:rPr>
      </w:pPr>
    </w:p>
    <w:p w14:paraId="5E11A6CA">
      <w:pPr>
        <w:spacing w:line="360" w:lineRule="auto"/>
        <w:jc w:val="center"/>
        <w:rPr>
          <w:rFonts w:hint="eastAsia" w:ascii="宋体" w:hAnsi="宋体"/>
          <w:b/>
          <w:szCs w:val="21"/>
          <w:highlight w:val="none"/>
        </w:rPr>
      </w:pPr>
    </w:p>
    <w:p w14:paraId="62E2420E">
      <w:pPr>
        <w:spacing w:line="360" w:lineRule="auto"/>
        <w:jc w:val="center"/>
        <w:rPr>
          <w:rFonts w:hint="eastAsia" w:ascii="宋体" w:hAnsi="宋体"/>
          <w:b/>
          <w:szCs w:val="21"/>
          <w:highlight w:val="none"/>
        </w:rPr>
      </w:pPr>
    </w:p>
    <w:p w14:paraId="6C6D3610">
      <w:pPr>
        <w:spacing w:line="360" w:lineRule="auto"/>
        <w:jc w:val="center"/>
        <w:rPr>
          <w:rFonts w:hint="eastAsia" w:ascii="宋体" w:hAnsi="宋体"/>
          <w:b/>
          <w:szCs w:val="21"/>
          <w:highlight w:val="none"/>
        </w:rPr>
      </w:pPr>
    </w:p>
    <w:p w14:paraId="376BEE84">
      <w:pPr>
        <w:spacing w:line="360" w:lineRule="auto"/>
        <w:jc w:val="center"/>
        <w:rPr>
          <w:rFonts w:hint="eastAsia" w:ascii="宋体" w:hAnsi="宋体"/>
          <w:b/>
          <w:szCs w:val="21"/>
          <w:highlight w:val="none"/>
        </w:rPr>
      </w:pPr>
    </w:p>
    <w:p w14:paraId="7964B459">
      <w:pPr>
        <w:spacing w:line="360" w:lineRule="auto"/>
        <w:jc w:val="center"/>
        <w:rPr>
          <w:rFonts w:hint="eastAsia" w:ascii="宋体" w:hAnsi="宋体"/>
          <w:b/>
          <w:szCs w:val="21"/>
          <w:highlight w:val="none"/>
        </w:rPr>
      </w:pPr>
    </w:p>
    <w:p w14:paraId="1DB6F4C4">
      <w:pPr>
        <w:spacing w:line="360" w:lineRule="auto"/>
        <w:jc w:val="center"/>
        <w:rPr>
          <w:rFonts w:hint="eastAsia" w:ascii="宋体" w:hAnsi="宋体"/>
          <w:b/>
          <w:szCs w:val="21"/>
          <w:highlight w:val="none"/>
        </w:rPr>
      </w:pPr>
    </w:p>
    <w:p w14:paraId="28C6A98D">
      <w:pPr>
        <w:spacing w:line="360" w:lineRule="auto"/>
        <w:jc w:val="center"/>
        <w:rPr>
          <w:rFonts w:hint="eastAsia" w:ascii="宋体" w:hAnsi="宋体"/>
          <w:b/>
          <w:szCs w:val="21"/>
          <w:highlight w:val="none"/>
        </w:rPr>
      </w:pPr>
    </w:p>
    <w:p w14:paraId="5ED396CA">
      <w:pPr>
        <w:spacing w:line="360" w:lineRule="auto"/>
        <w:jc w:val="center"/>
        <w:rPr>
          <w:rFonts w:hint="eastAsia" w:ascii="宋体" w:hAnsi="宋体"/>
          <w:b/>
          <w:szCs w:val="21"/>
          <w:highlight w:val="none"/>
        </w:rPr>
      </w:pPr>
    </w:p>
    <w:p w14:paraId="437ADBC6">
      <w:pPr>
        <w:spacing w:line="360" w:lineRule="auto"/>
        <w:jc w:val="center"/>
        <w:rPr>
          <w:rFonts w:hint="eastAsia" w:ascii="宋体" w:hAnsi="宋体"/>
          <w:b/>
          <w:szCs w:val="21"/>
          <w:highlight w:val="none"/>
        </w:rPr>
      </w:pPr>
    </w:p>
    <w:p w14:paraId="4D270C37">
      <w:pPr>
        <w:spacing w:line="360" w:lineRule="auto"/>
        <w:jc w:val="center"/>
        <w:rPr>
          <w:rFonts w:hint="eastAsia" w:ascii="宋体" w:hAnsi="宋体"/>
          <w:b/>
          <w:szCs w:val="21"/>
          <w:highlight w:val="none"/>
        </w:rPr>
      </w:pPr>
    </w:p>
    <w:p w14:paraId="3E17FBC2">
      <w:pPr>
        <w:spacing w:line="360" w:lineRule="auto"/>
        <w:jc w:val="center"/>
        <w:rPr>
          <w:rFonts w:hint="eastAsia" w:ascii="宋体" w:hAnsi="宋体"/>
          <w:b/>
          <w:szCs w:val="21"/>
          <w:highlight w:val="none"/>
        </w:rPr>
      </w:pPr>
    </w:p>
    <w:p w14:paraId="71E515D0">
      <w:pPr>
        <w:spacing w:line="360" w:lineRule="auto"/>
        <w:jc w:val="center"/>
        <w:rPr>
          <w:rFonts w:hint="eastAsia" w:ascii="宋体" w:hAnsi="宋体"/>
          <w:b/>
          <w:szCs w:val="21"/>
          <w:highlight w:val="none"/>
        </w:rPr>
      </w:pPr>
    </w:p>
    <w:p w14:paraId="5526DB50">
      <w:pPr>
        <w:spacing w:line="360" w:lineRule="auto"/>
        <w:jc w:val="center"/>
        <w:rPr>
          <w:rFonts w:hint="eastAsia" w:ascii="宋体" w:hAnsi="宋体"/>
          <w:b/>
          <w:szCs w:val="21"/>
          <w:highlight w:val="none"/>
        </w:rPr>
      </w:pPr>
    </w:p>
    <w:p w14:paraId="06DA7087">
      <w:pPr>
        <w:spacing w:line="360" w:lineRule="auto"/>
        <w:jc w:val="center"/>
        <w:rPr>
          <w:rFonts w:hint="eastAsia" w:ascii="宋体" w:hAnsi="宋体"/>
          <w:b/>
          <w:szCs w:val="21"/>
          <w:highlight w:val="none"/>
        </w:rPr>
      </w:pPr>
    </w:p>
    <w:p w14:paraId="46CD2F2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49BDB77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395" w:name="_Toc21274"/>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395"/>
    </w:p>
    <w:p w14:paraId="406295BE">
      <w:pPr>
        <w:pStyle w:val="25"/>
        <w:tabs>
          <w:tab w:val="left" w:pos="5580"/>
        </w:tabs>
        <w:spacing w:line="360" w:lineRule="auto"/>
        <w:ind w:left="1080" w:leftChars="257" w:hanging="540"/>
        <w:jc w:val="center"/>
        <w:rPr>
          <w:rFonts w:hint="eastAsia" w:hAnsi="宋体"/>
          <w:b/>
          <w:szCs w:val="21"/>
          <w:highlight w:val="none"/>
        </w:rPr>
      </w:pPr>
    </w:p>
    <w:p w14:paraId="5BF177A0">
      <w:pPr>
        <w:pStyle w:val="25"/>
        <w:tabs>
          <w:tab w:val="left" w:pos="5580"/>
        </w:tabs>
        <w:spacing w:line="360" w:lineRule="auto"/>
        <w:ind w:left="1080" w:leftChars="257" w:hanging="540"/>
        <w:rPr>
          <w:rFonts w:hint="eastAsia" w:hAnsi="宋体"/>
          <w:szCs w:val="21"/>
          <w:highlight w:val="none"/>
        </w:rPr>
      </w:pPr>
    </w:p>
    <w:p w14:paraId="48F17985">
      <w:pPr>
        <w:pStyle w:val="25"/>
        <w:tabs>
          <w:tab w:val="left" w:pos="5580"/>
        </w:tabs>
        <w:spacing w:line="360" w:lineRule="auto"/>
        <w:ind w:left="1080" w:leftChars="257" w:hanging="540"/>
        <w:rPr>
          <w:rFonts w:hint="eastAsia" w:hAnsi="宋体"/>
          <w:szCs w:val="21"/>
          <w:highlight w:val="none"/>
        </w:rPr>
      </w:pPr>
    </w:p>
    <w:p w14:paraId="0A35557D">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2AD675FD">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16CCF31D">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4077DEE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39CA0312">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3C62B3D2">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38AE2521">
      <w:pPr>
        <w:widowControl/>
        <w:spacing w:line="360" w:lineRule="auto"/>
        <w:ind w:firstLine="420" w:firstLineChars="200"/>
        <w:jc w:val="left"/>
        <w:rPr>
          <w:rFonts w:ascii="宋体" w:hAnsi="宋体"/>
          <w:szCs w:val="21"/>
          <w:highlight w:val="none"/>
        </w:rPr>
      </w:pPr>
    </w:p>
    <w:p w14:paraId="40482418">
      <w:pPr>
        <w:widowControl/>
        <w:spacing w:line="360" w:lineRule="auto"/>
        <w:ind w:firstLine="420" w:firstLineChars="200"/>
        <w:jc w:val="left"/>
        <w:rPr>
          <w:rFonts w:ascii="宋体" w:hAnsi="宋体"/>
          <w:szCs w:val="21"/>
          <w:highlight w:val="none"/>
        </w:rPr>
      </w:pPr>
    </w:p>
    <w:p w14:paraId="37C53897">
      <w:pPr>
        <w:widowControl/>
        <w:spacing w:line="360" w:lineRule="auto"/>
        <w:ind w:firstLine="420" w:firstLineChars="200"/>
        <w:jc w:val="left"/>
        <w:rPr>
          <w:rFonts w:hint="eastAsia" w:ascii="宋体" w:hAnsi="宋体"/>
          <w:szCs w:val="21"/>
          <w:highlight w:val="none"/>
        </w:rPr>
      </w:pPr>
    </w:p>
    <w:p w14:paraId="68EE7911">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67B38C10">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3FDB5695">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066B567C">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01AF610B">
      <w:pPr>
        <w:pStyle w:val="5"/>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396" w:name="_Toc25918"/>
      <w:bookmarkStart w:id="397" w:name="_Toc77685377"/>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396"/>
      <w:bookmarkEnd w:id="397"/>
    </w:p>
    <w:p w14:paraId="42F9BE1A">
      <w:pPr>
        <w:tabs>
          <w:tab w:val="left" w:pos="1800"/>
          <w:tab w:val="left" w:pos="5580"/>
        </w:tabs>
        <w:spacing w:line="360" w:lineRule="auto"/>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667A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7827A21C">
            <w:pPr>
              <w:spacing w:line="360" w:lineRule="auto"/>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35930193">
            <w:pPr>
              <w:spacing w:line="360" w:lineRule="auto"/>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0BEF828E">
            <w:pPr>
              <w:spacing w:line="360" w:lineRule="auto"/>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7AD180C1">
            <w:pPr>
              <w:spacing w:line="360" w:lineRule="auto"/>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57E0B0DE">
            <w:pPr>
              <w:spacing w:line="360" w:lineRule="auto"/>
              <w:jc w:val="center"/>
              <w:rPr>
                <w:rFonts w:hint="eastAsia" w:ascii="宋体" w:hAnsi="宋体"/>
                <w:b/>
                <w:bCs/>
                <w:szCs w:val="21"/>
                <w:highlight w:val="none"/>
              </w:rPr>
            </w:pPr>
            <w:r>
              <w:rPr>
                <w:rFonts w:hint="eastAsia" w:ascii="宋体" w:hAnsi="宋体"/>
                <w:b/>
                <w:bCs/>
                <w:szCs w:val="21"/>
                <w:highlight w:val="none"/>
              </w:rPr>
              <w:t>联系人及联系方式</w:t>
            </w:r>
          </w:p>
        </w:tc>
      </w:tr>
      <w:tr w14:paraId="6C5D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8493F55">
            <w:pPr>
              <w:spacing w:line="360" w:lineRule="auto"/>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66D37A64">
            <w:pPr>
              <w:spacing w:line="360" w:lineRule="auto"/>
              <w:jc w:val="center"/>
              <w:rPr>
                <w:rFonts w:hint="eastAsia" w:ascii="宋体" w:hAnsi="宋体"/>
                <w:b/>
                <w:bCs/>
                <w:szCs w:val="21"/>
                <w:highlight w:val="none"/>
              </w:rPr>
            </w:pPr>
          </w:p>
        </w:tc>
        <w:tc>
          <w:tcPr>
            <w:tcW w:w="1573" w:type="pct"/>
            <w:noWrap w:val="0"/>
            <w:vAlign w:val="center"/>
          </w:tcPr>
          <w:p w14:paraId="57488A83">
            <w:pPr>
              <w:spacing w:line="360" w:lineRule="auto"/>
              <w:jc w:val="center"/>
              <w:rPr>
                <w:rFonts w:hint="eastAsia" w:ascii="宋体" w:hAnsi="宋体"/>
                <w:b/>
                <w:bCs/>
                <w:szCs w:val="21"/>
                <w:highlight w:val="none"/>
              </w:rPr>
            </w:pPr>
          </w:p>
        </w:tc>
        <w:tc>
          <w:tcPr>
            <w:tcW w:w="848" w:type="pct"/>
            <w:noWrap w:val="0"/>
            <w:vAlign w:val="center"/>
          </w:tcPr>
          <w:p w14:paraId="244BDE8C">
            <w:pPr>
              <w:spacing w:line="360" w:lineRule="auto"/>
              <w:jc w:val="center"/>
              <w:rPr>
                <w:rFonts w:hint="eastAsia" w:ascii="宋体" w:hAnsi="宋体"/>
                <w:b/>
                <w:bCs/>
                <w:szCs w:val="21"/>
                <w:highlight w:val="none"/>
              </w:rPr>
            </w:pPr>
          </w:p>
        </w:tc>
        <w:tc>
          <w:tcPr>
            <w:tcW w:w="944" w:type="pct"/>
            <w:noWrap w:val="0"/>
            <w:vAlign w:val="center"/>
          </w:tcPr>
          <w:p w14:paraId="6A255FA7">
            <w:pPr>
              <w:spacing w:line="360" w:lineRule="auto"/>
              <w:jc w:val="center"/>
              <w:rPr>
                <w:rFonts w:hint="eastAsia" w:ascii="宋体" w:hAnsi="宋体"/>
                <w:b/>
                <w:bCs/>
                <w:szCs w:val="21"/>
                <w:highlight w:val="none"/>
              </w:rPr>
            </w:pPr>
          </w:p>
        </w:tc>
      </w:tr>
      <w:tr w14:paraId="531D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25ED77E9">
            <w:pPr>
              <w:spacing w:line="360" w:lineRule="auto"/>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16B50696">
            <w:pPr>
              <w:spacing w:line="360" w:lineRule="auto"/>
              <w:jc w:val="center"/>
              <w:rPr>
                <w:rFonts w:hint="eastAsia" w:ascii="宋体" w:hAnsi="宋体"/>
                <w:b/>
                <w:bCs/>
                <w:szCs w:val="21"/>
                <w:highlight w:val="none"/>
              </w:rPr>
            </w:pPr>
          </w:p>
        </w:tc>
        <w:tc>
          <w:tcPr>
            <w:tcW w:w="1573" w:type="pct"/>
            <w:noWrap w:val="0"/>
            <w:vAlign w:val="center"/>
          </w:tcPr>
          <w:p w14:paraId="5078A2D3">
            <w:pPr>
              <w:spacing w:line="360" w:lineRule="auto"/>
              <w:jc w:val="center"/>
              <w:rPr>
                <w:rFonts w:hint="eastAsia" w:ascii="宋体" w:hAnsi="宋体"/>
                <w:b/>
                <w:bCs/>
                <w:szCs w:val="21"/>
                <w:highlight w:val="none"/>
              </w:rPr>
            </w:pPr>
          </w:p>
        </w:tc>
        <w:tc>
          <w:tcPr>
            <w:tcW w:w="848" w:type="pct"/>
            <w:noWrap w:val="0"/>
            <w:vAlign w:val="center"/>
          </w:tcPr>
          <w:p w14:paraId="64D5BCAD">
            <w:pPr>
              <w:spacing w:line="360" w:lineRule="auto"/>
              <w:jc w:val="center"/>
              <w:rPr>
                <w:rFonts w:hint="eastAsia" w:ascii="宋体" w:hAnsi="宋体"/>
                <w:b/>
                <w:bCs/>
                <w:szCs w:val="21"/>
                <w:highlight w:val="none"/>
              </w:rPr>
            </w:pPr>
          </w:p>
        </w:tc>
        <w:tc>
          <w:tcPr>
            <w:tcW w:w="944" w:type="pct"/>
            <w:noWrap w:val="0"/>
            <w:vAlign w:val="center"/>
          </w:tcPr>
          <w:p w14:paraId="26E5C097">
            <w:pPr>
              <w:spacing w:line="360" w:lineRule="auto"/>
              <w:jc w:val="center"/>
              <w:rPr>
                <w:rFonts w:hint="eastAsia" w:ascii="宋体" w:hAnsi="宋体"/>
                <w:b/>
                <w:bCs/>
                <w:szCs w:val="21"/>
                <w:highlight w:val="none"/>
              </w:rPr>
            </w:pPr>
          </w:p>
        </w:tc>
      </w:tr>
      <w:tr w14:paraId="171F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6270C68">
            <w:pPr>
              <w:spacing w:line="360" w:lineRule="auto"/>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75C401A7">
            <w:pPr>
              <w:spacing w:line="360" w:lineRule="auto"/>
              <w:jc w:val="center"/>
              <w:rPr>
                <w:rFonts w:hint="eastAsia" w:ascii="宋体" w:hAnsi="宋体"/>
                <w:b/>
                <w:bCs/>
                <w:szCs w:val="21"/>
                <w:highlight w:val="none"/>
              </w:rPr>
            </w:pPr>
          </w:p>
        </w:tc>
        <w:tc>
          <w:tcPr>
            <w:tcW w:w="1573" w:type="pct"/>
            <w:noWrap w:val="0"/>
            <w:vAlign w:val="center"/>
          </w:tcPr>
          <w:p w14:paraId="344E53B5">
            <w:pPr>
              <w:spacing w:line="360" w:lineRule="auto"/>
              <w:jc w:val="center"/>
              <w:rPr>
                <w:rFonts w:hint="eastAsia" w:ascii="宋体" w:hAnsi="宋体"/>
                <w:b/>
                <w:bCs/>
                <w:szCs w:val="21"/>
                <w:highlight w:val="none"/>
              </w:rPr>
            </w:pPr>
          </w:p>
        </w:tc>
        <w:tc>
          <w:tcPr>
            <w:tcW w:w="848" w:type="pct"/>
            <w:noWrap w:val="0"/>
            <w:vAlign w:val="center"/>
          </w:tcPr>
          <w:p w14:paraId="6D786ABF">
            <w:pPr>
              <w:spacing w:line="360" w:lineRule="auto"/>
              <w:jc w:val="center"/>
              <w:rPr>
                <w:rFonts w:hint="eastAsia" w:ascii="宋体" w:hAnsi="宋体"/>
                <w:b/>
                <w:bCs/>
                <w:szCs w:val="21"/>
                <w:highlight w:val="none"/>
              </w:rPr>
            </w:pPr>
          </w:p>
        </w:tc>
        <w:tc>
          <w:tcPr>
            <w:tcW w:w="944" w:type="pct"/>
            <w:noWrap w:val="0"/>
            <w:vAlign w:val="center"/>
          </w:tcPr>
          <w:p w14:paraId="10D82835">
            <w:pPr>
              <w:spacing w:line="360" w:lineRule="auto"/>
              <w:jc w:val="center"/>
              <w:rPr>
                <w:rFonts w:hint="eastAsia" w:ascii="宋体" w:hAnsi="宋体"/>
                <w:b/>
                <w:bCs/>
                <w:szCs w:val="21"/>
                <w:highlight w:val="none"/>
              </w:rPr>
            </w:pPr>
          </w:p>
        </w:tc>
      </w:tr>
      <w:tr w14:paraId="6E5A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5627B26A">
            <w:pPr>
              <w:spacing w:line="360" w:lineRule="auto"/>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03B64933">
            <w:pPr>
              <w:spacing w:line="360" w:lineRule="auto"/>
              <w:jc w:val="center"/>
              <w:rPr>
                <w:rFonts w:hint="eastAsia" w:ascii="宋体" w:hAnsi="宋体"/>
                <w:b/>
                <w:bCs/>
                <w:szCs w:val="21"/>
                <w:highlight w:val="none"/>
              </w:rPr>
            </w:pPr>
          </w:p>
        </w:tc>
        <w:tc>
          <w:tcPr>
            <w:tcW w:w="1573" w:type="pct"/>
            <w:noWrap w:val="0"/>
            <w:vAlign w:val="center"/>
          </w:tcPr>
          <w:p w14:paraId="6DE59074">
            <w:pPr>
              <w:spacing w:line="360" w:lineRule="auto"/>
              <w:jc w:val="center"/>
              <w:rPr>
                <w:rFonts w:hint="eastAsia" w:ascii="宋体" w:hAnsi="宋体"/>
                <w:b/>
                <w:bCs/>
                <w:szCs w:val="21"/>
                <w:highlight w:val="none"/>
              </w:rPr>
            </w:pPr>
          </w:p>
        </w:tc>
        <w:tc>
          <w:tcPr>
            <w:tcW w:w="848" w:type="pct"/>
            <w:noWrap w:val="0"/>
            <w:vAlign w:val="center"/>
          </w:tcPr>
          <w:p w14:paraId="2C0F30C8">
            <w:pPr>
              <w:spacing w:line="360" w:lineRule="auto"/>
              <w:jc w:val="center"/>
              <w:rPr>
                <w:rFonts w:hint="eastAsia" w:ascii="宋体" w:hAnsi="宋体"/>
                <w:b/>
                <w:bCs/>
                <w:szCs w:val="21"/>
                <w:highlight w:val="none"/>
              </w:rPr>
            </w:pPr>
          </w:p>
        </w:tc>
        <w:tc>
          <w:tcPr>
            <w:tcW w:w="944" w:type="pct"/>
            <w:noWrap w:val="0"/>
            <w:vAlign w:val="center"/>
          </w:tcPr>
          <w:p w14:paraId="71663E43">
            <w:pPr>
              <w:spacing w:line="360" w:lineRule="auto"/>
              <w:jc w:val="center"/>
              <w:rPr>
                <w:rFonts w:hint="eastAsia" w:ascii="宋体" w:hAnsi="宋体"/>
                <w:b/>
                <w:bCs/>
                <w:szCs w:val="21"/>
                <w:highlight w:val="none"/>
              </w:rPr>
            </w:pPr>
          </w:p>
        </w:tc>
      </w:tr>
      <w:tr w14:paraId="0338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483A4869">
            <w:pPr>
              <w:spacing w:line="360" w:lineRule="auto"/>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4BE21844">
            <w:pPr>
              <w:spacing w:line="360" w:lineRule="auto"/>
              <w:jc w:val="center"/>
              <w:rPr>
                <w:rFonts w:hint="eastAsia" w:ascii="宋体" w:hAnsi="宋体"/>
                <w:b/>
                <w:bCs/>
                <w:szCs w:val="21"/>
                <w:highlight w:val="none"/>
              </w:rPr>
            </w:pPr>
          </w:p>
        </w:tc>
        <w:tc>
          <w:tcPr>
            <w:tcW w:w="1573" w:type="pct"/>
            <w:noWrap w:val="0"/>
            <w:vAlign w:val="center"/>
          </w:tcPr>
          <w:p w14:paraId="3151A330">
            <w:pPr>
              <w:spacing w:line="360" w:lineRule="auto"/>
              <w:jc w:val="center"/>
              <w:rPr>
                <w:rFonts w:hint="eastAsia" w:ascii="宋体" w:hAnsi="宋体"/>
                <w:b/>
                <w:bCs/>
                <w:szCs w:val="21"/>
                <w:highlight w:val="none"/>
              </w:rPr>
            </w:pPr>
          </w:p>
        </w:tc>
        <w:tc>
          <w:tcPr>
            <w:tcW w:w="848" w:type="pct"/>
            <w:noWrap w:val="0"/>
            <w:vAlign w:val="center"/>
          </w:tcPr>
          <w:p w14:paraId="15DB73DC">
            <w:pPr>
              <w:spacing w:line="360" w:lineRule="auto"/>
              <w:jc w:val="center"/>
              <w:rPr>
                <w:rFonts w:hint="eastAsia" w:ascii="宋体" w:hAnsi="宋体"/>
                <w:b/>
                <w:bCs/>
                <w:szCs w:val="21"/>
                <w:highlight w:val="none"/>
              </w:rPr>
            </w:pPr>
          </w:p>
        </w:tc>
        <w:tc>
          <w:tcPr>
            <w:tcW w:w="944" w:type="pct"/>
            <w:noWrap w:val="0"/>
            <w:vAlign w:val="center"/>
          </w:tcPr>
          <w:p w14:paraId="35831982">
            <w:pPr>
              <w:spacing w:line="360" w:lineRule="auto"/>
              <w:jc w:val="center"/>
              <w:rPr>
                <w:rFonts w:hint="eastAsia" w:ascii="宋体" w:hAnsi="宋体"/>
                <w:b/>
                <w:bCs/>
                <w:szCs w:val="21"/>
                <w:highlight w:val="none"/>
              </w:rPr>
            </w:pPr>
          </w:p>
        </w:tc>
      </w:tr>
      <w:tr w14:paraId="5228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A8D93F5">
            <w:pPr>
              <w:spacing w:line="360" w:lineRule="auto"/>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1892A48E">
            <w:pPr>
              <w:spacing w:line="360" w:lineRule="auto"/>
              <w:jc w:val="center"/>
              <w:rPr>
                <w:rFonts w:hint="eastAsia" w:ascii="宋体" w:hAnsi="宋体"/>
                <w:b/>
                <w:bCs/>
                <w:szCs w:val="21"/>
                <w:highlight w:val="none"/>
              </w:rPr>
            </w:pPr>
          </w:p>
        </w:tc>
        <w:tc>
          <w:tcPr>
            <w:tcW w:w="1573" w:type="pct"/>
            <w:noWrap w:val="0"/>
            <w:vAlign w:val="center"/>
          </w:tcPr>
          <w:p w14:paraId="255DE174">
            <w:pPr>
              <w:spacing w:line="360" w:lineRule="auto"/>
              <w:jc w:val="center"/>
              <w:rPr>
                <w:rFonts w:hint="eastAsia" w:ascii="宋体" w:hAnsi="宋体"/>
                <w:b/>
                <w:bCs/>
                <w:szCs w:val="21"/>
                <w:highlight w:val="none"/>
              </w:rPr>
            </w:pPr>
          </w:p>
        </w:tc>
        <w:tc>
          <w:tcPr>
            <w:tcW w:w="848" w:type="pct"/>
            <w:noWrap w:val="0"/>
            <w:vAlign w:val="center"/>
          </w:tcPr>
          <w:p w14:paraId="1837E06D">
            <w:pPr>
              <w:spacing w:line="360" w:lineRule="auto"/>
              <w:jc w:val="center"/>
              <w:rPr>
                <w:rFonts w:hint="eastAsia" w:ascii="宋体" w:hAnsi="宋体"/>
                <w:b/>
                <w:bCs/>
                <w:szCs w:val="21"/>
                <w:highlight w:val="none"/>
              </w:rPr>
            </w:pPr>
          </w:p>
        </w:tc>
        <w:tc>
          <w:tcPr>
            <w:tcW w:w="944" w:type="pct"/>
            <w:noWrap w:val="0"/>
            <w:vAlign w:val="center"/>
          </w:tcPr>
          <w:p w14:paraId="2A101A66">
            <w:pPr>
              <w:spacing w:line="360" w:lineRule="auto"/>
              <w:jc w:val="center"/>
              <w:rPr>
                <w:rFonts w:hint="eastAsia" w:ascii="宋体" w:hAnsi="宋体"/>
                <w:b/>
                <w:bCs/>
                <w:szCs w:val="21"/>
                <w:highlight w:val="none"/>
              </w:rPr>
            </w:pPr>
          </w:p>
        </w:tc>
      </w:tr>
      <w:tr w14:paraId="2593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36975B58">
            <w:pPr>
              <w:spacing w:line="360" w:lineRule="auto"/>
              <w:jc w:val="center"/>
              <w:rPr>
                <w:rFonts w:hint="eastAsia" w:ascii="宋体" w:hAnsi="宋体"/>
                <w:szCs w:val="21"/>
                <w:highlight w:val="none"/>
              </w:rPr>
            </w:pPr>
            <w:r>
              <w:rPr>
                <w:rFonts w:ascii="宋体" w:hAnsi="宋体"/>
                <w:szCs w:val="21"/>
                <w:highlight w:val="none"/>
              </w:rPr>
              <w:t>…</w:t>
            </w:r>
          </w:p>
        </w:tc>
        <w:tc>
          <w:tcPr>
            <w:tcW w:w="1052" w:type="pct"/>
            <w:noWrap w:val="0"/>
            <w:vAlign w:val="center"/>
          </w:tcPr>
          <w:p w14:paraId="7BA3CBA3">
            <w:pPr>
              <w:spacing w:line="360" w:lineRule="auto"/>
              <w:jc w:val="center"/>
              <w:rPr>
                <w:rFonts w:hint="eastAsia" w:ascii="宋体" w:hAnsi="宋体"/>
                <w:b/>
                <w:bCs/>
                <w:szCs w:val="21"/>
                <w:highlight w:val="none"/>
              </w:rPr>
            </w:pPr>
          </w:p>
        </w:tc>
        <w:tc>
          <w:tcPr>
            <w:tcW w:w="1573" w:type="pct"/>
            <w:noWrap w:val="0"/>
            <w:vAlign w:val="center"/>
          </w:tcPr>
          <w:p w14:paraId="7A186140">
            <w:pPr>
              <w:spacing w:line="360" w:lineRule="auto"/>
              <w:jc w:val="center"/>
              <w:rPr>
                <w:rFonts w:hint="eastAsia" w:ascii="宋体" w:hAnsi="宋体"/>
                <w:b/>
                <w:bCs/>
                <w:szCs w:val="21"/>
                <w:highlight w:val="none"/>
              </w:rPr>
            </w:pPr>
          </w:p>
        </w:tc>
        <w:tc>
          <w:tcPr>
            <w:tcW w:w="848" w:type="pct"/>
            <w:noWrap w:val="0"/>
            <w:vAlign w:val="center"/>
          </w:tcPr>
          <w:p w14:paraId="7DB59939">
            <w:pPr>
              <w:spacing w:line="360" w:lineRule="auto"/>
              <w:jc w:val="center"/>
              <w:rPr>
                <w:rFonts w:hint="eastAsia" w:ascii="宋体" w:hAnsi="宋体"/>
                <w:b/>
                <w:bCs/>
                <w:szCs w:val="21"/>
                <w:highlight w:val="none"/>
              </w:rPr>
            </w:pPr>
          </w:p>
        </w:tc>
        <w:tc>
          <w:tcPr>
            <w:tcW w:w="944" w:type="pct"/>
            <w:noWrap w:val="0"/>
            <w:vAlign w:val="center"/>
          </w:tcPr>
          <w:p w14:paraId="1EAA46A7">
            <w:pPr>
              <w:spacing w:line="360" w:lineRule="auto"/>
              <w:jc w:val="center"/>
              <w:rPr>
                <w:rFonts w:hint="eastAsia" w:ascii="宋体" w:hAnsi="宋体"/>
                <w:b/>
                <w:bCs/>
                <w:szCs w:val="21"/>
                <w:highlight w:val="none"/>
              </w:rPr>
            </w:pPr>
          </w:p>
        </w:tc>
      </w:tr>
    </w:tbl>
    <w:p w14:paraId="00DE1010">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w:t>
      </w:r>
      <w:r>
        <w:rPr>
          <w:rFonts w:hint="eastAsia" w:hAnsi="宋体"/>
          <w:b/>
          <w:bCs/>
          <w:color w:val="FF0000"/>
          <w:szCs w:val="21"/>
          <w:highlight w:val="none"/>
        </w:rPr>
        <w:t>类似</w:t>
      </w:r>
      <w:r>
        <w:rPr>
          <w:rFonts w:hint="eastAsia" w:hAnsi="宋体"/>
          <w:b/>
          <w:bCs/>
          <w:color w:val="FF0000"/>
          <w:szCs w:val="21"/>
          <w:highlight w:val="none"/>
          <w:lang w:val="en-US" w:eastAsia="zh-CN"/>
        </w:rPr>
        <w:t>行业内</w:t>
      </w:r>
      <w:r>
        <w:rPr>
          <w:rFonts w:hint="eastAsia" w:hAnsi="宋体"/>
          <w:b/>
          <w:bCs/>
          <w:szCs w:val="21"/>
          <w:highlight w:val="none"/>
        </w:rPr>
        <w:t>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5B16561F">
      <w:pPr>
        <w:spacing w:line="520" w:lineRule="exact"/>
        <w:rPr>
          <w:rFonts w:ascii="宋体" w:hAnsi="宋体"/>
          <w:b/>
          <w:bCs/>
          <w:szCs w:val="21"/>
          <w:highlight w:val="none"/>
        </w:rPr>
      </w:pPr>
    </w:p>
    <w:p w14:paraId="0777ED56">
      <w:pPr>
        <w:spacing w:line="520" w:lineRule="exact"/>
        <w:rPr>
          <w:rFonts w:ascii="宋体" w:hAnsi="宋体"/>
          <w:b/>
          <w:bCs/>
          <w:szCs w:val="21"/>
          <w:highlight w:val="none"/>
        </w:rPr>
      </w:pPr>
    </w:p>
    <w:p w14:paraId="29C3E451">
      <w:pPr>
        <w:spacing w:line="520" w:lineRule="exact"/>
        <w:rPr>
          <w:rFonts w:hint="eastAsia" w:ascii="宋体" w:hAnsi="宋体"/>
          <w:b/>
          <w:bCs/>
          <w:szCs w:val="21"/>
          <w:highlight w:val="none"/>
        </w:rPr>
      </w:pPr>
    </w:p>
    <w:p w14:paraId="6F20CDF7">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1232A47E">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58BB8D3B">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049CA68F">
      <w:pPr>
        <w:spacing w:line="360" w:lineRule="auto"/>
        <w:jc w:val="center"/>
        <w:rPr>
          <w:rFonts w:hint="eastAsia" w:ascii="宋体" w:hAnsi="宋体"/>
          <w:b/>
          <w:szCs w:val="21"/>
          <w:highlight w:val="none"/>
        </w:rPr>
      </w:pPr>
    </w:p>
    <w:p w14:paraId="3520AB05">
      <w:pPr>
        <w:spacing w:line="360" w:lineRule="auto"/>
        <w:jc w:val="center"/>
        <w:rPr>
          <w:rFonts w:hint="eastAsia" w:ascii="宋体" w:hAnsi="宋体"/>
          <w:b/>
          <w:szCs w:val="21"/>
          <w:highlight w:val="none"/>
        </w:rPr>
      </w:pPr>
    </w:p>
    <w:p w14:paraId="3F53AFD2">
      <w:pPr>
        <w:spacing w:line="360" w:lineRule="auto"/>
        <w:jc w:val="center"/>
        <w:rPr>
          <w:rFonts w:hint="eastAsia" w:ascii="宋体" w:hAnsi="宋体"/>
          <w:b/>
          <w:szCs w:val="21"/>
          <w:highlight w:val="none"/>
        </w:rPr>
      </w:pPr>
    </w:p>
    <w:p w14:paraId="5E5C2D97">
      <w:pPr>
        <w:spacing w:line="360" w:lineRule="auto"/>
        <w:jc w:val="center"/>
        <w:rPr>
          <w:rFonts w:hint="eastAsia" w:ascii="宋体" w:hAnsi="宋体"/>
          <w:b/>
          <w:szCs w:val="21"/>
          <w:highlight w:val="none"/>
        </w:rPr>
      </w:pPr>
    </w:p>
    <w:p w14:paraId="3B13DD85">
      <w:pPr>
        <w:spacing w:line="360" w:lineRule="auto"/>
        <w:jc w:val="center"/>
        <w:rPr>
          <w:rFonts w:hint="eastAsia" w:ascii="宋体" w:hAnsi="宋体"/>
          <w:b/>
          <w:szCs w:val="21"/>
          <w:highlight w:val="none"/>
        </w:rPr>
      </w:pPr>
    </w:p>
    <w:p w14:paraId="3D4F6B90">
      <w:pPr>
        <w:spacing w:line="360" w:lineRule="auto"/>
        <w:jc w:val="center"/>
        <w:rPr>
          <w:rFonts w:hint="eastAsia" w:ascii="宋体" w:hAnsi="宋体"/>
          <w:b/>
          <w:szCs w:val="21"/>
          <w:highlight w:val="none"/>
        </w:rPr>
      </w:pPr>
    </w:p>
    <w:p w14:paraId="1B7A6B9F">
      <w:pPr>
        <w:spacing w:line="360" w:lineRule="auto"/>
        <w:jc w:val="center"/>
        <w:rPr>
          <w:rFonts w:hint="eastAsia" w:ascii="宋体" w:hAnsi="宋体"/>
          <w:b/>
          <w:szCs w:val="21"/>
          <w:highlight w:val="none"/>
        </w:rPr>
      </w:pPr>
    </w:p>
    <w:p w14:paraId="3AE73025">
      <w:pPr>
        <w:spacing w:line="360" w:lineRule="auto"/>
        <w:jc w:val="center"/>
        <w:rPr>
          <w:rFonts w:hint="eastAsia" w:ascii="宋体" w:hAnsi="宋体"/>
          <w:b/>
          <w:szCs w:val="21"/>
          <w:highlight w:val="none"/>
        </w:rPr>
      </w:pPr>
    </w:p>
    <w:p w14:paraId="5C42FD3F">
      <w:pPr>
        <w:spacing w:line="360" w:lineRule="auto"/>
        <w:jc w:val="center"/>
        <w:rPr>
          <w:rFonts w:hint="eastAsia" w:ascii="宋体" w:hAnsi="宋体"/>
          <w:b/>
          <w:szCs w:val="21"/>
          <w:highlight w:val="none"/>
        </w:rPr>
      </w:pPr>
    </w:p>
    <w:p w14:paraId="731CDE64">
      <w:pPr>
        <w:spacing w:line="360" w:lineRule="auto"/>
        <w:jc w:val="center"/>
        <w:rPr>
          <w:rFonts w:hint="eastAsia" w:ascii="宋体" w:hAnsi="宋体"/>
          <w:b/>
          <w:szCs w:val="21"/>
          <w:highlight w:val="none"/>
        </w:rPr>
      </w:pPr>
    </w:p>
    <w:p w14:paraId="6986AF6E">
      <w:pPr>
        <w:spacing w:line="360" w:lineRule="auto"/>
        <w:jc w:val="center"/>
        <w:rPr>
          <w:rFonts w:hint="eastAsia" w:ascii="宋体" w:hAnsi="宋体"/>
          <w:b/>
          <w:szCs w:val="21"/>
          <w:highlight w:val="none"/>
        </w:rPr>
      </w:pPr>
    </w:p>
    <w:p w14:paraId="4155BEDC">
      <w:pPr>
        <w:spacing w:line="360" w:lineRule="auto"/>
        <w:jc w:val="center"/>
        <w:rPr>
          <w:rFonts w:hint="eastAsia" w:ascii="宋体" w:hAnsi="宋体"/>
          <w:b/>
          <w:szCs w:val="21"/>
          <w:highlight w:val="none"/>
        </w:rPr>
      </w:pPr>
    </w:p>
    <w:p w14:paraId="626BA0B0">
      <w:pPr>
        <w:spacing w:line="360" w:lineRule="auto"/>
        <w:jc w:val="center"/>
        <w:rPr>
          <w:rFonts w:hint="eastAsia" w:ascii="宋体" w:hAnsi="宋体"/>
          <w:b/>
          <w:szCs w:val="21"/>
          <w:highlight w:val="none"/>
        </w:rPr>
      </w:pPr>
    </w:p>
    <w:p w14:paraId="79677E2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398" w:name="_Toc12888"/>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398"/>
    </w:p>
    <w:p w14:paraId="7840F7D5">
      <w:pPr>
        <w:spacing w:line="360" w:lineRule="auto"/>
        <w:ind w:left="1080" w:leftChars="257" w:hanging="540"/>
        <w:jc w:val="center"/>
        <w:rPr>
          <w:rFonts w:hint="eastAsia" w:ascii="宋体" w:hAnsi="宋体"/>
          <w:b/>
          <w:bCs/>
          <w:szCs w:val="21"/>
          <w:highlight w:val="none"/>
        </w:rPr>
      </w:pPr>
    </w:p>
    <w:p w14:paraId="243C274F">
      <w:pPr>
        <w:spacing w:line="360" w:lineRule="auto"/>
        <w:ind w:left="1080" w:leftChars="257" w:hanging="540"/>
        <w:jc w:val="center"/>
        <w:rPr>
          <w:rFonts w:hint="eastAsia" w:ascii="宋体" w:hAnsi="宋体"/>
          <w:b/>
          <w:bCs/>
          <w:szCs w:val="21"/>
          <w:highlight w:val="none"/>
        </w:rPr>
      </w:pPr>
    </w:p>
    <w:p w14:paraId="7B76D4AB">
      <w:pPr>
        <w:spacing w:line="360" w:lineRule="auto"/>
        <w:ind w:left="1080" w:leftChars="257" w:hanging="540"/>
        <w:jc w:val="center"/>
        <w:rPr>
          <w:rFonts w:hint="eastAsia" w:ascii="宋体" w:hAnsi="宋体"/>
          <w:b/>
          <w:bCs/>
          <w:szCs w:val="21"/>
          <w:highlight w:val="none"/>
        </w:rPr>
      </w:pPr>
    </w:p>
    <w:p w14:paraId="0DF1AC1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7DE28455">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697ACDD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780804F9">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73374478">
      <w:pPr>
        <w:rPr>
          <w:rFonts w:hint="eastAsia"/>
          <w:highlight w:val="none"/>
        </w:rPr>
      </w:pPr>
      <w:r>
        <w:rPr>
          <w:highlight w:val="none"/>
        </w:rPr>
        <w:br w:type="page"/>
      </w:r>
    </w:p>
    <w:p w14:paraId="6B508DFF">
      <w:pPr>
        <w:jc w:val="center"/>
        <w:rPr>
          <w:rFonts w:hint="eastAsia" w:ascii="宋体" w:hAnsi="宋体"/>
          <w:b/>
          <w:szCs w:val="21"/>
          <w:highlight w:val="none"/>
        </w:rPr>
      </w:pPr>
    </w:p>
    <w:p w14:paraId="606CC41F">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399" w:name="_Toc3130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399"/>
    </w:p>
    <w:p w14:paraId="7BD1748D">
      <w:pPr>
        <w:spacing w:line="360" w:lineRule="auto"/>
        <w:ind w:firstLine="540"/>
        <w:rPr>
          <w:rFonts w:hint="eastAsia" w:ascii="宋体" w:hAnsi="宋体"/>
          <w:bCs/>
          <w:szCs w:val="21"/>
          <w:highlight w:val="none"/>
        </w:rPr>
      </w:pPr>
    </w:p>
    <w:p w14:paraId="10ACA71B">
      <w:pPr>
        <w:spacing w:line="360" w:lineRule="auto"/>
        <w:ind w:firstLine="540"/>
        <w:rPr>
          <w:rFonts w:hint="eastAsia" w:ascii="宋体" w:hAnsi="宋体"/>
          <w:bCs/>
          <w:szCs w:val="21"/>
          <w:highlight w:val="none"/>
        </w:rPr>
      </w:pPr>
    </w:p>
    <w:p w14:paraId="52CB6DB3">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57367AB2">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4A071294">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0731ECDB">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0C9423B7">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27334A07">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617A7D2E">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679FD507">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36741B4F">
      <w:pPr>
        <w:spacing w:line="360" w:lineRule="auto"/>
        <w:ind w:firstLine="540"/>
        <w:rPr>
          <w:rFonts w:ascii="宋体" w:hAnsi="宋体"/>
          <w:bCs/>
          <w:szCs w:val="21"/>
          <w:highlight w:val="none"/>
        </w:rPr>
      </w:pPr>
    </w:p>
    <w:p w14:paraId="5BC27C98">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66A9E6C6">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42425D20">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6B95910F">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30F4F1F6">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77897597">
      <w:pPr>
        <w:pStyle w:val="25"/>
        <w:spacing w:line="360" w:lineRule="auto"/>
        <w:rPr>
          <w:rFonts w:hint="eastAsia" w:hAnsi="宋体" w:cs="楷体_GB2312"/>
          <w:kern w:val="0"/>
          <w:szCs w:val="21"/>
          <w:highlight w:val="none"/>
        </w:rPr>
      </w:pPr>
    </w:p>
    <w:p w14:paraId="5A4655CD">
      <w:pPr>
        <w:pStyle w:val="25"/>
        <w:spacing w:line="360" w:lineRule="auto"/>
        <w:rPr>
          <w:rFonts w:hint="eastAsia" w:hAnsi="宋体" w:cs="楷体_GB2312"/>
          <w:kern w:val="0"/>
          <w:szCs w:val="21"/>
          <w:highlight w:val="none"/>
        </w:rPr>
      </w:pPr>
    </w:p>
    <w:p w14:paraId="272432C7">
      <w:pPr>
        <w:pStyle w:val="25"/>
        <w:spacing w:line="360" w:lineRule="auto"/>
        <w:rPr>
          <w:rFonts w:hint="eastAsia" w:hAnsi="宋体" w:cs="楷体_GB2312"/>
          <w:kern w:val="0"/>
          <w:szCs w:val="21"/>
          <w:highlight w:val="none"/>
        </w:rPr>
      </w:pPr>
    </w:p>
    <w:p w14:paraId="5B447C08">
      <w:pPr>
        <w:pStyle w:val="25"/>
        <w:spacing w:line="360" w:lineRule="auto"/>
        <w:rPr>
          <w:rFonts w:hint="eastAsia" w:hAnsi="宋体" w:cs="楷体_GB2312"/>
          <w:kern w:val="0"/>
          <w:szCs w:val="21"/>
          <w:highlight w:val="none"/>
        </w:rPr>
      </w:pPr>
    </w:p>
    <w:p w14:paraId="47431D7B">
      <w:pPr>
        <w:pStyle w:val="25"/>
        <w:spacing w:line="360" w:lineRule="auto"/>
        <w:rPr>
          <w:rFonts w:hint="eastAsia" w:hAnsi="宋体" w:cs="楷体_GB2312"/>
          <w:kern w:val="0"/>
          <w:szCs w:val="21"/>
          <w:highlight w:val="none"/>
        </w:rPr>
      </w:pPr>
    </w:p>
    <w:p w14:paraId="0E638199">
      <w:pPr>
        <w:pStyle w:val="25"/>
        <w:spacing w:line="360" w:lineRule="auto"/>
        <w:rPr>
          <w:rFonts w:hint="eastAsia" w:hAnsi="宋体" w:cs="楷体_GB2312"/>
          <w:kern w:val="0"/>
          <w:szCs w:val="21"/>
          <w:highlight w:val="none"/>
        </w:rPr>
      </w:pPr>
    </w:p>
    <w:p w14:paraId="36659676">
      <w:pPr>
        <w:pStyle w:val="25"/>
        <w:spacing w:line="360" w:lineRule="auto"/>
        <w:rPr>
          <w:rFonts w:hint="eastAsia" w:hAnsi="宋体" w:cs="楷体_GB2312"/>
          <w:kern w:val="0"/>
          <w:szCs w:val="21"/>
          <w:highlight w:val="none"/>
        </w:rPr>
      </w:pPr>
    </w:p>
    <w:p w14:paraId="36AA3A63">
      <w:pPr>
        <w:pStyle w:val="25"/>
        <w:spacing w:line="360" w:lineRule="auto"/>
        <w:rPr>
          <w:rFonts w:hint="eastAsia" w:hAnsi="宋体" w:cs="楷体_GB2312"/>
          <w:kern w:val="0"/>
          <w:szCs w:val="21"/>
          <w:highlight w:val="none"/>
        </w:rPr>
      </w:pPr>
    </w:p>
    <w:p w14:paraId="3AD66D40">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400" w:name="_Toc15610"/>
      <w:bookmarkStart w:id="401" w:name="_Toc1930"/>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400"/>
      <w:bookmarkEnd w:id="401"/>
    </w:p>
    <w:p w14:paraId="6AF1FE45">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包括上年度产品生产规模、产品情况、质量等</w:t>
      </w:r>
      <w:r>
        <w:rPr>
          <w:rFonts w:hint="eastAsia"/>
          <w:highlight w:val="none"/>
        </w:rPr>
        <w:t>）</w:t>
      </w:r>
    </w:p>
    <w:p w14:paraId="768EC994">
      <w:pPr>
        <w:pStyle w:val="25"/>
        <w:spacing w:line="360" w:lineRule="auto"/>
        <w:rPr>
          <w:rFonts w:hint="eastAsia" w:hAnsi="宋体" w:cs="楷体_GB2312"/>
          <w:kern w:val="0"/>
          <w:szCs w:val="21"/>
          <w:highlight w:val="none"/>
        </w:rPr>
      </w:pPr>
    </w:p>
    <w:p w14:paraId="5126B2FF">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2" w:type="default"/>
          <w:footerReference r:id="rId13" w:type="default"/>
          <w:pgSz w:w="11906" w:h="16838"/>
          <w:pgMar w:top="1440" w:right="1080" w:bottom="1440" w:left="1080" w:header="454" w:footer="624" w:gutter="284"/>
          <w:pgNumType w:fmt="decimal"/>
          <w:cols w:space="720" w:num="1"/>
          <w:docGrid w:linePitch="319" w:charSpace="0"/>
        </w:sectPr>
      </w:pPr>
      <w:bookmarkStart w:id="402" w:name="_Toc3766"/>
      <w:bookmarkStart w:id="403" w:name="_Toc218935355"/>
      <w:bookmarkStart w:id="404" w:name="_Toc220229434"/>
      <w:bookmarkStart w:id="405" w:name="_Toc216582826"/>
      <w:bookmarkStart w:id="406" w:name="_Toc109736075"/>
      <w:bookmarkStart w:id="407" w:name="_Toc219175639"/>
    </w:p>
    <w:p w14:paraId="553696C5">
      <w:pPr>
        <w:pStyle w:val="4"/>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402"/>
    </w:p>
    <w:p w14:paraId="1E5F139E">
      <w:pPr>
        <w:spacing w:before="50" w:after="50" w:line="360" w:lineRule="auto"/>
        <w:jc w:val="center"/>
        <w:rPr>
          <w:rFonts w:hint="eastAsia"/>
          <w:highlight w:val="none"/>
        </w:rPr>
      </w:pPr>
      <w:r>
        <w:rPr>
          <w:rFonts w:hint="eastAsia"/>
          <w:highlight w:val="none"/>
        </w:rPr>
        <w:t>（详细方案根据项目具体情况自拟）</w:t>
      </w:r>
    </w:p>
    <w:p w14:paraId="5772723D">
      <w:pPr>
        <w:pStyle w:val="3"/>
        <w:autoSpaceDE w:val="0"/>
        <w:autoSpaceDN w:val="0"/>
        <w:adjustRightInd w:val="0"/>
        <w:spacing w:before="0" w:after="0" w:line="360" w:lineRule="auto"/>
        <w:jc w:val="center"/>
        <w:outlineLvl w:val="9"/>
        <w:rPr>
          <w:rFonts w:hint="eastAsia" w:ascii="宋体" w:hAnsi="宋体" w:cs="宋体"/>
          <w:sz w:val="28"/>
          <w:szCs w:val="28"/>
          <w:highlight w:val="none"/>
        </w:rPr>
      </w:pPr>
    </w:p>
    <w:p w14:paraId="07ABBD8E">
      <w:pPr>
        <w:pStyle w:val="3"/>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35B25AB5">
      <w:pPr>
        <w:rPr>
          <w:rFonts w:hint="eastAsia"/>
          <w:highlight w:val="none"/>
          <w:lang w:eastAsia="zh-CN"/>
        </w:rPr>
      </w:pPr>
    </w:p>
    <w:p w14:paraId="73CF62FF">
      <w:pPr>
        <w:pStyle w:val="4"/>
        <w:tabs>
          <w:tab w:val="left" w:pos="5580"/>
        </w:tabs>
        <w:spacing w:before="120" w:beforeLines="50" w:after="120" w:afterLines="50" w:line="360" w:lineRule="auto"/>
        <w:jc w:val="center"/>
        <w:rPr>
          <w:rFonts w:ascii="宋体" w:hAnsi="宋体" w:eastAsia="宋体"/>
          <w:sz w:val="21"/>
          <w:szCs w:val="21"/>
          <w:highlight w:val="none"/>
        </w:rPr>
      </w:pPr>
      <w:bookmarkStart w:id="408" w:name="_Toc20055"/>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408"/>
    </w:p>
    <w:p w14:paraId="54877D05">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05D8A3A4">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质量检测报告等</w:t>
      </w:r>
      <w:r>
        <w:rPr>
          <w:rFonts w:hint="eastAsia"/>
          <w:highlight w:val="none"/>
        </w:rPr>
        <w:t>）</w:t>
      </w:r>
    </w:p>
    <w:p w14:paraId="397250CF">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047BB65E">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409" w:name="_Toc10658"/>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409"/>
    </w:p>
    <w:p w14:paraId="56415343">
      <w:pPr>
        <w:pStyle w:val="204"/>
        <w:spacing w:after="120"/>
        <w:ind w:firstLine="422"/>
        <w:rPr>
          <w:rFonts w:hint="eastAsia" w:ascii="宋体" w:hAnsi="宋体" w:eastAsia="宋体"/>
          <w:b/>
          <w:bCs/>
          <w:kern w:val="0"/>
          <w:sz w:val="21"/>
          <w:szCs w:val="21"/>
          <w:highlight w:val="none"/>
          <w:lang w:val="en-US" w:bidi="ar"/>
        </w:rPr>
      </w:pPr>
    </w:p>
    <w:p w14:paraId="28B42451">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68B3ADF0">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4A4FD4E3">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43BCBCE2">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33F054BB">
      <w:pPr>
        <w:pStyle w:val="204"/>
        <w:spacing w:after="120"/>
        <w:ind w:firstLine="480"/>
        <w:rPr>
          <w:rFonts w:hint="eastAsia"/>
          <w:highlight w:val="none"/>
        </w:rPr>
      </w:pPr>
    </w:p>
    <w:p w14:paraId="40B7616F">
      <w:pPr>
        <w:pStyle w:val="204"/>
        <w:spacing w:after="120"/>
        <w:ind w:firstLine="480"/>
        <w:rPr>
          <w:rFonts w:hint="eastAsia"/>
          <w:highlight w:val="none"/>
        </w:rPr>
      </w:pPr>
    </w:p>
    <w:p w14:paraId="177F1D09">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5CBD6606">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0A5685CA">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4BC451AE">
      <w:pPr>
        <w:spacing w:before="50" w:after="50" w:line="360" w:lineRule="auto"/>
        <w:jc w:val="center"/>
        <w:rPr>
          <w:rFonts w:hint="eastAsia"/>
          <w:highlight w:val="none"/>
        </w:rPr>
      </w:pPr>
    </w:p>
    <w:p w14:paraId="1404D92F">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0D41617C">
      <w:pPr>
        <w:pStyle w:val="3"/>
        <w:keepNext/>
        <w:keepLines/>
        <w:pageBreakBefore w:val="0"/>
        <w:widowControl w:val="0"/>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410" w:name="_Toc24364"/>
      <w:r>
        <w:rPr>
          <w:rFonts w:hint="eastAsia" w:ascii="宋体" w:hAnsi="宋体" w:cs="宋体"/>
          <w:sz w:val="28"/>
          <w:szCs w:val="28"/>
          <w:highlight w:val="none"/>
        </w:rPr>
        <w:t>第五章 评标方法和标准</w:t>
      </w:r>
      <w:bookmarkEnd w:id="403"/>
      <w:bookmarkEnd w:id="404"/>
      <w:bookmarkEnd w:id="405"/>
      <w:bookmarkEnd w:id="406"/>
      <w:bookmarkEnd w:id="407"/>
      <w:bookmarkEnd w:id="410"/>
    </w:p>
    <w:p w14:paraId="0BABE0CB">
      <w:pPr>
        <w:pStyle w:val="20"/>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本项目将按照招标文件第一章投标人须知中“五 开标及评标”、“六 确定中标”及本章的规定评标。</w:t>
      </w:r>
      <w:bookmarkStart w:id="411" w:name="_Toc24902"/>
      <w:bookmarkStart w:id="412" w:name="_Toc109736076"/>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8"/>
        <w:gridCol w:w="2442"/>
        <w:gridCol w:w="4473"/>
        <w:gridCol w:w="1274"/>
      </w:tblGrid>
      <w:tr w14:paraId="024A2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35F3AE80">
            <w:pPr>
              <w:keepNext w:val="0"/>
              <w:keepLines w:val="0"/>
              <w:widowControl/>
              <w:suppressLineNumbers w:val="0"/>
              <w:jc w:val="center"/>
              <w:textAlignment w:val="center"/>
              <w:rPr>
                <w:rFonts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03FD1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591" w:type="pct"/>
            <w:tcBorders>
              <w:top w:val="single" w:color="000000" w:sz="4" w:space="0"/>
              <w:bottom w:val="single" w:color="000000" w:sz="4" w:space="0"/>
              <w:right w:val="single" w:color="000000" w:sz="4" w:space="0"/>
            </w:tcBorders>
            <w:shd w:val="clear" w:color="auto" w:fill="auto"/>
            <w:vAlign w:val="center"/>
          </w:tcPr>
          <w:p w14:paraId="24AC98A9">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4F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C04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4" w:type="pct"/>
            <w:tcBorders>
              <w:top w:val="single" w:color="000000" w:sz="4" w:space="0"/>
              <w:left w:val="single" w:color="000000" w:sz="4" w:space="0"/>
              <w:bottom w:val="single" w:color="000000" w:sz="4" w:space="0"/>
            </w:tcBorders>
            <w:shd w:val="clear" w:color="auto" w:fill="auto"/>
            <w:vAlign w:val="center"/>
          </w:tcPr>
          <w:p w14:paraId="1949A49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7F2449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246CBBD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278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EFC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全部满足技术要求的得25分，根据招标技术要求和投标技术响应情况，对投标产品的技术指标，产品质量的可靠性、安全性进行评价。每有一处URS负偏离扣2分，扣完为止。（技术资料以该产品制造商出具的产品技术白皮书或公开发布的印刷资料或检测机构出具的检测报告为准。未按要求提供的视作不响应。）</w:t>
            </w:r>
          </w:p>
        </w:tc>
        <w:tc>
          <w:tcPr>
            <w:tcW w:w="684" w:type="pct"/>
            <w:tcBorders>
              <w:top w:val="single" w:color="000000" w:sz="4" w:space="0"/>
              <w:left w:val="single" w:color="000000" w:sz="4" w:space="0"/>
              <w:bottom w:val="single" w:color="000000" w:sz="4" w:space="0"/>
            </w:tcBorders>
            <w:shd w:val="clear" w:color="auto" w:fill="auto"/>
            <w:vAlign w:val="center"/>
          </w:tcPr>
          <w:p w14:paraId="7B7007AB">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25</w:t>
            </w:r>
          </w:p>
        </w:tc>
      </w:tr>
      <w:tr w14:paraId="6FA6B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2C3C62A4">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013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2368">
            <w:pPr>
              <w:keepNext w:val="0"/>
              <w:keepLines w:val="0"/>
              <w:widowControl/>
              <w:suppressLineNumbers w:val="0"/>
              <w:jc w:val="both"/>
              <w:textAlignment w:val="center"/>
              <w:rPr>
                <w:rFonts w:hint="default" w:ascii="宋体" w:hAnsi="宋体" w:eastAsia="微软雅黑"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根据投标人履行能力（根据提供的供应商资质文件等评价），最高得5分，第二名得3分，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5053ECE4">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0C9193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7F7E9F8A">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50E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A8D0">
            <w:pPr>
              <w:keepNext w:val="0"/>
              <w:keepLines w:val="0"/>
              <w:widowControl/>
              <w:suppressLineNumbers w:val="0"/>
              <w:jc w:val="both"/>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产品质量情况及质保承诺，最优得10分，第二得8分，依此类推，最低为2分。</w:t>
            </w:r>
          </w:p>
        </w:tc>
        <w:tc>
          <w:tcPr>
            <w:tcW w:w="684" w:type="pct"/>
            <w:tcBorders>
              <w:top w:val="single" w:color="000000" w:sz="4" w:space="0"/>
              <w:left w:val="single" w:color="000000" w:sz="4" w:space="0"/>
              <w:bottom w:val="single" w:color="000000" w:sz="4" w:space="0"/>
            </w:tcBorders>
            <w:shd w:val="clear" w:color="auto" w:fill="auto"/>
            <w:vAlign w:val="center"/>
          </w:tcPr>
          <w:p w14:paraId="345A1374">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7E4B0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91" w:type="pct"/>
            <w:vMerge w:val="restart"/>
            <w:tcBorders>
              <w:top w:val="single" w:color="000000" w:sz="4" w:space="0"/>
              <w:bottom w:val="single" w:color="000000" w:sz="4" w:space="0"/>
              <w:right w:val="single" w:color="000000" w:sz="4" w:space="0"/>
            </w:tcBorders>
            <w:shd w:val="clear" w:color="auto" w:fill="auto"/>
            <w:vAlign w:val="center"/>
          </w:tcPr>
          <w:p w14:paraId="4CB227F4">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F259">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rPr>
              <w:t>付款</w:t>
            </w:r>
            <w:r>
              <w:rPr>
                <w:rFonts w:hint="eastAsia" w:ascii="微软雅黑" w:hAnsi="微软雅黑" w:eastAsia="微软雅黑" w:cs="微软雅黑"/>
                <w:i w:val="0"/>
                <w:iCs w:val="0"/>
                <w:color w:val="000000"/>
                <w:sz w:val="21"/>
                <w:szCs w:val="21"/>
                <w:highlight w:val="none"/>
                <w:u w:val="none"/>
                <w:lang w:val="en-US" w:eastAsia="zh-CN"/>
              </w:rPr>
              <w:t>条件响应情况</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CEE3">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根据对付款条件的响应，最优得3分，第二得2分，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560C824F">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r>
      <w:tr w14:paraId="55D01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45E13B86">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799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C620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根据投标货物近三年在中国境内向同行业供货同类产品的销售业绩情况，每一项类似业绩得0.5分，最高得2分（须提供项目合同等相关证明材料）</w:t>
            </w:r>
          </w:p>
        </w:tc>
        <w:tc>
          <w:tcPr>
            <w:tcW w:w="684" w:type="pct"/>
            <w:tcBorders>
              <w:top w:val="single" w:color="000000" w:sz="4" w:space="0"/>
              <w:left w:val="single" w:color="000000" w:sz="4" w:space="0"/>
              <w:bottom w:val="single" w:color="000000" w:sz="4" w:space="0"/>
            </w:tcBorders>
            <w:shd w:val="clear" w:color="auto" w:fill="auto"/>
            <w:vAlign w:val="center"/>
          </w:tcPr>
          <w:p w14:paraId="103E18E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r>
      <w:tr w14:paraId="0E874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32ED9D62">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F48A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7300">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根据标书提供的财务情况、企业基本情况等综合评价，综合实力最高得3分，第二名得2分，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4" w:type="pct"/>
            <w:tcBorders>
              <w:top w:val="single" w:color="000000" w:sz="4" w:space="0"/>
              <w:left w:val="single" w:color="000000" w:sz="4" w:space="0"/>
              <w:bottom w:val="single" w:color="000000" w:sz="4" w:space="0"/>
            </w:tcBorders>
            <w:shd w:val="clear" w:color="auto" w:fill="auto"/>
            <w:vAlign w:val="center"/>
          </w:tcPr>
          <w:p w14:paraId="6D848C58">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r>
      <w:tr w14:paraId="749976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91" w:type="pct"/>
            <w:vMerge w:val="continue"/>
            <w:tcBorders>
              <w:top w:val="single" w:color="000000" w:sz="4" w:space="0"/>
              <w:bottom w:val="single" w:color="000000" w:sz="4" w:space="0"/>
              <w:right w:val="single" w:color="000000" w:sz="4" w:space="0"/>
            </w:tcBorders>
            <w:shd w:val="clear" w:color="auto" w:fill="auto"/>
            <w:vAlign w:val="center"/>
          </w:tcPr>
          <w:p w14:paraId="03CB64C0">
            <w:pPr>
              <w:jc w:val="center"/>
              <w:rPr>
                <w:rFonts w:hint="eastAsia" w:ascii="微软雅黑" w:hAnsi="微软雅黑" w:eastAsia="微软雅黑" w:cs="微软雅黑"/>
                <w:i w:val="0"/>
                <w:iCs w:val="0"/>
                <w:color w:val="000000"/>
                <w:sz w:val="21"/>
                <w:szCs w:val="21"/>
                <w:highlight w:val="none"/>
                <w:u w:val="none"/>
              </w:rPr>
            </w:pP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B5D5">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754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2</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4" w:type="pct"/>
            <w:tcBorders>
              <w:top w:val="single" w:color="000000" w:sz="4" w:space="0"/>
              <w:left w:val="single" w:color="000000" w:sz="4" w:space="0"/>
              <w:bottom w:val="single" w:color="000000" w:sz="4" w:space="0"/>
            </w:tcBorders>
            <w:shd w:val="clear" w:color="auto" w:fill="auto"/>
            <w:vAlign w:val="center"/>
          </w:tcPr>
          <w:p w14:paraId="5D34988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2</w:t>
            </w:r>
          </w:p>
        </w:tc>
      </w:tr>
      <w:tr w14:paraId="02BBA9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91" w:type="pct"/>
            <w:tcBorders>
              <w:top w:val="single" w:color="000000" w:sz="4" w:space="0"/>
              <w:bottom w:val="single" w:color="000000" w:sz="4" w:space="0"/>
              <w:right w:val="single" w:color="000000" w:sz="4" w:space="0"/>
            </w:tcBorders>
            <w:shd w:val="clear" w:color="auto" w:fill="auto"/>
            <w:vAlign w:val="center"/>
          </w:tcPr>
          <w:p w14:paraId="34DA7D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103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B24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20004B7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213AF8F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119AA857">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0%）×100</w:t>
            </w:r>
          </w:p>
          <w:p w14:paraId="56206A04">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0分。</w:t>
            </w:r>
          </w:p>
        </w:tc>
        <w:tc>
          <w:tcPr>
            <w:tcW w:w="684" w:type="pct"/>
            <w:tcBorders>
              <w:top w:val="single" w:color="000000" w:sz="4" w:space="0"/>
              <w:left w:val="single" w:color="000000" w:sz="4" w:space="0"/>
              <w:bottom w:val="single" w:color="000000" w:sz="4" w:space="0"/>
            </w:tcBorders>
            <w:shd w:val="clear" w:color="auto" w:fill="auto"/>
            <w:vAlign w:val="center"/>
          </w:tcPr>
          <w:p w14:paraId="56509B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50</w:t>
            </w:r>
          </w:p>
        </w:tc>
      </w:tr>
      <w:tr w14:paraId="02BA4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591" w:type="pct"/>
            <w:tcBorders>
              <w:top w:val="single" w:color="000000" w:sz="4" w:space="0"/>
              <w:right w:val="single" w:color="000000" w:sz="4" w:space="0"/>
            </w:tcBorders>
            <w:shd w:val="clear" w:color="auto" w:fill="auto"/>
            <w:vAlign w:val="center"/>
          </w:tcPr>
          <w:p w14:paraId="55D60E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315" w:type="pct"/>
            <w:tcBorders>
              <w:top w:val="single" w:color="000000" w:sz="4" w:space="0"/>
              <w:left w:val="single" w:color="000000" w:sz="4" w:space="0"/>
              <w:right w:val="single" w:color="000000" w:sz="4" w:space="0"/>
            </w:tcBorders>
            <w:shd w:val="clear" w:color="auto" w:fill="auto"/>
            <w:noWrap/>
            <w:vAlign w:val="bottom"/>
          </w:tcPr>
          <w:p w14:paraId="53486438">
            <w:pPr>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36272C86">
            <w:pPr>
              <w:rPr>
                <w:rFonts w:hint="eastAsia" w:ascii="等线" w:hAnsi="等线" w:eastAsia="等线" w:cs="等线"/>
                <w:i w:val="0"/>
                <w:iCs w:val="0"/>
                <w:color w:val="000000"/>
                <w:sz w:val="21"/>
                <w:szCs w:val="21"/>
                <w:highlight w:val="none"/>
                <w:u w:val="none"/>
              </w:rPr>
            </w:pPr>
          </w:p>
        </w:tc>
        <w:tc>
          <w:tcPr>
            <w:tcW w:w="684" w:type="pct"/>
            <w:tcBorders>
              <w:top w:val="single" w:color="000000" w:sz="4" w:space="0"/>
              <w:left w:val="single" w:color="000000" w:sz="4" w:space="0"/>
            </w:tcBorders>
            <w:shd w:val="clear" w:color="auto" w:fill="auto"/>
            <w:vAlign w:val="center"/>
          </w:tcPr>
          <w:p w14:paraId="1FC7B8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27B78DA1">
      <w:pPr>
        <w:pStyle w:val="20"/>
        <w:spacing w:line="360" w:lineRule="auto"/>
        <w:ind w:firstLine="472" w:firstLineChars="225"/>
        <w:rPr>
          <w:rFonts w:hint="eastAsia" w:ascii="宋体" w:hAnsi="宋体" w:cs="宋体"/>
          <w:szCs w:val="21"/>
          <w:highlight w:val="none"/>
        </w:rPr>
      </w:pPr>
    </w:p>
    <w:p w14:paraId="6493C7AF">
      <w:pPr>
        <w:pStyle w:val="20"/>
        <w:spacing w:line="360" w:lineRule="auto"/>
        <w:ind w:firstLine="472" w:firstLineChars="225"/>
        <w:rPr>
          <w:rFonts w:hint="eastAsia" w:ascii="宋体" w:hAnsi="宋体" w:cs="宋体"/>
          <w:szCs w:val="21"/>
          <w:highlight w:val="none"/>
        </w:rPr>
        <w:sectPr>
          <w:headerReference r:id="rId15" w:type="first"/>
          <w:footerReference r:id="rId17" w:type="first"/>
          <w:headerReference r:id="rId14" w:type="default"/>
          <w:footerReference r:id="rId16" w:type="default"/>
          <w:pgSz w:w="11907" w:h="16840"/>
          <w:pgMar w:top="1418" w:right="1418" w:bottom="1418" w:left="1418" w:header="567" w:footer="851" w:gutter="0"/>
          <w:pgNumType w:fmt="decimal"/>
          <w:cols w:space="720" w:num="1"/>
          <w:titlePg/>
          <w:docGrid w:linePitch="271" w:charSpace="0"/>
        </w:sectPr>
      </w:pPr>
    </w:p>
    <w:p w14:paraId="70BF83BD">
      <w:pPr>
        <w:widowControl/>
        <w:jc w:val="center"/>
        <w:rPr>
          <w:rFonts w:hint="eastAsia" w:ascii="宋体" w:hAnsi="宋体" w:cs="宋体"/>
          <w:b/>
          <w:bCs/>
          <w:sz w:val="28"/>
          <w:szCs w:val="28"/>
          <w:highlight w:val="none"/>
        </w:rPr>
      </w:pPr>
      <w:r>
        <w:rPr>
          <w:rFonts w:hint="eastAsia" w:ascii="宋体" w:hAnsi="宋体" w:cs="宋体"/>
          <w:b/>
          <w:bCs/>
          <w:sz w:val="28"/>
          <w:szCs w:val="28"/>
          <w:highlight w:val="none"/>
        </w:rPr>
        <w:t>第六章  货物技术要求</w:t>
      </w:r>
      <w:bookmarkEnd w:id="411"/>
      <w:bookmarkEnd w:id="412"/>
      <w:bookmarkStart w:id="413" w:name="_Toc61418267"/>
      <w:bookmarkStart w:id="414" w:name="_Toc512327974"/>
      <w:bookmarkStart w:id="415" w:name="_Toc188181412"/>
    </w:p>
    <w:bookmarkEnd w:id="413"/>
    <w:bookmarkEnd w:id="414"/>
    <w:bookmarkEnd w:id="415"/>
    <w:p w14:paraId="47A391F2">
      <w:pPr>
        <w:pStyle w:val="20"/>
        <w:rPr>
          <w:rFonts w:hint="eastAsia" w:ascii="宋体" w:hAnsi="宋体" w:cs="宋体"/>
          <w:b/>
          <w:bCs/>
          <w:sz w:val="28"/>
          <w:szCs w:val="28"/>
          <w:highlight w:val="none"/>
          <w:lang w:val="en-US" w:eastAsia="zh-CN"/>
        </w:rPr>
      </w:pPr>
    </w:p>
    <w:p w14:paraId="013DBC90">
      <w:pPr>
        <w:pStyle w:val="20"/>
        <w:jc w:val="center"/>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t>司本</w:t>
      </w:r>
    </w:p>
    <w:p w14:paraId="18F5C1DC">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 xml:space="preserve">1.用途 </w:t>
      </w:r>
    </w:p>
    <w:p w14:paraId="508EC0AA">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制定灭活疫苗生产用司盘的质量标准。</w:t>
      </w:r>
    </w:p>
    <w:p w14:paraId="01269A61">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2.定义和缩略语</w:t>
      </w:r>
    </w:p>
    <w:p w14:paraId="27A30956">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司本：油酸山梨坦 （Span 80）</w:t>
      </w:r>
    </w:p>
    <w:p w14:paraId="13398997">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3.质量标准</w:t>
      </w:r>
    </w:p>
    <w:p w14:paraId="2CCC35AC">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3.1.司本质量标准</w:t>
      </w:r>
    </w:p>
    <w:p w14:paraId="757FD226">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3.1.1.性状</w:t>
      </w:r>
    </w:p>
    <w:p w14:paraId="246A1E49">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本品为淡黄色至黄色油状液体；有轻微异臭；在水或丙二醇中不溶。</w:t>
      </w:r>
    </w:p>
    <w:p w14:paraId="5F39C590">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酸值：本品的酸值不大于8。</w:t>
      </w:r>
    </w:p>
    <w:p w14:paraId="5086BBF5">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皂化值：本品的皂化值为145~160。</w:t>
      </w:r>
    </w:p>
    <w:p w14:paraId="2E53F5F5">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羟值：本品的羟值为190~215。</w:t>
      </w:r>
    </w:p>
    <w:p w14:paraId="1D177DD8">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碘值：本品的碘值为62~76。</w:t>
      </w:r>
    </w:p>
    <w:p w14:paraId="7619BD74">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过氧化值：本品的过氧化值不大于10。</w:t>
      </w:r>
    </w:p>
    <w:p w14:paraId="26C10E52">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3.1.2.鉴别</w:t>
      </w:r>
    </w:p>
    <w:p w14:paraId="3DBD9E3B">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取本品按《中国兽药典》2020版一部正文品种第二部分638页检查。</w:t>
      </w:r>
    </w:p>
    <w:p w14:paraId="119AB176">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照薄层色谱法试验，供试品溶液所显斑点的位置和颜色应与对照品溶液斑点相同。</w:t>
      </w:r>
    </w:p>
    <w:p w14:paraId="1A6AAD22">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3.1.3.检查</w:t>
      </w:r>
    </w:p>
    <w:p w14:paraId="0521E59B">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脂肪酸组成：照气相色普法(附录0521)试验，肉豆蔻酸不大于5.0%，棕榈酸不大于16.0%，棕榈油酸不大于8.0%，硬脂酸不大于6.0%，油酸为65.0%-88.0%，亚油酸不大于18.0%，亚麻酸不大于4.0%，其他脂肪酸不大于4.0%。</w:t>
      </w:r>
    </w:p>
    <w:p w14:paraId="3D1A6288">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水分：取本品，照水分测定法（附录0832第一法A）测定，含水分不得超过1.0%。</w:t>
      </w:r>
    </w:p>
    <w:p w14:paraId="0FFE15CD">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炽灼残渣：取本品1.0g，依法检查（附录0841），遗留残渣不得过0.5%。</w:t>
      </w:r>
    </w:p>
    <w:p w14:paraId="4510232F">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重金属：取炽灼残渣项下遗留的残渣，依法检查（附录0821第二法），含重金属不得超过百万分之十。</w:t>
      </w:r>
    </w:p>
    <w:p w14:paraId="32DB2AF9">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4.参考文件</w:t>
      </w:r>
    </w:p>
    <w:p w14:paraId="63D459BC">
      <w:pPr>
        <w:pStyle w:val="20"/>
        <w:rPr>
          <w:rFonts w:hint="eastAsia"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《中国兽药典》2020版 一部</w:t>
      </w:r>
    </w:p>
    <w:p w14:paraId="4FBF4920">
      <w:pPr>
        <w:pStyle w:val="20"/>
        <w:rPr>
          <w:rFonts w:hint="eastAsia" w:ascii="宋体" w:hAnsi="宋体" w:cs="宋体"/>
          <w:b w:val="0"/>
          <w:bCs w:val="0"/>
          <w:sz w:val="28"/>
          <w:szCs w:val="28"/>
          <w:highlight w:val="none"/>
          <w:lang w:val="en-US" w:eastAsia="zh-CN"/>
        </w:rPr>
      </w:pPr>
    </w:p>
    <w:p w14:paraId="7418AC8F">
      <w:pPr>
        <w:pStyle w:val="20"/>
        <w:jc w:val="center"/>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t>吐温</w:t>
      </w:r>
    </w:p>
    <w:p w14:paraId="00C3390D">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 xml:space="preserve">1.用途 </w:t>
      </w:r>
    </w:p>
    <w:p w14:paraId="087F0817">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用于制定灭活疫苗生产用吐温的质量标准。</w:t>
      </w:r>
    </w:p>
    <w:p w14:paraId="6DE9311C">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2.定义和缩略语</w:t>
      </w:r>
    </w:p>
    <w:p w14:paraId="5ADB99E0">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吐温 ：聚山梨酯  80</w:t>
      </w:r>
    </w:p>
    <w:p w14:paraId="2708D8EE">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3.质量标准</w:t>
      </w:r>
    </w:p>
    <w:p w14:paraId="2109C76F">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3.1.性状</w:t>
      </w:r>
    </w:p>
    <w:p w14:paraId="61BE4DD9">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本品为淡黄色至橙黄色的粘稠液体；微有特臭，味微苦略涩，有温热感。</w:t>
      </w:r>
    </w:p>
    <w:p w14:paraId="79A35CDB">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本品在水、乙醇、甲醇或乙酸乙酯中易溶，在矿物油中极微溶解。</w:t>
      </w:r>
    </w:p>
    <w:p w14:paraId="05701BC4">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相对密度：1.06~1.09（韦氏比重称法）。</w:t>
      </w:r>
    </w:p>
    <w:p w14:paraId="38BD88ED">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黏度：运动黏度，在25℃（毛细管内径为3.4~4.2mm）为350~550mm2/s。</w:t>
      </w:r>
    </w:p>
    <w:p w14:paraId="59009222">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酸值：不得过1.0。</w:t>
      </w:r>
    </w:p>
    <w:p w14:paraId="556BBC18">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皂化值：为45~55。</w:t>
      </w:r>
    </w:p>
    <w:p w14:paraId="06D2B089">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羟值：为65~80。</w:t>
      </w:r>
    </w:p>
    <w:p w14:paraId="62B3FD71">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碘值：为18~24。</w:t>
      </w:r>
    </w:p>
    <w:p w14:paraId="2D405503">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过氧化值：不得超过3 。</w:t>
      </w:r>
    </w:p>
    <w:p w14:paraId="544D5050">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3.2.鉴别</w:t>
      </w:r>
    </w:p>
    <w:p w14:paraId="46BAC864">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取本品的水溶液（1→20）5ml，加入氢氧化钠试液5ml煮沸数分钟，放冷，用稀盐酸酸化，显乳白色浑浊。</w:t>
      </w:r>
    </w:p>
    <w:p w14:paraId="1957D3DF">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取本品的水溶液（1→20），滴加溴试液，溴试液即褪色。</w:t>
      </w:r>
    </w:p>
    <w:p w14:paraId="390B7201">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取本品6ml，加水4ml混匀，呈胶状物。</w:t>
      </w:r>
    </w:p>
    <w:p w14:paraId="20DBB53B">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取本品的的水溶液（1→20）10ml，加硫氰酸钴铵溶液（取硫氰酸铵17.4g与硝酸钴2.8g，加水溶解成100ml）5ml，混匀，再加三氯甲烷5ml，振摇混合，静置后，三氯甲烷层显蓝色。</w:t>
      </w:r>
    </w:p>
    <w:p w14:paraId="55E83FAC">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3.3.检查</w:t>
      </w:r>
    </w:p>
    <w:p w14:paraId="24E6D177">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酸碱度：取本品约0.50g，加水10ml溶解后，依法测定（附录0631），PH应为5.0~7.5.</w:t>
      </w:r>
    </w:p>
    <w:p w14:paraId="48619308">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吸光度：照紫外可见分光光度法(附录0401)，在225nm波长处吸光度不得过1.0，在267m波长处吸光度不得过0.10且不得出现最大吸收峰。</w:t>
      </w:r>
    </w:p>
    <w:p w14:paraId="3B698675">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颜色：取本品10ml，与同体积的黄色2号标准液比较（附录0901），不得更深。</w:t>
      </w:r>
    </w:p>
    <w:p w14:paraId="561137EB">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乙二醇、二甘醇和三甘醇：依法检测，乙二醇，二甘醇和三甘醇均不得过0.01%。</w:t>
      </w:r>
    </w:p>
    <w:p w14:paraId="4801E6F9">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环氧乙烷与二氧六环：最终结果环氧乙烷不得超过0.0001%，二氧六环不得超过0.001%。</w:t>
      </w:r>
    </w:p>
    <w:p w14:paraId="51AE9D7C">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冻结试验：取本品，置玻璃容器内，于冰浴中放置24小时，不得冻结。</w:t>
      </w:r>
    </w:p>
    <w:p w14:paraId="672CB140">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水分：含水分不得过0.5%。</w:t>
      </w:r>
    </w:p>
    <w:p w14:paraId="650E38C8">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炽灼残渣：取本品1.0g，依法检查，遗留残渣不得过0.1%。</w:t>
      </w:r>
    </w:p>
    <w:p w14:paraId="37F83AA7">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重金属：取炽灼残渣项下遗留的残渣，依法检查，含重金属不得过百万分之十。</w:t>
      </w:r>
    </w:p>
    <w:p w14:paraId="54111688">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砷盐：依法检查，应符合规定（0.0002%）。</w:t>
      </w:r>
    </w:p>
    <w:p w14:paraId="09187657">
      <w:pPr>
        <w:pStyle w:val="20"/>
        <w:rPr>
          <w:rFonts w:hint="default" w:ascii="宋体" w:hAnsi="宋体" w:cs="宋体"/>
          <w:b w:val="0"/>
          <w:bCs w:val="0"/>
          <w:sz w:val="28"/>
          <w:szCs w:val="28"/>
          <w:highlight w:val="none"/>
          <w:lang w:val="en-US" w:eastAsia="zh-CN"/>
        </w:rPr>
      </w:pPr>
    </w:p>
    <w:p w14:paraId="5322B33D">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4.参考文件</w:t>
      </w:r>
    </w:p>
    <w:p w14:paraId="6173B57A">
      <w:pPr>
        <w:pStyle w:val="20"/>
        <w:rPr>
          <w:rFonts w:hint="default" w:ascii="宋体" w:hAnsi="宋体" w:cs="宋体"/>
          <w:b w:val="0"/>
          <w:bCs w:val="0"/>
          <w:sz w:val="28"/>
          <w:szCs w:val="28"/>
          <w:highlight w:val="none"/>
          <w:lang w:val="en-US" w:eastAsia="zh-CN"/>
        </w:rPr>
      </w:pPr>
      <w:r>
        <w:rPr>
          <w:rFonts w:hint="default" w:ascii="宋体" w:hAnsi="宋体" w:cs="宋体"/>
          <w:b w:val="0"/>
          <w:bCs w:val="0"/>
          <w:sz w:val="28"/>
          <w:szCs w:val="28"/>
          <w:highlight w:val="none"/>
          <w:lang w:val="en-US" w:eastAsia="zh-CN"/>
        </w:rPr>
        <w:t>《中国兽药典》2020版一部</w:t>
      </w:r>
    </w:p>
    <w:sectPr>
      <w:footerReference r:id="rId18" w:type="first"/>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A00002EF" w:usb1="4000004B" w:usb2="00000000" w:usb3="00000000" w:csb0="200000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文鼎粗">
    <w:panose1 w:val="0201060901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A2AD">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0347">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F8ECE">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26</w:t>
    </w:r>
    <w:r>
      <w:fldChar w:fldCharType="end"/>
    </w:r>
  </w:p>
  <w:p w14:paraId="50F4CF4B">
    <w:pPr>
      <w:pStyle w:val="31"/>
      <w:ind w:right="360" w:firstLine="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9B82A">
    <w:pPr>
      <w:pStyle w:val="31"/>
      <w:framePr w:wrap="around" w:vAnchor="text" w:hAnchor="margin" w:xAlign="right" w:y="1"/>
      <w:rPr>
        <w:rStyle w:val="55"/>
      </w:rPr>
    </w:pPr>
  </w:p>
  <w:p w14:paraId="0DD921B7">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4337C">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4D4E0">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724D4E0">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5B7BC">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30B5E">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1530B5E">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6A07B5DF">
    <w:pPr>
      <w:pStyle w:val="31"/>
      <w:ind w:right="360"/>
      <w:jc w:val="righ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4E84">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337B6B7">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1337B6B7">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8E03E">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4AD0D">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C14AD0D">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C75F5">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EC485">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C3EC485">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9595D">
    <w:pPr>
      <w:pStyle w:val="31"/>
      <w:tabs>
        <w:tab w:val="center" w:pos="4320"/>
        <w:tab w:val="right" w:pos="8640"/>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1B417">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383280" cy="266065"/>
          <wp:effectExtent l="0" t="0" r="7620" b="635"/>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5BA72">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2D47A">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1C512">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6D304F43">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0C01C">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F860E">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1">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2">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55E6A8F"/>
    <w:multiLevelType w:val="multilevel"/>
    <w:tmpl w:val="155E6A8F"/>
    <w:lvl w:ilvl="0" w:tentative="0">
      <w:start w:val="1"/>
      <w:numFmt w:val="decimal"/>
      <w:lvlText w:val="（%1）"/>
      <w:lvlJc w:val="left"/>
      <w:pPr>
        <w:tabs>
          <w:tab w:val="left" w:pos="1571"/>
        </w:tabs>
        <w:ind w:left="1571" w:hanging="720"/>
      </w:pPr>
      <w:rPr>
        <w:rFonts w:ascii="仿宋_GB2312" w:hAnsi="宋体" w:eastAsia="仿宋_GB2312"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6">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0">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11">
    <w:nsid w:val="66E4770E"/>
    <w:multiLevelType w:val="multilevel"/>
    <w:tmpl w:val="66E4770E"/>
    <w:lvl w:ilvl="0" w:tentative="0">
      <w:start w:val="1"/>
      <w:numFmt w:val="japaneseCounting"/>
      <w:lvlText w:val="第%1章"/>
      <w:lvlJc w:val="left"/>
      <w:pPr>
        <w:tabs>
          <w:tab w:val="left" w:pos="4543"/>
        </w:tabs>
        <w:ind w:left="4543" w:hanging="114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2">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3">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7"/>
  </w:num>
  <w:num w:numId="2">
    <w:abstractNumId w:val="1"/>
  </w:num>
  <w:num w:numId="3">
    <w:abstractNumId w:val="3"/>
  </w:num>
  <w:num w:numId="4">
    <w:abstractNumId w:val="13"/>
  </w:num>
  <w:num w:numId="5">
    <w:abstractNumId w:val="2"/>
  </w:num>
  <w:num w:numId="6">
    <w:abstractNumId w:val="12"/>
  </w:num>
  <w:num w:numId="7">
    <w:abstractNumId w:val="9"/>
  </w:num>
  <w:num w:numId="8">
    <w:abstractNumId w:val="4"/>
  </w:num>
  <w:num w:numId="9">
    <w:abstractNumId w:val="0"/>
  </w:num>
  <w:num w:numId="10">
    <w:abstractNumId w:val="10"/>
  </w:num>
  <w:num w:numId="11">
    <w:abstractNumId w:val="8"/>
  </w:num>
  <w:num w:numId="12">
    <w:abstractNumId w:val="11"/>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638AD"/>
    <w:rsid w:val="003B7114"/>
    <w:rsid w:val="00594589"/>
    <w:rsid w:val="007738DE"/>
    <w:rsid w:val="007E249D"/>
    <w:rsid w:val="008B2575"/>
    <w:rsid w:val="00B415CA"/>
    <w:rsid w:val="00BF4650"/>
    <w:rsid w:val="00D21B5B"/>
    <w:rsid w:val="00E429AC"/>
    <w:rsid w:val="00EA326F"/>
    <w:rsid w:val="00F34157"/>
    <w:rsid w:val="00FE0354"/>
    <w:rsid w:val="01CD4F1F"/>
    <w:rsid w:val="01CD506F"/>
    <w:rsid w:val="0222395B"/>
    <w:rsid w:val="0299777A"/>
    <w:rsid w:val="03310133"/>
    <w:rsid w:val="033A7147"/>
    <w:rsid w:val="034072F4"/>
    <w:rsid w:val="03D33F78"/>
    <w:rsid w:val="068A051E"/>
    <w:rsid w:val="07714A42"/>
    <w:rsid w:val="084367D4"/>
    <w:rsid w:val="084E0615"/>
    <w:rsid w:val="08DB07BA"/>
    <w:rsid w:val="09545AC8"/>
    <w:rsid w:val="0AFF4E4A"/>
    <w:rsid w:val="0B933243"/>
    <w:rsid w:val="0BB62A86"/>
    <w:rsid w:val="0BD842AB"/>
    <w:rsid w:val="0BEE13A6"/>
    <w:rsid w:val="0C942543"/>
    <w:rsid w:val="0D431A29"/>
    <w:rsid w:val="0D792EAC"/>
    <w:rsid w:val="0D8D0EA8"/>
    <w:rsid w:val="0E175D7C"/>
    <w:rsid w:val="0FD1151E"/>
    <w:rsid w:val="100F10E1"/>
    <w:rsid w:val="114C6D7B"/>
    <w:rsid w:val="124848DD"/>
    <w:rsid w:val="12AF40AF"/>
    <w:rsid w:val="143E54A0"/>
    <w:rsid w:val="149208C7"/>
    <w:rsid w:val="16946B78"/>
    <w:rsid w:val="17493924"/>
    <w:rsid w:val="17524BB4"/>
    <w:rsid w:val="17634B0D"/>
    <w:rsid w:val="17D36F35"/>
    <w:rsid w:val="1A060CD7"/>
    <w:rsid w:val="1ABD1A3F"/>
    <w:rsid w:val="1C2362A8"/>
    <w:rsid w:val="1C644176"/>
    <w:rsid w:val="1C846CAA"/>
    <w:rsid w:val="1D1919F8"/>
    <w:rsid w:val="1D1E3239"/>
    <w:rsid w:val="1D447F67"/>
    <w:rsid w:val="1D511438"/>
    <w:rsid w:val="1D7E18EE"/>
    <w:rsid w:val="1D952DF5"/>
    <w:rsid w:val="1DA4399A"/>
    <w:rsid w:val="1F1727BF"/>
    <w:rsid w:val="20734F9D"/>
    <w:rsid w:val="20E406FC"/>
    <w:rsid w:val="21517356"/>
    <w:rsid w:val="217E3D4D"/>
    <w:rsid w:val="21B8302F"/>
    <w:rsid w:val="21ED0E21"/>
    <w:rsid w:val="22453BA1"/>
    <w:rsid w:val="238649B8"/>
    <w:rsid w:val="238E01AF"/>
    <w:rsid w:val="23AD4E1E"/>
    <w:rsid w:val="247424E8"/>
    <w:rsid w:val="24C741C2"/>
    <w:rsid w:val="261035B4"/>
    <w:rsid w:val="268E2E7C"/>
    <w:rsid w:val="27A02191"/>
    <w:rsid w:val="27E04F0C"/>
    <w:rsid w:val="285C308D"/>
    <w:rsid w:val="28865E00"/>
    <w:rsid w:val="289A3148"/>
    <w:rsid w:val="2907617B"/>
    <w:rsid w:val="29A273A6"/>
    <w:rsid w:val="29F518B2"/>
    <w:rsid w:val="2F6D3579"/>
    <w:rsid w:val="30343EB8"/>
    <w:rsid w:val="31A71994"/>
    <w:rsid w:val="31C03214"/>
    <w:rsid w:val="322B5430"/>
    <w:rsid w:val="328C4750"/>
    <w:rsid w:val="3371124C"/>
    <w:rsid w:val="33716BC9"/>
    <w:rsid w:val="33DA7906"/>
    <w:rsid w:val="3436155A"/>
    <w:rsid w:val="347A6C66"/>
    <w:rsid w:val="34E83EA9"/>
    <w:rsid w:val="359C48DD"/>
    <w:rsid w:val="35F37D16"/>
    <w:rsid w:val="3674202A"/>
    <w:rsid w:val="38023102"/>
    <w:rsid w:val="384D3D8D"/>
    <w:rsid w:val="38A02D03"/>
    <w:rsid w:val="38A92A23"/>
    <w:rsid w:val="39E25AC3"/>
    <w:rsid w:val="3A601B79"/>
    <w:rsid w:val="3A9A2C2A"/>
    <w:rsid w:val="3BCD47A7"/>
    <w:rsid w:val="3C440E8D"/>
    <w:rsid w:val="3CC80902"/>
    <w:rsid w:val="3D342B6E"/>
    <w:rsid w:val="402D4B16"/>
    <w:rsid w:val="403F72A5"/>
    <w:rsid w:val="411A359C"/>
    <w:rsid w:val="44827761"/>
    <w:rsid w:val="44E645F9"/>
    <w:rsid w:val="45E40A76"/>
    <w:rsid w:val="45EB594E"/>
    <w:rsid w:val="48AC304C"/>
    <w:rsid w:val="49772E24"/>
    <w:rsid w:val="4B6C5100"/>
    <w:rsid w:val="4BE75898"/>
    <w:rsid w:val="4C0C1018"/>
    <w:rsid w:val="4DED1D23"/>
    <w:rsid w:val="4DF06CFE"/>
    <w:rsid w:val="4E2539F2"/>
    <w:rsid w:val="4FE85234"/>
    <w:rsid w:val="50C06A6F"/>
    <w:rsid w:val="51AB25E2"/>
    <w:rsid w:val="53455313"/>
    <w:rsid w:val="53B7054A"/>
    <w:rsid w:val="54181E8F"/>
    <w:rsid w:val="54DB46DF"/>
    <w:rsid w:val="55AB065F"/>
    <w:rsid w:val="56074CC6"/>
    <w:rsid w:val="56456AAE"/>
    <w:rsid w:val="574F5F4C"/>
    <w:rsid w:val="589715D5"/>
    <w:rsid w:val="58CC031D"/>
    <w:rsid w:val="59FA3F6D"/>
    <w:rsid w:val="5A0A5462"/>
    <w:rsid w:val="5AAF3A76"/>
    <w:rsid w:val="5B4C57D4"/>
    <w:rsid w:val="5C3667D4"/>
    <w:rsid w:val="5CDB033A"/>
    <w:rsid w:val="5CFA0384"/>
    <w:rsid w:val="5DAF2A40"/>
    <w:rsid w:val="5E284D12"/>
    <w:rsid w:val="5F042803"/>
    <w:rsid w:val="5F3C6647"/>
    <w:rsid w:val="5F5D6BEB"/>
    <w:rsid w:val="5FAD636F"/>
    <w:rsid w:val="600B149F"/>
    <w:rsid w:val="613F7040"/>
    <w:rsid w:val="61994029"/>
    <w:rsid w:val="61F6744C"/>
    <w:rsid w:val="621219CA"/>
    <w:rsid w:val="635D0E7E"/>
    <w:rsid w:val="63827325"/>
    <w:rsid w:val="639F5962"/>
    <w:rsid w:val="65130267"/>
    <w:rsid w:val="678A1A09"/>
    <w:rsid w:val="6A1D6B70"/>
    <w:rsid w:val="6AF56893"/>
    <w:rsid w:val="6B0C4773"/>
    <w:rsid w:val="6B277F37"/>
    <w:rsid w:val="6B716B29"/>
    <w:rsid w:val="6C741EF9"/>
    <w:rsid w:val="6D094D94"/>
    <w:rsid w:val="6DC65A80"/>
    <w:rsid w:val="6E380D0C"/>
    <w:rsid w:val="6ED42A0E"/>
    <w:rsid w:val="6EE168B7"/>
    <w:rsid w:val="6FCA008A"/>
    <w:rsid w:val="70977707"/>
    <w:rsid w:val="711663FD"/>
    <w:rsid w:val="714D5CAB"/>
    <w:rsid w:val="73951FFE"/>
    <w:rsid w:val="753B3AE9"/>
    <w:rsid w:val="76190D95"/>
    <w:rsid w:val="770478DC"/>
    <w:rsid w:val="773C186D"/>
    <w:rsid w:val="78BC2324"/>
    <w:rsid w:val="78CC6D3B"/>
    <w:rsid w:val="78DC67E8"/>
    <w:rsid w:val="792340C6"/>
    <w:rsid w:val="794F03AD"/>
    <w:rsid w:val="7AAB15D2"/>
    <w:rsid w:val="7B6706DA"/>
    <w:rsid w:val="7C6A2093"/>
    <w:rsid w:val="7CBF52AE"/>
    <w:rsid w:val="7DC70AA0"/>
    <w:rsid w:val="7E74003D"/>
    <w:rsid w:val="7F6E0AB2"/>
    <w:rsid w:val="7FC348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6">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8">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9">
    <w:name w:val="heading 7"/>
    <w:basedOn w:val="1"/>
    <w:next w:val="2"/>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tblPr>
      <w:tblCellMar>
        <w:top w:w="0" w:type="dxa"/>
        <w:left w:w="108" w:type="dxa"/>
        <w:bottom w:w="0" w:type="dxa"/>
        <w:right w:w="108" w:type="dxa"/>
      </w:tblCellMar>
    </w:tblPr>
  </w:style>
  <w:style w:type="paragraph" w:styleId="2">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3"/>
    <w:qFormat/>
    <w:uiPriority w:val="0"/>
    <w:rPr>
      <w:b/>
      <w:bCs/>
      <w:kern w:val="44"/>
      <w:sz w:val="44"/>
      <w:szCs w:val="44"/>
    </w:rPr>
  </w:style>
  <w:style w:type="character" w:customStyle="1" w:styleId="68">
    <w:name w:val="标题 2 Char"/>
    <w:link w:val="4"/>
    <w:qFormat/>
    <w:uiPriority w:val="0"/>
    <w:rPr>
      <w:rFonts w:ascii="Arial" w:hAnsi="Arial" w:eastAsia="黑体"/>
      <w:b/>
      <w:bCs/>
      <w:kern w:val="2"/>
      <w:sz w:val="32"/>
      <w:szCs w:val="32"/>
      <w:lang w:val="en-US" w:eastAsia="zh-CN" w:bidi="ar-SA"/>
    </w:rPr>
  </w:style>
  <w:style w:type="character" w:customStyle="1" w:styleId="69">
    <w:name w:val="标题 3 Char"/>
    <w:link w:val="5"/>
    <w:qFormat/>
    <w:uiPriority w:val="0"/>
    <w:rPr>
      <w:b/>
      <w:bCs/>
      <w:kern w:val="2"/>
      <w:sz w:val="32"/>
      <w:szCs w:val="32"/>
    </w:rPr>
  </w:style>
  <w:style w:type="character" w:customStyle="1" w:styleId="70">
    <w:name w:val="标题 4 Char"/>
    <w:link w:val="6"/>
    <w:qFormat/>
    <w:uiPriority w:val="0"/>
    <w:rPr>
      <w:rFonts w:ascii="Arial" w:hAnsi="Arial" w:eastAsia="黑体"/>
      <w:b/>
      <w:bCs/>
      <w:kern w:val="2"/>
      <w:sz w:val="28"/>
      <w:szCs w:val="28"/>
      <w:lang w:bidi="ar-SA"/>
    </w:rPr>
  </w:style>
  <w:style w:type="character" w:customStyle="1" w:styleId="71">
    <w:name w:val="标题 5 Char"/>
    <w:link w:val="7"/>
    <w:qFormat/>
    <w:uiPriority w:val="0"/>
    <w:rPr>
      <w:i/>
      <w:sz w:val="18"/>
      <w:lang w:val="fr-FR"/>
    </w:rPr>
  </w:style>
  <w:style w:type="character" w:customStyle="1" w:styleId="72">
    <w:name w:val="标题 7 Char"/>
    <w:link w:val="9"/>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2"/>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5"/>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4"/>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6"/>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5"/>
    <w:next w:val="1"/>
    <w:qFormat/>
    <w:uiPriority w:val="0"/>
    <w:pPr>
      <w:spacing w:before="360" w:beforeLines="0" w:after="120" w:afterLines="0" w:line="440" w:lineRule="exact"/>
    </w:pPr>
    <w:rPr>
      <w:rFonts w:ascii="仿宋_GB2312"/>
      <w:sz w:val="24"/>
    </w:rPr>
  </w:style>
  <w:style w:type="paragraph" w:customStyle="1" w:styleId="189">
    <w:name w:val="Lilly Heading 3"/>
    <w:basedOn w:val="5"/>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4"/>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3"/>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3"/>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18472</Words>
  <Characters>19532</Characters>
  <Lines>243</Lines>
  <Paragraphs>68</Paragraphs>
  <TotalTime>1</TotalTime>
  <ScaleCrop>false</ScaleCrop>
  <LinksUpToDate>false</LinksUpToDate>
  <CharactersWithSpaces>21512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2026-10-12T00:02:42Z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8D6FC3DBF8254D519C05161FA4153797</vt:lpwstr>
  </property>
  <property fmtid="{D5CDD505-2E9C-101B-9397-08002B2CF9AE}" pid="4" name="KSOTemplateDocerSaveRecord">
    <vt:lpwstr>eyJoZGlkIjoiOTAzM2U2NjM4NDdiYjJlYmU3YzY4YWI0ZWY3YjE0OTAiLCJ1c2VySWQiOiIxNDQzMTU3NzgzIn0=</vt:lpwstr>
  </property>
</Properties>
</file>